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FAA1D85">
      <w:pPr>
        <w:spacing w:after="156" w:afterLines="50" w:line="360" w:lineRule="auto"/>
        <w:jc w:val="center"/>
        <w:rPr>
          <w:rFonts w:ascii="Times New Roman" w:hAnsi="Times New Roman" w:eastAsia="宋体"/>
          <w:b/>
          <w:bCs/>
          <w:sz w:val="28"/>
          <w:szCs w:val="28"/>
        </w:rPr>
      </w:pPr>
      <w:bookmarkStart w:id="2" w:name="_GoBack"/>
      <w:bookmarkEnd w:id="2"/>
      <w:r>
        <w:rPr>
          <w:rFonts w:hint="eastAsia" w:ascii="Times New Roman" w:hAnsi="Times New Roman" w:eastAsia="宋体"/>
          <w:b/>
          <w:bCs/>
          <w:sz w:val="28"/>
          <w:szCs w:val="28"/>
        </w:rPr>
        <w:t>《儿童清洁化妆品开发中眼刺激性评估方法</w:t>
      </w:r>
      <w:r>
        <w:rPr>
          <w:rFonts w:ascii="Times New Roman" w:hAnsi="Times New Roman" w:eastAsia="宋体"/>
          <w:b/>
          <w:bCs/>
          <w:sz w:val="28"/>
          <w:szCs w:val="28"/>
        </w:rPr>
        <w:t xml:space="preserve"> 红细胞溶血测试和重组人角膜上皮模型测试</w:t>
      </w:r>
      <w:r>
        <w:rPr>
          <w:rFonts w:hint="eastAsia" w:ascii="Times New Roman" w:hAnsi="Times New Roman" w:eastAsia="宋体"/>
          <w:b/>
          <w:bCs/>
          <w:sz w:val="28"/>
          <w:szCs w:val="28"/>
        </w:rPr>
        <w:t>》</w:t>
      </w:r>
    </w:p>
    <w:p w14:paraId="5D490761">
      <w:pPr>
        <w:spacing w:after="156" w:afterLines="50" w:line="360" w:lineRule="auto"/>
        <w:jc w:val="center"/>
        <w:rPr>
          <w:rFonts w:ascii="Times New Roman" w:hAnsi="Times New Roman" w:eastAsia="宋体"/>
          <w:b/>
          <w:bCs/>
          <w:sz w:val="28"/>
          <w:szCs w:val="28"/>
        </w:rPr>
      </w:pPr>
      <w:r>
        <w:rPr>
          <w:rFonts w:ascii="Times New Roman" w:hAnsi="Times New Roman" w:eastAsia="宋体"/>
          <w:b/>
          <w:bCs/>
          <w:sz w:val="28"/>
          <w:szCs w:val="28"/>
        </w:rPr>
        <w:t>编制说明</w:t>
      </w:r>
    </w:p>
    <w:p w14:paraId="60B97E34">
      <w:pPr>
        <w:pStyle w:val="27"/>
        <w:tabs>
          <w:tab w:val="left" w:pos="1276"/>
        </w:tabs>
        <w:spacing w:line="360" w:lineRule="auto"/>
        <w:ind w:firstLine="0" w:firstLineChars="0"/>
        <w:rPr>
          <w:rFonts w:ascii="Times New Roman" w:hAnsi="Times New Roman" w:eastAsia="宋体"/>
          <w:b/>
          <w:bCs/>
          <w:sz w:val="24"/>
          <w:szCs w:val="24"/>
        </w:rPr>
      </w:pPr>
      <w:r>
        <w:rPr>
          <w:rFonts w:ascii="Times New Roman" w:hAnsi="Times New Roman" w:eastAsia="宋体"/>
          <w:b/>
          <w:bCs/>
          <w:sz w:val="24"/>
          <w:szCs w:val="24"/>
        </w:rPr>
        <w:t>一、标准起草的基本情况（包括简要的起草过程、主要起草单位、起草人等）</w:t>
      </w:r>
    </w:p>
    <w:p w14:paraId="011339BC">
      <w:pPr>
        <w:spacing w:line="360" w:lineRule="auto"/>
        <w:ind w:firstLine="420" w:firstLineChars="200"/>
        <w:rPr>
          <w:rFonts w:ascii="仿宋" w:hAnsi="仿宋" w:eastAsia="仿宋" w:cs="仿宋"/>
          <w:szCs w:val="21"/>
        </w:rPr>
      </w:pPr>
      <w:r>
        <w:rPr>
          <w:rFonts w:hint="eastAsia" w:ascii="仿宋" w:hAnsi="仿宋" w:eastAsia="仿宋" w:cs="仿宋"/>
          <w:szCs w:val="21"/>
        </w:rPr>
        <w:t>随着美妆行业全面发展，市场需求越来越细分，消费者认知也越来越成熟，而清洁产品作为刚需标准也逐渐提高，消费者最核心关注点在于温和性和安全性。另外，随着美妆全球化发展的不断深入，儿童可用的清洁产品竞争愈发激烈，但国内产品开发水平和研究深度较国际产品还有差距，期望通过借鉴国际先进经验和技术成果，制定符合全球化的标准，提升国货婴童清洁产品开发水平和国际竞争力，促进国货产品的出口和美妆国际贸易的发展。</w:t>
      </w:r>
    </w:p>
    <w:p w14:paraId="2F3814AD">
      <w:pPr>
        <w:spacing w:line="360" w:lineRule="auto"/>
        <w:ind w:firstLine="420" w:firstLineChars="200"/>
        <w:rPr>
          <w:rFonts w:ascii="仿宋" w:hAnsi="仿宋" w:eastAsia="仿宋" w:cs="仿宋"/>
          <w:szCs w:val="21"/>
        </w:rPr>
      </w:pPr>
      <w:r>
        <w:rPr>
          <w:rFonts w:hint="eastAsia" w:ascii="仿宋" w:hAnsi="仿宋" w:eastAsia="仿宋" w:cs="仿宋"/>
          <w:szCs w:val="21"/>
        </w:rPr>
        <w:t>清洁产品刺激性来源的核心是表面活性剂。表面活性剂作为核心成分，其两亲性使得具有降低表面张力的作用，起到乳化、分散、起泡、增溶等效果，从而能实现污垢的清洁。但表面活性剂的两亲性也使得能与蛋白吸附导致蛋白变性、插入溶解脂质造成屏障破坏，表面活性剂单体渗入进而对活细胞造成影响。目前对于儿童可用配方采用的是动物实验</w:t>
      </w:r>
      <w:r>
        <w:rPr>
          <w:rFonts w:ascii="仿宋" w:hAnsi="仿宋" w:eastAsia="仿宋" w:cs="仿宋"/>
          <w:szCs w:val="21"/>
        </w:rPr>
        <w:t>--急性眼刺激/腐蚀性试验方法，基于动物保护主义和3R原则，2013年起欧盟化妆品禁止化妆品原料进行动物试验，同时禁止销售用动物试验测试过的化妆品原料及成品，也不能从世界其他国家或地区进口任何经过动物试验检测的化妆品</w:t>
      </w:r>
      <w:r>
        <w:rPr>
          <w:rFonts w:hint="eastAsia" w:ascii="仿宋" w:hAnsi="仿宋" w:eastAsia="仿宋" w:cs="仿宋"/>
          <w:szCs w:val="21"/>
        </w:rPr>
        <w:t>。此外，动物实验测试价格昂贵，并不适用于日常大量配方刺激性的筛选预估。</w:t>
      </w:r>
    </w:p>
    <w:p w14:paraId="79313CE2">
      <w:pPr>
        <w:spacing w:line="360" w:lineRule="auto"/>
        <w:ind w:firstLine="420" w:firstLineChars="200"/>
        <w:rPr>
          <w:rFonts w:ascii="仿宋" w:hAnsi="仿宋" w:eastAsia="仿宋" w:cs="仿宋"/>
          <w:szCs w:val="21"/>
        </w:rPr>
      </w:pPr>
      <w:r>
        <w:rPr>
          <w:rFonts w:hint="eastAsia" w:ascii="仿宋" w:hAnsi="仿宋" w:eastAsia="仿宋" w:cs="仿宋"/>
          <w:szCs w:val="21"/>
        </w:rPr>
        <w:t>因此，为深化国货产品在清洁领域的研究，加速技术创新，先建立一套完整的、能快速有效筛选能通过急性眼刺激配方的测试方法，提高儿童清洁产品开发效率和质量。经水羊化妆品制造有限公司提案，中国香料香精化妆品工业协会提出制定《儿童清洁化妆品开发中眼刺激性评估方法</w:t>
      </w:r>
      <w:r>
        <w:rPr>
          <w:rFonts w:ascii="仿宋" w:hAnsi="仿宋" w:eastAsia="仿宋" w:cs="仿宋"/>
          <w:szCs w:val="21"/>
        </w:rPr>
        <w:t xml:space="preserve"> 红细胞溶血测试和重组人角膜上皮模型测试</w:t>
      </w:r>
      <w:r>
        <w:rPr>
          <w:rFonts w:hint="eastAsia" w:ascii="仿宋" w:hAnsi="仿宋" w:eastAsia="仿宋" w:cs="仿宋"/>
          <w:szCs w:val="21"/>
        </w:rPr>
        <w:t>》团体标准，经立项公示通过立项，组织制定工作。</w:t>
      </w:r>
    </w:p>
    <w:p w14:paraId="44D859B1">
      <w:pPr>
        <w:pStyle w:val="27"/>
        <w:numPr>
          <w:ilvl w:val="0"/>
          <w:numId w:val="1"/>
        </w:numPr>
        <w:spacing w:line="360" w:lineRule="auto"/>
        <w:ind w:firstLineChars="0"/>
        <w:rPr>
          <w:rFonts w:ascii="Times New Roman" w:hAnsi="Times New Roman" w:eastAsia="宋体"/>
          <w:b/>
          <w:bCs/>
          <w:sz w:val="28"/>
          <w:szCs w:val="28"/>
        </w:rPr>
      </w:pPr>
      <w:r>
        <w:rPr>
          <w:rFonts w:ascii="Times New Roman" w:hAnsi="Times New Roman" w:eastAsia="宋体"/>
          <w:b/>
          <w:bCs/>
          <w:sz w:val="24"/>
          <w:szCs w:val="24"/>
        </w:rPr>
        <w:t>工作来源</w:t>
      </w:r>
    </w:p>
    <w:p w14:paraId="5B79E993">
      <w:pPr>
        <w:spacing w:line="360" w:lineRule="auto"/>
        <w:ind w:firstLine="420" w:firstLineChars="200"/>
        <w:rPr>
          <w:rFonts w:ascii="仿宋" w:hAnsi="仿宋" w:eastAsia="仿宋" w:cs="仿宋"/>
          <w:szCs w:val="21"/>
        </w:rPr>
      </w:pPr>
      <w:r>
        <w:rPr>
          <w:rFonts w:hint="eastAsia" w:ascii="仿宋" w:hAnsi="仿宋" w:eastAsia="仿宋" w:cs="仿宋"/>
          <w:szCs w:val="21"/>
        </w:rPr>
        <w:t>根据</w:t>
      </w:r>
      <w:r>
        <w:rPr>
          <w:rFonts w:ascii="仿宋" w:hAnsi="仿宋" w:eastAsia="仿宋" w:cs="仿宋"/>
          <w:szCs w:val="21"/>
        </w:rPr>
        <w:t>“</w:t>
      </w:r>
      <w:r>
        <w:rPr>
          <w:rFonts w:hint="eastAsia" w:ascii="仿宋" w:hAnsi="仿宋" w:eastAsia="仿宋" w:cs="仿宋"/>
          <w:szCs w:val="21"/>
        </w:rPr>
        <w:t>关于</w:t>
      </w:r>
      <w:r>
        <w:rPr>
          <w:rFonts w:ascii="仿宋" w:hAnsi="仿宋" w:eastAsia="仿宋" w:cs="仿宋"/>
          <w:szCs w:val="21"/>
        </w:rPr>
        <w:t>2025年中国香料香精化妆品工业协会团体标准（第四批）立项公示的通知”，由</w:t>
      </w:r>
      <w:r>
        <w:rPr>
          <w:rFonts w:hint="eastAsia" w:ascii="仿宋" w:hAnsi="仿宋" w:eastAsia="仿宋" w:cs="仿宋"/>
          <w:szCs w:val="21"/>
        </w:rPr>
        <w:t>水羊化妆品制造有限公司为牵头单位</w:t>
      </w:r>
      <w:r>
        <w:rPr>
          <w:rFonts w:ascii="仿宋" w:hAnsi="仿宋" w:eastAsia="仿宋" w:cs="仿宋"/>
          <w:szCs w:val="21"/>
        </w:rPr>
        <w:t>制定《</w:t>
      </w:r>
      <w:r>
        <w:rPr>
          <w:rFonts w:hint="eastAsia" w:ascii="仿宋" w:hAnsi="仿宋" w:eastAsia="仿宋" w:cs="仿宋"/>
          <w:szCs w:val="21"/>
        </w:rPr>
        <w:t>儿童清洁产品配方开发中的刺激性评估方法</w:t>
      </w:r>
      <w:r>
        <w:rPr>
          <w:rFonts w:ascii="仿宋" w:hAnsi="仿宋" w:eastAsia="仿宋" w:cs="仿宋"/>
          <w:szCs w:val="21"/>
        </w:rPr>
        <w:t>》团体标准。</w:t>
      </w:r>
    </w:p>
    <w:p w14:paraId="6422CF62">
      <w:pPr>
        <w:spacing w:line="360" w:lineRule="auto"/>
        <w:ind w:firstLine="420" w:firstLineChars="200"/>
        <w:rPr>
          <w:rFonts w:ascii="Times New Roman" w:hAnsi="Times New Roman" w:eastAsia="宋体"/>
          <w:sz w:val="24"/>
          <w:szCs w:val="24"/>
        </w:rPr>
      </w:pPr>
      <w:r>
        <w:rPr>
          <w:rFonts w:hint="eastAsia" w:ascii="仿宋" w:hAnsi="仿宋" w:eastAsia="仿宋" w:cs="仿宋"/>
          <w:szCs w:val="21"/>
        </w:rPr>
        <w:t>202</w:t>
      </w:r>
      <w:r>
        <w:rPr>
          <w:rFonts w:ascii="仿宋" w:hAnsi="仿宋" w:eastAsia="仿宋" w:cs="仿宋"/>
          <w:szCs w:val="21"/>
        </w:rPr>
        <w:t>5</w:t>
      </w:r>
      <w:r>
        <w:rPr>
          <w:rFonts w:hint="eastAsia" w:ascii="仿宋" w:hAnsi="仿宋" w:eastAsia="仿宋" w:cs="仿宋"/>
          <w:szCs w:val="21"/>
        </w:rPr>
        <w:t>年</w:t>
      </w:r>
      <w:r>
        <w:rPr>
          <w:rFonts w:ascii="仿宋" w:hAnsi="仿宋" w:eastAsia="仿宋" w:cs="仿宋"/>
          <w:szCs w:val="21"/>
        </w:rPr>
        <w:t>4</w:t>
      </w:r>
      <w:r>
        <w:rPr>
          <w:rFonts w:hint="eastAsia" w:ascii="仿宋" w:hAnsi="仿宋" w:eastAsia="仿宋" w:cs="仿宋"/>
          <w:szCs w:val="21"/>
        </w:rPr>
        <w:t>月，本团体标准经中国香料香精化妆品工业协会审议通过立项，通知见《</w:t>
      </w:r>
      <w:r>
        <w:rPr>
          <w:rFonts w:ascii="仿宋" w:hAnsi="仿宋" w:eastAsia="仿宋" w:cs="仿宋"/>
          <w:szCs w:val="21"/>
        </w:rPr>
        <w:t>2025年中国香料香精化妆品工业协会团体标准（第四批）立项名单</w:t>
      </w:r>
      <w:r>
        <w:rPr>
          <w:rFonts w:hint="eastAsia" w:ascii="仿宋" w:hAnsi="仿宋" w:eastAsia="仿宋" w:cs="仿宋"/>
          <w:szCs w:val="21"/>
        </w:rPr>
        <w:t>》。</w:t>
      </w:r>
    </w:p>
    <w:p w14:paraId="6029DF79">
      <w:pPr>
        <w:pStyle w:val="27"/>
        <w:numPr>
          <w:ilvl w:val="0"/>
          <w:numId w:val="2"/>
        </w:numPr>
        <w:spacing w:line="360" w:lineRule="auto"/>
        <w:ind w:firstLineChars="0"/>
        <w:rPr>
          <w:rFonts w:ascii="Times New Roman" w:hAnsi="Times New Roman" w:eastAsia="宋体"/>
          <w:b/>
          <w:bCs/>
          <w:sz w:val="24"/>
          <w:szCs w:val="24"/>
        </w:rPr>
      </w:pPr>
      <w:r>
        <w:rPr>
          <w:rFonts w:ascii="Times New Roman" w:hAnsi="Times New Roman" w:eastAsia="宋体"/>
          <w:b/>
          <w:bCs/>
          <w:sz w:val="24"/>
          <w:szCs w:val="24"/>
        </w:rPr>
        <w:t>起草单位与主要起草人</w:t>
      </w:r>
    </w:p>
    <w:p w14:paraId="41479F1F">
      <w:pPr>
        <w:spacing w:line="360" w:lineRule="auto"/>
        <w:rPr>
          <w:rFonts w:ascii="仿宋" w:hAnsi="仿宋" w:eastAsia="仿宋" w:cs="仿宋"/>
          <w:szCs w:val="21"/>
        </w:rPr>
      </w:pPr>
      <w:r>
        <w:rPr>
          <w:rFonts w:hint="eastAsia" w:ascii="仿宋" w:hAnsi="仿宋" w:eastAsia="仿宋" w:cs="仿宋"/>
          <w:szCs w:val="21"/>
        </w:rPr>
        <w:t>主要起草单位：水羊化妆品制造有限公司。</w:t>
      </w:r>
    </w:p>
    <w:p w14:paraId="06935D9A">
      <w:pPr>
        <w:spacing w:line="360" w:lineRule="auto"/>
        <w:rPr>
          <w:rFonts w:ascii="仿宋" w:hAnsi="仿宋" w:eastAsia="仿宋" w:cs="仿宋"/>
          <w:szCs w:val="21"/>
        </w:rPr>
      </w:pPr>
      <w:r>
        <w:rPr>
          <w:rFonts w:hint="eastAsia" w:ascii="仿宋" w:hAnsi="仿宋" w:eastAsia="仿宋" w:cs="仿宋"/>
          <w:szCs w:val="21"/>
        </w:rPr>
        <w:t>协作起草单位：南京华狮新材料有限公司，纳爱斯（浙江）科技集团有限公司，陕西博溪通用检测科技有限公司，南京盛德梅赛医疗技术有限公司，长沙市食品药品检验所，英狄士检测技术（长沙）有限公司</w:t>
      </w:r>
      <w:r>
        <w:rPr>
          <w:rFonts w:ascii="仿宋" w:hAnsi="仿宋" w:eastAsia="仿宋" w:cs="仿宋"/>
          <w:szCs w:val="21"/>
        </w:rPr>
        <w:t>。</w:t>
      </w:r>
    </w:p>
    <w:p w14:paraId="2593E8EA">
      <w:pPr>
        <w:spacing w:before="120" w:after="120" w:line="288" w:lineRule="auto"/>
        <w:rPr>
          <w:rFonts w:eastAsia="宋体"/>
        </w:rPr>
      </w:pPr>
      <w:r>
        <w:rPr>
          <w:rFonts w:hint="eastAsia" w:ascii="仿宋" w:hAnsi="仿宋" w:eastAsia="仿宋" w:cs="仿宋"/>
          <w:szCs w:val="21"/>
        </w:rPr>
        <w:t>主要起草成员：张廷志，钱景茹，秦尧，黄余年，文琪，闫加雷，汪建明，刘珂，俞捷，李晓芳，卢永波，张艳云，刘嘉敏，赵仕兰，周鹏，钟菲菲，刘前，陈应强。</w:t>
      </w:r>
    </w:p>
    <w:p w14:paraId="19ACA0DE">
      <w:pPr>
        <w:pStyle w:val="27"/>
        <w:numPr>
          <w:ilvl w:val="0"/>
          <w:numId w:val="2"/>
        </w:numPr>
        <w:spacing w:line="360" w:lineRule="auto"/>
        <w:ind w:firstLineChars="0"/>
        <w:rPr>
          <w:rFonts w:ascii="Times New Roman" w:hAnsi="Times New Roman" w:eastAsia="宋体"/>
          <w:b/>
          <w:bCs/>
          <w:sz w:val="24"/>
          <w:szCs w:val="24"/>
        </w:rPr>
      </w:pPr>
      <w:r>
        <w:rPr>
          <w:rFonts w:ascii="Times New Roman" w:hAnsi="Times New Roman" w:eastAsia="宋体"/>
          <w:b/>
          <w:bCs/>
          <w:sz w:val="24"/>
          <w:szCs w:val="24"/>
        </w:rPr>
        <w:t>主要工作过程</w:t>
      </w:r>
    </w:p>
    <w:p w14:paraId="420A5DE0">
      <w:pPr>
        <w:spacing w:line="360" w:lineRule="auto"/>
        <w:ind w:firstLine="420" w:firstLineChars="200"/>
        <w:rPr>
          <w:rFonts w:ascii="仿宋" w:hAnsi="仿宋" w:eastAsia="仿宋" w:cs="仿宋"/>
          <w:szCs w:val="21"/>
        </w:rPr>
      </w:pPr>
      <w:r>
        <w:rPr>
          <w:rFonts w:hint="eastAsia" w:ascii="仿宋" w:hAnsi="仿宋" w:eastAsia="仿宋" w:cs="仿宋"/>
          <w:szCs w:val="21"/>
        </w:rPr>
        <w:t>202</w:t>
      </w:r>
      <w:r>
        <w:rPr>
          <w:rFonts w:ascii="仿宋" w:hAnsi="仿宋" w:eastAsia="仿宋" w:cs="仿宋"/>
          <w:szCs w:val="21"/>
        </w:rPr>
        <w:t>5</w:t>
      </w:r>
      <w:r>
        <w:rPr>
          <w:rFonts w:hint="eastAsia" w:ascii="仿宋" w:hAnsi="仿宋" w:eastAsia="仿宋" w:cs="仿宋"/>
          <w:szCs w:val="21"/>
        </w:rPr>
        <w:t>年2月，水羊化妆品制造有限公司作为立项申请人向中国香料香精化妆品工业协会提出《儿童清洁化妆品开发中眼刺激性评估方法</w:t>
      </w:r>
      <w:r>
        <w:rPr>
          <w:rFonts w:ascii="仿宋" w:hAnsi="仿宋" w:eastAsia="仿宋" w:cs="仿宋"/>
          <w:szCs w:val="21"/>
        </w:rPr>
        <w:t xml:space="preserve"> 红细胞溶血测试和重组人角膜上皮模型测试</w:t>
      </w:r>
      <w:r>
        <w:rPr>
          <w:rFonts w:hint="eastAsia" w:ascii="仿宋" w:hAnsi="仿宋" w:eastAsia="仿宋" w:cs="仿宋"/>
          <w:szCs w:val="21"/>
        </w:rPr>
        <w:t>》团体标准立项提案。</w:t>
      </w:r>
    </w:p>
    <w:p w14:paraId="511AEE38">
      <w:pPr>
        <w:spacing w:line="360" w:lineRule="auto"/>
        <w:ind w:firstLine="420" w:firstLineChars="200"/>
        <w:rPr>
          <w:rFonts w:ascii="仿宋" w:hAnsi="仿宋" w:eastAsia="仿宋" w:cs="仿宋"/>
          <w:szCs w:val="21"/>
        </w:rPr>
      </w:pPr>
      <w:r>
        <w:rPr>
          <w:rFonts w:hint="eastAsia" w:ascii="仿宋" w:hAnsi="仿宋" w:eastAsia="仿宋" w:cs="仿宋"/>
          <w:szCs w:val="21"/>
        </w:rPr>
        <w:t>202</w:t>
      </w:r>
      <w:r>
        <w:rPr>
          <w:rFonts w:ascii="仿宋" w:hAnsi="仿宋" w:eastAsia="仿宋" w:cs="仿宋"/>
          <w:szCs w:val="21"/>
        </w:rPr>
        <w:t>5</w:t>
      </w:r>
      <w:r>
        <w:rPr>
          <w:rFonts w:hint="eastAsia" w:ascii="仿宋" w:hAnsi="仿宋" w:eastAsia="仿宋" w:cs="仿宋"/>
          <w:szCs w:val="21"/>
        </w:rPr>
        <w:t>年</w:t>
      </w:r>
      <w:r>
        <w:rPr>
          <w:rFonts w:ascii="仿宋" w:hAnsi="仿宋" w:eastAsia="仿宋" w:cs="仿宋"/>
          <w:szCs w:val="21"/>
        </w:rPr>
        <w:t>4</w:t>
      </w:r>
      <w:r>
        <w:rPr>
          <w:rFonts w:hint="eastAsia" w:ascii="仿宋" w:hAnsi="仿宋" w:eastAsia="仿宋" w:cs="仿宋"/>
          <w:szCs w:val="21"/>
        </w:rPr>
        <w:t>月</w:t>
      </w:r>
      <w:r>
        <w:rPr>
          <w:rFonts w:ascii="仿宋" w:hAnsi="仿宋" w:eastAsia="仿宋" w:cs="仿宋"/>
          <w:szCs w:val="21"/>
        </w:rPr>
        <w:t>27</w:t>
      </w:r>
      <w:r>
        <w:rPr>
          <w:rFonts w:hint="eastAsia" w:ascii="仿宋" w:hAnsi="仿宋" w:eastAsia="仿宋" w:cs="仿宋"/>
          <w:szCs w:val="21"/>
        </w:rPr>
        <w:t>日，经中国香料香精化妆品工业协会初审并征求行业专家立项论证和审核，《儿童清洁化妆品开发中眼刺激性评估方法</w:t>
      </w:r>
      <w:r>
        <w:rPr>
          <w:rFonts w:ascii="仿宋" w:hAnsi="仿宋" w:eastAsia="仿宋" w:cs="仿宋"/>
          <w:szCs w:val="21"/>
        </w:rPr>
        <w:t xml:space="preserve"> 红细胞溶血测试和重组人角膜上皮模型测试</w:t>
      </w:r>
      <w:r>
        <w:rPr>
          <w:rFonts w:hint="eastAsia" w:ascii="仿宋" w:hAnsi="仿宋" w:eastAsia="仿宋" w:cs="仿宋"/>
          <w:szCs w:val="21"/>
        </w:rPr>
        <w:t>》团体标准正式获批立项，并在协会官方网站进行了为期15个工作日的公示。</w:t>
      </w:r>
    </w:p>
    <w:p w14:paraId="67AD8943">
      <w:pPr>
        <w:spacing w:line="360" w:lineRule="auto"/>
        <w:ind w:firstLine="420" w:firstLineChars="200"/>
        <w:rPr>
          <w:rFonts w:ascii="仿宋" w:hAnsi="仿宋" w:eastAsia="仿宋" w:cs="仿宋"/>
          <w:szCs w:val="21"/>
        </w:rPr>
      </w:pPr>
      <w:r>
        <w:rPr>
          <w:rFonts w:hint="eastAsia" w:ascii="仿宋" w:hAnsi="仿宋" w:eastAsia="仿宋" w:cs="仿宋"/>
          <w:szCs w:val="21"/>
        </w:rPr>
        <w:t>2</w:t>
      </w:r>
      <w:r>
        <w:rPr>
          <w:rFonts w:ascii="仿宋" w:hAnsi="仿宋" w:eastAsia="仿宋" w:cs="仿宋"/>
          <w:szCs w:val="21"/>
        </w:rPr>
        <w:t>025</w:t>
      </w:r>
      <w:r>
        <w:rPr>
          <w:rFonts w:hint="eastAsia" w:ascii="仿宋" w:hAnsi="仿宋" w:eastAsia="仿宋" w:cs="仿宋"/>
          <w:szCs w:val="21"/>
        </w:rPr>
        <w:t>年</w:t>
      </w:r>
      <w:r>
        <w:rPr>
          <w:rFonts w:ascii="仿宋" w:hAnsi="仿宋" w:eastAsia="仿宋" w:cs="仿宋"/>
          <w:szCs w:val="21"/>
        </w:rPr>
        <w:t>5</w:t>
      </w:r>
      <w:r>
        <w:rPr>
          <w:rFonts w:hint="eastAsia" w:ascii="仿宋" w:hAnsi="仿宋" w:eastAsia="仿宋" w:cs="仿宋"/>
          <w:szCs w:val="21"/>
        </w:rPr>
        <w:t>月</w:t>
      </w:r>
      <w:r>
        <w:rPr>
          <w:rFonts w:ascii="仿宋" w:hAnsi="仿宋" w:eastAsia="仿宋" w:cs="仿宋"/>
          <w:szCs w:val="21"/>
        </w:rPr>
        <w:t>-7</w:t>
      </w:r>
      <w:r>
        <w:rPr>
          <w:rFonts w:hint="eastAsia" w:ascii="仿宋" w:hAnsi="仿宋" w:eastAsia="仿宋" w:cs="仿宋"/>
          <w:szCs w:val="21"/>
        </w:rPr>
        <w:t>月，水羊化妆品制造有限公司经过文献查阅，资料整理，实验条件摸索，初步形成《儿童清洁化妆品开发中眼刺激性评估方法</w:t>
      </w:r>
      <w:r>
        <w:rPr>
          <w:rFonts w:ascii="仿宋" w:hAnsi="仿宋" w:eastAsia="仿宋" w:cs="仿宋"/>
          <w:szCs w:val="21"/>
        </w:rPr>
        <w:t xml:space="preserve"> 红细胞溶血测试和重组人角膜上皮模型测试</w:t>
      </w:r>
      <w:r>
        <w:rPr>
          <w:rFonts w:hint="eastAsia" w:ascii="仿宋" w:hAnsi="仿宋" w:eastAsia="仿宋" w:cs="仿宋"/>
          <w:szCs w:val="21"/>
        </w:rPr>
        <w:t>》初稿</w:t>
      </w:r>
      <w:r>
        <w:rPr>
          <w:rFonts w:ascii="仿宋" w:hAnsi="仿宋" w:eastAsia="仿宋" w:cs="仿宋"/>
          <w:szCs w:val="21"/>
        </w:rPr>
        <w:t>。</w:t>
      </w:r>
    </w:p>
    <w:p w14:paraId="724FFEE7">
      <w:pPr>
        <w:spacing w:line="360" w:lineRule="auto"/>
        <w:ind w:firstLine="420" w:firstLineChars="200"/>
        <w:rPr>
          <w:rFonts w:ascii="仿宋" w:hAnsi="仿宋" w:eastAsia="仿宋" w:cs="仿宋"/>
          <w:szCs w:val="21"/>
        </w:rPr>
      </w:pPr>
      <w:r>
        <w:rPr>
          <w:rFonts w:hint="eastAsia" w:ascii="仿宋" w:hAnsi="仿宋" w:eastAsia="仿宋" w:cs="仿宋"/>
          <w:szCs w:val="21"/>
        </w:rPr>
        <w:t>202</w:t>
      </w:r>
      <w:r>
        <w:rPr>
          <w:rFonts w:ascii="仿宋" w:hAnsi="仿宋" w:eastAsia="仿宋" w:cs="仿宋"/>
          <w:szCs w:val="21"/>
        </w:rPr>
        <w:t>5</w:t>
      </w:r>
      <w:r>
        <w:rPr>
          <w:rFonts w:hint="eastAsia" w:ascii="仿宋" w:hAnsi="仿宋" w:eastAsia="仿宋" w:cs="仿宋"/>
          <w:szCs w:val="21"/>
        </w:rPr>
        <w:t>年</w:t>
      </w:r>
      <w:r>
        <w:rPr>
          <w:rFonts w:ascii="仿宋" w:hAnsi="仿宋" w:eastAsia="仿宋" w:cs="仿宋"/>
          <w:szCs w:val="21"/>
        </w:rPr>
        <w:t>8</w:t>
      </w:r>
      <w:r>
        <w:rPr>
          <w:rFonts w:hint="eastAsia" w:ascii="仿宋" w:hAnsi="仿宋" w:eastAsia="仿宋" w:cs="仿宋"/>
          <w:szCs w:val="21"/>
        </w:rPr>
        <w:t>月，水羊化妆品制造有限公司作为立项单位，联合南京华狮新材料有限公司，纳爱斯（浙江）科技集团有限公司等</w:t>
      </w:r>
      <w:r>
        <w:rPr>
          <w:rFonts w:ascii="仿宋" w:hAnsi="仿宋" w:eastAsia="仿宋" w:cs="仿宋"/>
          <w:szCs w:val="21"/>
        </w:rPr>
        <w:t>成立团体标准起草小组。</w:t>
      </w:r>
    </w:p>
    <w:p w14:paraId="13B834AA">
      <w:pPr>
        <w:spacing w:line="360" w:lineRule="auto"/>
        <w:ind w:firstLine="420" w:firstLineChars="200"/>
        <w:rPr>
          <w:rFonts w:ascii="仿宋" w:hAnsi="仿宋" w:eastAsia="仿宋" w:cs="仿宋"/>
          <w:szCs w:val="21"/>
        </w:rPr>
      </w:pPr>
      <w:r>
        <w:rPr>
          <w:rFonts w:hint="eastAsia" w:ascii="仿宋" w:hAnsi="仿宋" w:eastAsia="仿宋" w:cs="仿宋"/>
          <w:szCs w:val="21"/>
        </w:rPr>
        <w:t>202</w:t>
      </w:r>
      <w:r>
        <w:rPr>
          <w:rFonts w:ascii="仿宋" w:hAnsi="仿宋" w:eastAsia="仿宋" w:cs="仿宋"/>
          <w:szCs w:val="21"/>
        </w:rPr>
        <w:t>5</w:t>
      </w:r>
      <w:r>
        <w:rPr>
          <w:rFonts w:hint="eastAsia" w:ascii="仿宋" w:hAnsi="仿宋" w:eastAsia="仿宋" w:cs="仿宋"/>
          <w:szCs w:val="21"/>
        </w:rPr>
        <w:t>年</w:t>
      </w:r>
      <w:r>
        <w:rPr>
          <w:rFonts w:ascii="仿宋" w:hAnsi="仿宋" w:eastAsia="仿宋" w:cs="仿宋"/>
          <w:szCs w:val="21"/>
        </w:rPr>
        <w:t>9</w:t>
      </w:r>
      <w:r>
        <w:rPr>
          <w:rFonts w:hint="eastAsia" w:ascii="仿宋" w:hAnsi="仿宋" w:eastAsia="仿宋" w:cs="仿宋"/>
          <w:szCs w:val="21"/>
        </w:rPr>
        <w:t>月，标准起草小组编制了工作计划，在充分整理研究数据、收集国内外相关法律法规的基础上，经过前期摸索验证及多次深入研讨，进一步形成《儿童清洁化妆品开发中眼刺激性评估方法</w:t>
      </w:r>
      <w:r>
        <w:rPr>
          <w:rFonts w:ascii="仿宋" w:hAnsi="仿宋" w:eastAsia="仿宋" w:cs="仿宋"/>
          <w:szCs w:val="21"/>
        </w:rPr>
        <w:t xml:space="preserve"> 红细胞溶血测试和重组人角膜上皮模型测试</w:t>
      </w:r>
      <w:r>
        <w:rPr>
          <w:rFonts w:hint="eastAsia" w:ascii="仿宋" w:hAnsi="仿宋" w:eastAsia="仿宋" w:cs="仿宋"/>
          <w:szCs w:val="21"/>
        </w:rPr>
        <w:t>》</w:t>
      </w:r>
      <w:r>
        <w:rPr>
          <w:rFonts w:ascii="仿宋" w:hAnsi="仿宋" w:eastAsia="仿宋" w:cs="仿宋"/>
          <w:szCs w:val="21"/>
        </w:rPr>
        <w:t>征求意见稿。</w:t>
      </w:r>
    </w:p>
    <w:p w14:paraId="4B67EBB6">
      <w:pPr>
        <w:spacing w:line="360" w:lineRule="auto"/>
        <w:ind w:firstLine="420" w:firstLineChars="200"/>
        <w:rPr>
          <w:rFonts w:ascii="仿宋" w:hAnsi="仿宋" w:eastAsia="仿宋" w:cs="仿宋"/>
          <w:szCs w:val="21"/>
        </w:rPr>
      </w:pPr>
      <w:r>
        <w:rPr>
          <w:rFonts w:ascii="仿宋" w:hAnsi="仿宋" w:eastAsia="仿宋" w:cs="仿宋"/>
          <w:szCs w:val="21"/>
        </w:rPr>
        <w:t>2025年10月-2025年12月，组织单位进行方法验证工作。开展试验数据分析，并基于试验结果修改完善标准草案，项目组内部意见征询后再次修改。</w:t>
      </w:r>
    </w:p>
    <w:p w14:paraId="403E1D0A">
      <w:pPr>
        <w:spacing w:line="360" w:lineRule="auto"/>
        <w:ind w:firstLine="420" w:firstLineChars="200"/>
        <w:rPr>
          <w:rFonts w:hint="eastAsia" w:ascii="仿宋" w:hAnsi="仿宋" w:eastAsia="仿宋" w:cs="仿宋"/>
          <w:szCs w:val="21"/>
        </w:rPr>
      </w:pPr>
      <w:r>
        <w:rPr>
          <w:rFonts w:hint="eastAsia" w:ascii="仿宋" w:hAnsi="仿宋" w:eastAsia="仿宋" w:cs="仿宋"/>
          <w:szCs w:val="21"/>
        </w:rPr>
        <w:t>2</w:t>
      </w:r>
      <w:r>
        <w:rPr>
          <w:rFonts w:ascii="仿宋" w:hAnsi="仿宋" w:eastAsia="仿宋" w:cs="仿宋"/>
          <w:szCs w:val="21"/>
        </w:rPr>
        <w:t>026</w:t>
      </w:r>
      <w:r>
        <w:rPr>
          <w:rFonts w:hint="eastAsia" w:ascii="仿宋" w:hAnsi="仿宋" w:eastAsia="仿宋" w:cs="仿宋"/>
          <w:szCs w:val="21"/>
        </w:rPr>
        <w:t>年1月，标准起草小组按计划完成了《儿童清洁化妆品开发中眼刺激性评估方法</w:t>
      </w:r>
      <w:r>
        <w:rPr>
          <w:rFonts w:ascii="仿宋" w:hAnsi="仿宋" w:eastAsia="仿宋" w:cs="仿宋"/>
          <w:szCs w:val="21"/>
        </w:rPr>
        <w:t xml:space="preserve"> 红细胞溶血测试和重组人角膜上皮模型测试</w:t>
      </w:r>
      <w:r>
        <w:rPr>
          <w:rFonts w:hint="eastAsia" w:ascii="仿宋" w:hAnsi="仿宋" w:eastAsia="仿宋" w:cs="仿宋"/>
          <w:szCs w:val="21"/>
        </w:rPr>
        <w:t>》的方法学验证工作和数据整理，编制形成了《儿童清洁化妆品开发中眼刺激性评估方法</w:t>
      </w:r>
      <w:r>
        <w:rPr>
          <w:rFonts w:ascii="仿宋" w:hAnsi="仿宋" w:eastAsia="仿宋" w:cs="仿宋"/>
          <w:szCs w:val="21"/>
        </w:rPr>
        <w:t xml:space="preserve"> 红细胞溶血测试和重组人角膜上皮模型测试</w:t>
      </w:r>
      <w:r>
        <w:rPr>
          <w:rFonts w:hint="eastAsia" w:ascii="仿宋" w:hAnsi="仿宋" w:eastAsia="仿宋" w:cs="仿宋"/>
          <w:szCs w:val="21"/>
        </w:rPr>
        <w:t>》的编制说明。</w:t>
      </w:r>
    </w:p>
    <w:p w14:paraId="5192DB9D">
      <w:pPr>
        <w:spacing w:line="360" w:lineRule="auto"/>
        <w:ind w:firstLine="420" w:firstLineChars="200"/>
        <w:rPr>
          <w:rFonts w:hint="default" w:ascii="仿宋" w:hAnsi="仿宋" w:eastAsia="仿宋" w:cs="仿宋"/>
          <w:szCs w:val="21"/>
          <w:lang w:val="en-US" w:eastAsia="zh-CN"/>
        </w:rPr>
      </w:pPr>
      <w:r>
        <w:rPr>
          <w:rFonts w:hint="eastAsia" w:ascii="仿宋" w:hAnsi="仿宋" w:eastAsia="仿宋" w:cs="仿宋"/>
          <w:szCs w:val="21"/>
          <w:lang w:val="en-US" w:eastAsia="zh-CN"/>
        </w:rPr>
        <w:t>2026年1-3月，标准起草小组按修订意见完善形成《儿童清洁化妆品开发中眼刺激性评估方法 红细胞溶血测试和重组人角膜上皮模型测试》征求意见稿。</w:t>
      </w:r>
    </w:p>
    <w:p w14:paraId="07DB8A45">
      <w:pPr>
        <w:spacing w:line="360" w:lineRule="auto"/>
        <w:ind w:firstLine="420" w:firstLineChars="200"/>
        <w:rPr>
          <w:rFonts w:ascii="仿宋" w:hAnsi="仿宋" w:eastAsia="仿宋" w:cs="仿宋"/>
          <w:szCs w:val="21"/>
        </w:rPr>
      </w:pPr>
      <w:r>
        <w:rPr>
          <w:rFonts w:hint="eastAsia" w:ascii="仿宋" w:hAnsi="仿宋" w:eastAsia="仿宋" w:cs="仿宋"/>
          <w:szCs w:val="21"/>
        </w:rPr>
        <w:t>本标准起草过程中对市场上的产品进行收集，根据目前化妆品测试的国内外相关标准要求，通过试验条件的摸索、方法建设优化及验证工作，确定该标准的检验方法和技术指标。并邀请纳爱斯（浙江）科技集团有限公司，南京盛德梅赛医疗技术有限公司，陕西博溪通用检测科技有限公司和英狄士检测技术（长沙）有限公司协作进行了测试方法验证，复核结果显示本团标测试方法和技术指标具有可行性。</w:t>
      </w:r>
    </w:p>
    <w:p w14:paraId="1AC7C5DF">
      <w:pPr>
        <w:spacing w:line="360" w:lineRule="auto"/>
        <w:rPr>
          <w:rFonts w:ascii="Times New Roman" w:hAnsi="Times New Roman" w:eastAsia="宋体"/>
          <w:b/>
          <w:bCs/>
          <w:sz w:val="24"/>
          <w:szCs w:val="24"/>
        </w:rPr>
      </w:pPr>
      <w:r>
        <w:rPr>
          <w:rFonts w:hint="eastAsia" w:ascii="Times New Roman" w:hAnsi="Times New Roman" w:eastAsia="宋体"/>
          <w:b/>
          <w:bCs/>
          <w:sz w:val="24"/>
          <w:szCs w:val="24"/>
        </w:rPr>
        <w:t>二、与我国有关法律法规和其他标准的关系</w:t>
      </w:r>
    </w:p>
    <w:p w14:paraId="78AD6D0D">
      <w:pPr>
        <w:widowControl/>
        <w:spacing w:line="360" w:lineRule="auto"/>
        <w:jc w:val="left"/>
        <w:rPr>
          <w:rFonts w:ascii="仿宋" w:hAnsi="仿宋" w:eastAsia="仿宋" w:cs="仿宋"/>
          <w:szCs w:val="21"/>
        </w:rPr>
      </w:pPr>
      <w:r>
        <w:rPr>
          <w:rFonts w:ascii="仿宋" w:hAnsi="仿宋" w:eastAsia="仿宋" w:cs="仿宋"/>
          <w:szCs w:val="21"/>
        </w:rPr>
        <w:tab/>
      </w:r>
      <w:r>
        <w:rPr>
          <w:rFonts w:hint="eastAsia" w:ascii="仿宋" w:hAnsi="仿宋" w:eastAsia="仿宋" w:cs="仿宋"/>
          <w:szCs w:val="21"/>
        </w:rPr>
        <w:t>在儿童清洁化妆品配方开发中刺激性大小是产品评估的关键环节，为了保证评估结果的科学性和可比性，这些评估方法通常与国内相关标准相结合。本团标中重组人角膜上皮模型测试方法制定参照了</w:t>
      </w:r>
      <w:r>
        <w:rPr>
          <w:rFonts w:ascii="仿宋" w:hAnsi="仿宋" w:eastAsia="仿宋" w:cs="仿宋"/>
          <w:szCs w:val="21"/>
        </w:rPr>
        <w:t>T/SHRH 012—2018《化妆品眼刺激试验体外重组类似人角膜上皮模型测试》</w:t>
      </w:r>
      <w:r>
        <w:rPr>
          <w:rFonts w:hint="eastAsia" w:ascii="仿宋" w:hAnsi="仿宋" w:eastAsia="仿宋" w:cs="仿宋"/>
          <w:szCs w:val="21"/>
        </w:rPr>
        <w:t>，该团体标准具体内容于全国团体标准信息平台公开。红细胞溶血测试方法中半溶血率定义参考</w:t>
      </w:r>
      <w:r>
        <w:rPr>
          <w:rFonts w:ascii="仿宋" w:hAnsi="仿宋" w:eastAsia="仿宋" w:cs="仿宋"/>
          <w:szCs w:val="21"/>
        </w:rPr>
        <w:t>SN/T 3824-2014</w:t>
      </w:r>
      <w:r>
        <w:rPr>
          <w:rFonts w:hint="eastAsia" w:ascii="仿宋" w:hAnsi="仿宋" w:eastAsia="仿宋" w:cs="仿宋"/>
          <w:szCs w:val="21"/>
        </w:rPr>
        <w:t>《</w:t>
      </w:r>
      <w:r>
        <w:rPr>
          <w:rFonts w:ascii="仿宋" w:hAnsi="仿宋" w:eastAsia="仿宋" w:cs="仿宋"/>
          <w:szCs w:val="21"/>
        </w:rPr>
        <w:t>化妆品光毒性试验-联合红细胞测定法</w:t>
      </w:r>
      <w:r>
        <w:rPr>
          <w:rFonts w:hint="eastAsia" w:ascii="仿宋" w:hAnsi="仿宋" w:eastAsia="仿宋" w:cs="仿宋"/>
          <w:szCs w:val="21"/>
        </w:rPr>
        <w:t>》。</w:t>
      </w:r>
    </w:p>
    <w:p w14:paraId="3BA253EE">
      <w:pPr>
        <w:widowControl/>
        <w:spacing w:line="360" w:lineRule="auto"/>
        <w:jc w:val="left"/>
        <w:rPr>
          <w:rFonts w:ascii="Times New Roman" w:hAnsi="Times New Roman" w:eastAsia="宋体"/>
          <w:b/>
          <w:bCs/>
          <w:sz w:val="24"/>
          <w:szCs w:val="24"/>
        </w:rPr>
      </w:pPr>
      <w:r>
        <w:rPr>
          <w:rFonts w:hint="eastAsia" w:ascii="Times New Roman" w:hAnsi="Times New Roman" w:eastAsia="宋体"/>
          <w:b/>
          <w:bCs/>
          <w:sz w:val="24"/>
          <w:szCs w:val="24"/>
        </w:rPr>
        <w:t>三、国外有关法律、法规和标准情况的说明</w:t>
      </w:r>
    </w:p>
    <w:p w14:paraId="7925574B">
      <w:pPr>
        <w:spacing w:line="360" w:lineRule="auto"/>
        <w:rPr>
          <w:rFonts w:ascii="仿宋" w:hAnsi="仿宋" w:eastAsia="仿宋" w:cs="仿宋"/>
          <w:kern w:val="0"/>
          <w:szCs w:val="21"/>
        </w:rPr>
      </w:pPr>
      <w:bookmarkStart w:id="0" w:name="OLE_LINK9"/>
      <w:r>
        <w:rPr>
          <w:rFonts w:ascii="仿宋" w:hAnsi="仿宋" w:eastAsia="仿宋" w:cs="仿宋"/>
          <w:kern w:val="0"/>
          <w:szCs w:val="21"/>
        </w:rPr>
        <w:tab/>
      </w:r>
      <w:r>
        <w:rPr>
          <w:rFonts w:hint="eastAsia" w:ascii="仿宋" w:hAnsi="仿宋" w:eastAsia="仿宋" w:cs="仿宋"/>
          <w:kern w:val="0"/>
          <w:szCs w:val="21"/>
        </w:rPr>
        <w:t>目前国际上，尚无关于儿童清洁化妆品开发中刺激性评估方法公开的标准。</w:t>
      </w:r>
      <w:bookmarkEnd w:id="0"/>
    </w:p>
    <w:p w14:paraId="32B73AE4">
      <w:pPr>
        <w:spacing w:line="360" w:lineRule="auto"/>
        <w:rPr>
          <w:rFonts w:ascii="Times New Roman" w:hAnsi="Times New Roman" w:eastAsia="宋体"/>
          <w:sz w:val="24"/>
          <w:szCs w:val="24"/>
        </w:rPr>
      </w:pPr>
      <w:r>
        <w:rPr>
          <w:rFonts w:hint="eastAsia" w:ascii="Times New Roman" w:hAnsi="Times New Roman" w:eastAsia="宋体"/>
          <w:b/>
          <w:bCs/>
          <w:sz w:val="24"/>
          <w:szCs w:val="24"/>
        </w:rPr>
        <w:t>四</w:t>
      </w:r>
      <w:r>
        <w:rPr>
          <w:rFonts w:ascii="Times New Roman" w:hAnsi="Times New Roman" w:eastAsia="宋体"/>
          <w:b/>
          <w:bCs/>
          <w:sz w:val="24"/>
          <w:szCs w:val="24"/>
        </w:rPr>
        <w:t>、标准的制（修）订与起草原则</w:t>
      </w:r>
    </w:p>
    <w:p w14:paraId="6E76F1F2">
      <w:pPr>
        <w:spacing w:line="360" w:lineRule="auto"/>
        <w:ind w:firstLine="420" w:firstLineChars="200"/>
        <w:rPr>
          <w:rFonts w:ascii="仿宋" w:hAnsi="仿宋" w:eastAsia="仿宋" w:cs="仿宋"/>
          <w:szCs w:val="21"/>
        </w:rPr>
      </w:pPr>
      <w:r>
        <w:rPr>
          <w:rFonts w:hint="eastAsia" w:ascii="仿宋" w:hAnsi="仿宋" w:eastAsia="仿宋" w:cs="仿宋"/>
          <w:kern w:val="0"/>
          <w:szCs w:val="21"/>
        </w:rPr>
        <w:t>本标准的制定符合产业发展的原则，本着先进性、科学性、合理性和可操作性的原则以及标准的目标、统一性、协调性、适用性、一致性和规范性原则来进行本标准的制定工作。</w:t>
      </w:r>
    </w:p>
    <w:p w14:paraId="528B567E">
      <w:pPr>
        <w:spacing w:line="360" w:lineRule="auto"/>
        <w:ind w:firstLine="420" w:firstLineChars="200"/>
        <w:rPr>
          <w:rFonts w:ascii="仿宋" w:hAnsi="仿宋" w:eastAsia="仿宋" w:cs="仿宋"/>
          <w:szCs w:val="21"/>
        </w:rPr>
      </w:pPr>
      <w:r>
        <w:rPr>
          <w:rFonts w:hint="eastAsia" w:ascii="仿宋" w:hAnsi="仿宋" w:eastAsia="仿宋" w:cs="仿宋"/>
          <w:szCs w:val="21"/>
        </w:rPr>
        <w:t>本标准起草过程中，主要依据《GB/T 1.1标准化工作导则 第1部分:标准化文件的结构和起草规则》进行编写。本标准制定过程中，主要参考了以下标准或文件：</w:t>
      </w:r>
    </w:p>
    <w:p w14:paraId="20AFE132">
      <w:pPr>
        <w:spacing w:line="360" w:lineRule="auto"/>
        <w:ind w:firstLine="210" w:firstLineChars="100"/>
        <w:rPr>
          <w:rFonts w:ascii="仿宋" w:hAnsi="仿宋" w:eastAsia="仿宋" w:cs="仿宋"/>
          <w:szCs w:val="21"/>
        </w:rPr>
      </w:pPr>
      <w:r>
        <w:rPr>
          <w:rFonts w:hint="eastAsia" w:ascii="仿宋" w:hAnsi="仿宋" w:eastAsia="仿宋" w:cs="仿宋"/>
          <w:szCs w:val="21"/>
        </w:rPr>
        <w:t>《化妆品眼刺激试验体外重组类似人角膜上皮模型测试》</w:t>
      </w:r>
      <w:r>
        <w:rPr>
          <w:rFonts w:ascii="仿宋" w:hAnsi="仿宋" w:eastAsia="仿宋" w:cs="仿宋"/>
          <w:szCs w:val="21"/>
        </w:rPr>
        <w:t>T/SHRH 012—2018</w:t>
      </w:r>
    </w:p>
    <w:p w14:paraId="308DB134">
      <w:pPr>
        <w:spacing w:line="360" w:lineRule="auto"/>
        <w:ind w:firstLine="210" w:firstLineChars="100"/>
        <w:rPr>
          <w:rFonts w:ascii="仿宋" w:hAnsi="仿宋" w:eastAsia="仿宋" w:cs="仿宋"/>
          <w:szCs w:val="21"/>
        </w:rPr>
      </w:pPr>
      <w:r>
        <w:rPr>
          <w:rFonts w:ascii="仿宋" w:hAnsi="仿宋" w:eastAsia="仿宋" w:cs="仿宋"/>
          <w:szCs w:val="21"/>
        </w:rPr>
        <w:t>《化妆品光毒性试验联合红细胞测定法》SN/T 3824--2014</w:t>
      </w:r>
    </w:p>
    <w:p w14:paraId="6791962A">
      <w:pPr>
        <w:pStyle w:val="2"/>
        <w:widowControl w:val="0"/>
        <w:numPr>
          <w:ilvl w:val="0"/>
          <w:numId w:val="3"/>
        </w:numPr>
        <w:tabs>
          <w:tab w:val="left" w:pos="531"/>
        </w:tabs>
        <w:autoSpaceDE w:val="0"/>
        <w:autoSpaceDN w:val="0"/>
        <w:spacing w:before="0" w:beforeAutospacing="0" w:after="0" w:afterAutospacing="0" w:line="360" w:lineRule="auto"/>
        <w:rPr>
          <w:rFonts w:ascii="Times New Roman" w:hAnsi="Times New Roman" w:cs="Times New Roman"/>
          <w:sz w:val="24"/>
          <w:szCs w:val="24"/>
        </w:rPr>
      </w:pPr>
      <w:r>
        <w:rPr>
          <w:rFonts w:ascii="Times New Roman" w:hAnsi="Times New Roman" w:cs="Times New Roman"/>
          <w:sz w:val="24"/>
          <w:szCs w:val="24"/>
        </w:rPr>
        <w:t>确定各项技术内容（如技术指标、参数、公式、试验方法、检验规则等）的依据（与国际相关标准的对比情况，与国际标准不一致的，应当提供科学依据）</w:t>
      </w:r>
    </w:p>
    <w:p w14:paraId="349BA590">
      <w:pPr>
        <w:spacing w:line="360" w:lineRule="auto"/>
        <w:rPr>
          <w:rFonts w:ascii="仿宋" w:hAnsi="仿宋" w:eastAsia="仿宋" w:cs="仿宋"/>
          <w:kern w:val="0"/>
          <w:szCs w:val="21"/>
        </w:rPr>
      </w:pPr>
      <w:r>
        <w:rPr>
          <w:rFonts w:ascii="仿宋" w:hAnsi="仿宋" w:eastAsia="仿宋" w:cs="仿宋"/>
          <w:kern w:val="0"/>
          <w:szCs w:val="21"/>
        </w:rPr>
        <w:tab/>
      </w:r>
      <w:r>
        <w:rPr>
          <w:rFonts w:hint="eastAsia" w:ascii="仿宋" w:hAnsi="仿宋" w:eastAsia="仿宋" w:cs="仿宋"/>
          <w:kern w:val="0"/>
          <w:szCs w:val="21"/>
        </w:rPr>
        <w:t>一般刺激性常用鸡胚测试方法或者其他动物测试方法的结果评价分析往往依靠主观观察评分，不同人分析评价结果可能相差较大。本团标使用红细胞溶血实验和重组人角膜上皮模型测试实验两种符合世界伦理要求、能够低成本进行大量原料和配方测试的方法综合评估，结果判定均采用测量吸光度，避免肉眼观察的主观性，因此更为准确和客观。此外两种方法与动物实验结果有一致性，两个方法之间既可以互相参考，也可以根据实验条件选择一种开展作为开发中的刺激性判断。</w:t>
      </w:r>
    </w:p>
    <w:p w14:paraId="1CD42739">
      <w:pPr>
        <w:spacing w:line="360" w:lineRule="auto"/>
        <w:rPr>
          <w:rFonts w:ascii="仿宋" w:hAnsi="仿宋" w:eastAsia="仿宋" w:cs="仿宋"/>
          <w:kern w:val="0"/>
          <w:szCs w:val="21"/>
          <w:highlight w:val="yellow"/>
        </w:rPr>
      </w:pPr>
      <w:r>
        <w:rPr>
          <w:rFonts w:ascii="仿宋" w:hAnsi="仿宋" w:eastAsia="仿宋" w:cs="仿宋"/>
          <w:kern w:val="0"/>
          <w:szCs w:val="21"/>
        </w:rPr>
        <w:tab/>
      </w:r>
      <w:r>
        <w:rPr>
          <w:rFonts w:hint="eastAsia" w:ascii="仿宋" w:hAnsi="仿宋" w:eastAsia="仿宋" w:cs="仿宋"/>
          <w:kern w:val="0"/>
          <w:szCs w:val="21"/>
        </w:rPr>
        <w:t>红细胞溶血测试的优势在于其原理简单、快速、经济且高度标准化，</w:t>
      </w:r>
      <w:r>
        <w:rPr>
          <w:rFonts w:ascii="仿宋" w:hAnsi="仿宋" w:eastAsia="仿宋" w:cs="仿宋"/>
          <w:kern w:val="0"/>
          <w:szCs w:val="21"/>
        </w:rPr>
        <w:t>它直接模拟化学物质对细胞膜的物理性破坏作用，这是许多表面活性剂产生刺激的关键初始机制。相较于其他基于细胞代谢活性的通用细胞毒性测试，它更能特异地反映膜损伤程度，结果直观、重复性好，非常适合作为定量分级手段。</w:t>
      </w:r>
      <w:r>
        <w:rPr>
          <w:rFonts w:hint="eastAsia" w:ascii="仿宋" w:hAnsi="仿宋" w:eastAsia="仿宋" w:cs="仿宋"/>
          <w:kern w:val="0"/>
          <w:szCs w:val="21"/>
        </w:rPr>
        <w:t>在结果分类评判上，现有资料大多是测试并计算得出半数红细胞溶血浓度</w:t>
      </w:r>
      <w:r>
        <w:rPr>
          <w:rFonts w:ascii="仿宋" w:hAnsi="仿宋" w:eastAsia="仿宋" w:cs="仿宋"/>
          <w:kern w:val="0"/>
          <w:szCs w:val="21"/>
        </w:rPr>
        <w:t>HC</w:t>
      </w:r>
      <w:r>
        <w:rPr>
          <w:rFonts w:ascii="仿宋" w:hAnsi="仿宋" w:eastAsia="仿宋" w:cs="仿宋"/>
          <w:kern w:val="0"/>
          <w:szCs w:val="21"/>
          <w:vertAlign w:val="subscript"/>
        </w:rPr>
        <w:t>50</w:t>
      </w:r>
      <w:r>
        <w:rPr>
          <w:rFonts w:hint="eastAsia" w:ascii="仿宋" w:hAnsi="仿宋" w:eastAsia="仿宋" w:cs="仿宋"/>
          <w:kern w:val="0"/>
          <w:szCs w:val="21"/>
        </w:rPr>
        <w:t>与</w:t>
      </w:r>
      <w:r>
        <w:rPr>
          <w:rFonts w:ascii="仿宋" w:hAnsi="仿宋" w:eastAsia="仿宋" w:cs="仿宋"/>
          <w:kern w:val="0"/>
          <w:szCs w:val="21"/>
        </w:rPr>
        <w:t>血红</w:t>
      </w:r>
      <w:r>
        <w:rPr>
          <w:rFonts w:hint="eastAsia" w:ascii="仿宋" w:hAnsi="仿宋" w:eastAsia="仿宋" w:cs="仿宋"/>
          <w:kern w:val="0"/>
          <w:szCs w:val="21"/>
        </w:rPr>
        <w:t>蛋白变性指数</w:t>
      </w:r>
      <w:r>
        <w:rPr>
          <w:rFonts w:ascii="仿宋" w:hAnsi="仿宋" w:eastAsia="仿宋" w:cs="仿宋"/>
          <w:kern w:val="0"/>
          <w:szCs w:val="21"/>
        </w:rPr>
        <w:t>DI的比值H/D，根据比值对测试样品</w:t>
      </w:r>
      <w:r>
        <w:rPr>
          <w:rFonts w:hint="eastAsia" w:ascii="仿宋" w:hAnsi="仿宋" w:eastAsia="仿宋" w:cs="仿宋"/>
          <w:kern w:val="0"/>
          <w:szCs w:val="21"/>
        </w:rPr>
        <w:t>进行“无刺激、微弱刺激、轻度刺激、严重刺激”</w:t>
      </w:r>
      <w:r>
        <w:rPr>
          <w:rFonts w:ascii="仿宋" w:hAnsi="仿宋" w:eastAsia="仿宋" w:cs="仿宋"/>
          <w:kern w:val="0"/>
          <w:szCs w:val="21"/>
        </w:rPr>
        <w:t>4</w:t>
      </w:r>
      <w:r>
        <w:rPr>
          <w:rFonts w:hint="eastAsia" w:ascii="仿宋" w:hAnsi="仿宋" w:eastAsia="仿宋" w:cs="仿宋"/>
          <w:kern w:val="0"/>
          <w:szCs w:val="21"/>
        </w:rPr>
        <w:t>个级别的评价。但在儿童清洁化妆品的测试中，大部分的刺激性等级处于“无刺激性”或“微刺激性”水平，无法进行更为细致区分和比较，因而也无法给予产品开发过程中的表面活性剂原料筛选、配方横向比较等提供有效的参考。而通过测试和比较样品的</w:t>
      </w:r>
      <w:r>
        <w:rPr>
          <w:rFonts w:ascii="仿宋" w:hAnsi="仿宋" w:eastAsia="仿宋" w:cs="仿宋"/>
          <w:kern w:val="0"/>
          <w:szCs w:val="21"/>
        </w:rPr>
        <w:t>HC</w:t>
      </w:r>
      <w:r>
        <w:rPr>
          <w:rFonts w:ascii="仿宋" w:hAnsi="仿宋" w:eastAsia="仿宋" w:cs="仿宋"/>
          <w:kern w:val="0"/>
          <w:szCs w:val="21"/>
          <w:vertAlign w:val="subscript"/>
        </w:rPr>
        <w:t>50</w:t>
      </w:r>
      <w:r>
        <w:rPr>
          <w:rFonts w:hint="eastAsia" w:ascii="仿宋" w:hAnsi="仿宋" w:eastAsia="仿宋" w:cs="仿宋"/>
          <w:kern w:val="0"/>
          <w:szCs w:val="21"/>
        </w:rPr>
        <w:t>，既能够区分相同刺激性等级下不同样品之间细微的刺激性差异，也可以节省更多测试和计算时间，提高产品研发的效率。</w:t>
      </w:r>
      <w:r>
        <w:rPr>
          <w:rFonts w:hint="eastAsia" w:ascii="仿宋" w:hAnsi="仿宋" w:eastAsia="仿宋" w:cs="仿宋"/>
          <w:kern w:val="0"/>
          <w:szCs w:val="21"/>
          <w:highlight w:val="none"/>
        </w:rPr>
        <w:t>因此，本团标标准划分参考经济合作与发展组织（</w:t>
      </w:r>
      <w:r>
        <w:rPr>
          <w:rFonts w:ascii="仿宋" w:hAnsi="仿宋" w:eastAsia="仿宋" w:cs="仿宋"/>
          <w:kern w:val="0"/>
          <w:szCs w:val="21"/>
          <w:highlight w:val="none"/>
        </w:rPr>
        <w:t>OECD）发布的测试指南第404号《急性皮肤刺激/腐蚀性试验》中关于溶血性分类的经典定义，以及联合国《全球化学品统一分类和标签制度》（GHS，第10修订版）关于化学品皮肤腐蚀性/刺激性分类的阈值逻辑</w:t>
      </w:r>
      <w:r>
        <w:rPr>
          <w:rFonts w:hint="eastAsia" w:ascii="仿宋" w:hAnsi="仿宋" w:eastAsia="仿宋" w:cs="仿宋"/>
          <w:kern w:val="0"/>
          <w:szCs w:val="21"/>
          <w:highlight w:val="none"/>
        </w:rPr>
        <w:t>，确定了</w:t>
      </w:r>
      <w:r>
        <w:rPr>
          <w:rFonts w:ascii="仿宋" w:hAnsi="仿宋" w:eastAsia="仿宋" w:cs="仿宋"/>
          <w:kern w:val="0"/>
          <w:szCs w:val="21"/>
          <w:highlight w:val="none"/>
        </w:rPr>
        <w:t>HC</w:t>
      </w:r>
      <w:r>
        <w:rPr>
          <w:rFonts w:ascii="仿宋" w:hAnsi="仿宋" w:eastAsia="仿宋" w:cs="仿宋"/>
          <w:kern w:val="0"/>
          <w:szCs w:val="21"/>
          <w:highlight w:val="none"/>
          <w:vertAlign w:val="subscript"/>
        </w:rPr>
        <w:t>50</w:t>
      </w:r>
      <w:r>
        <w:rPr>
          <w:rFonts w:hint="eastAsia" w:ascii="仿宋" w:hAnsi="仿宋" w:eastAsia="仿宋" w:cs="仿宋"/>
          <w:kern w:val="0"/>
          <w:szCs w:val="21"/>
          <w:highlight w:val="none"/>
        </w:rPr>
        <w:t>划分标准，同时经起草工作组内部验证及多家参与单位的协同验证，结果显示其与产品实际使用中的温和性表现具有良好的一致性，能够有效指导儿童清洁化妆品的配方筛选与安全性评估。</w:t>
      </w:r>
    </w:p>
    <w:p w14:paraId="5E0D4058">
      <w:pPr>
        <w:spacing w:line="360" w:lineRule="auto"/>
        <w:rPr>
          <w:rFonts w:ascii="仿宋" w:hAnsi="仿宋" w:eastAsia="仿宋" w:cs="仿宋"/>
          <w:kern w:val="0"/>
          <w:szCs w:val="21"/>
        </w:rPr>
      </w:pPr>
      <w:r>
        <w:rPr>
          <w:rFonts w:ascii="仿宋" w:hAnsi="仿宋" w:eastAsia="仿宋" w:cs="仿宋"/>
          <w:kern w:val="0"/>
          <w:szCs w:val="21"/>
        </w:rPr>
        <w:tab/>
      </w:r>
      <w:r>
        <w:rPr>
          <w:rFonts w:hint="eastAsia" w:ascii="仿宋" w:hAnsi="仿宋" w:eastAsia="仿宋" w:cs="仿宋"/>
          <w:kern w:val="0"/>
          <w:szCs w:val="21"/>
        </w:rPr>
        <w:t>重组人角膜上皮模型测试的优势在于其高度的仿生性和预测相关性，</w:t>
      </w:r>
      <w:r>
        <w:rPr>
          <w:rFonts w:ascii="仿宋" w:hAnsi="仿宋" w:eastAsia="仿宋" w:cs="仿宋"/>
          <w:kern w:val="0"/>
          <w:szCs w:val="21"/>
        </w:rPr>
        <w:t>该模型为三维、分化的多层组织，具有完整的屏障功能（类似角膜最外层的上皮层），能更真实地模拟化学物质与眼表组织的复杂相互作用</w:t>
      </w:r>
      <w:r>
        <w:rPr>
          <w:rFonts w:hint="eastAsia" w:ascii="仿宋" w:hAnsi="仿宋" w:eastAsia="仿宋" w:cs="仿宋"/>
          <w:kern w:val="0"/>
          <w:szCs w:val="21"/>
        </w:rPr>
        <w:t>，</w:t>
      </w:r>
      <w:r>
        <w:rPr>
          <w:rFonts w:ascii="仿宋" w:hAnsi="仿宋" w:eastAsia="仿宋" w:cs="仿宋"/>
          <w:kern w:val="0"/>
          <w:szCs w:val="21"/>
        </w:rPr>
        <w:t>相比传统的二维细胞培养或鸡胚绒毛尿囊膜试验，它能提供更全面的终点评估，包括细胞毒性、屏障破坏和炎症反应等</w:t>
      </w:r>
      <w:r>
        <w:rPr>
          <w:rFonts w:hint="eastAsia" w:ascii="仿宋" w:hAnsi="仿宋" w:eastAsia="仿宋" w:cs="仿宋"/>
          <w:kern w:val="0"/>
          <w:szCs w:val="21"/>
        </w:rPr>
        <w:t>。该方法与动物实验结果一致性目前已经被多家权威机构验证，结果一致性表现优异。如浙江省食品药品检验研究院发表文章《基于</w:t>
      </w:r>
      <w:r>
        <w:rPr>
          <w:rFonts w:ascii="仿宋" w:hAnsi="仿宋" w:eastAsia="仿宋" w:cs="仿宋"/>
          <w:kern w:val="0"/>
          <w:szCs w:val="21"/>
        </w:rPr>
        <w:t>BioOcullar</w:t>
      </w:r>
      <w:r>
        <w:rPr>
          <w:rFonts w:ascii="Calibri" w:hAnsi="Calibri" w:eastAsia="仿宋" w:cs="Calibri"/>
          <w:kern w:val="0"/>
          <w:szCs w:val="21"/>
        </w:rPr>
        <w:t>®</w:t>
      </w:r>
      <w:r>
        <w:rPr>
          <w:rFonts w:ascii="仿宋" w:hAnsi="仿宋" w:eastAsia="仿宋" w:cs="仿宋"/>
          <w:kern w:val="0"/>
          <w:szCs w:val="21"/>
        </w:rPr>
        <w:t>模型的清洁类化妆品眼刺激性评价方法</w:t>
      </w:r>
      <w:r>
        <w:rPr>
          <w:rFonts w:hint="eastAsia" w:ascii="仿宋" w:hAnsi="仿宋" w:eastAsia="仿宋" w:cs="仿宋"/>
          <w:kern w:val="0"/>
          <w:szCs w:val="21"/>
        </w:rPr>
        <w:t>的建立》中的结果显示三次试验结果,体内外一致率为</w:t>
      </w:r>
      <w:r>
        <w:rPr>
          <w:rFonts w:ascii="仿宋" w:hAnsi="仿宋" w:eastAsia="仿宋" w:cs="仿宋"/>
          <w:kern w:val="0"/>
          <w:szCs w:val="21"/>
        </w:rPr>
        <w:t>91.7%，说明该标准可以较准确</w:t>
      </w:r>
      <w:r>
        <w:rPr>
          <w:rFonts w:hint="eastAsia" w:ascii="仿宋" w:hAnsi="仿宋" w:eastAsia="仿宋" w:cs="仿宋"/>
          <w:kern w:val="0"/>
          <w:szCs w:val="21"/>
        </w:rPr>
        <w:t>地区分洁面类化妆品的眼刺激性</w:t>
      </w:r>
      <w:r>
        <w:rPr>
          <w:rFonts w:ascii="仿宋" w:hAnsi="仿宋" w:eastAsia="仿宋" w:cs="仿宋"/>
          <w:kern w:val="0"/>
          <w:szCs w:val="21"/>
        </w:rPr>
        <w:t>;</w:t>
      </w:r>
      <w:r>
        <w:rPr>
          <w:rFonts w:hint="eastAsia" w:ascii="仿宋" w:hAnsi="仿宋" w:eastAsia="仿宋" w:cs="仿宋"/>
          <w:kern w:val="0"/>
          <w:szCs w:val="21"/>
        </w:rPr>
        <w:t>上海市疾病预防控制中心发表文章《三维重建人角膜模型在化学品眼刺激分类中的实验研究》中结果显示</w:t>
      </w:r>
      <w:r>
        <w:rPr>
          <w:rFonts w:ascii="仿宋" w:hAnsi="仿宋" w:eastAsia="仿宋" w:cs="仿宋"/>
          <w:kern w:val="0"/>
          <w:szCs w:val="21"/>
        </w:rPr>
        <w:t>14种已知眼刺激分类的标准化学品</w:t>
      </w:r>
      <w:r>
        <w:rPr>
          <w:rFonts w:hint="eastAsia" w:ascii="仿宋" w:hAnsi="仿宋" w:eastAsia="仿宋" w:cs="仿宋"/>
          <w:kern w:val="0"/>
          <w:szCs w:val="21"/>
        </w:rPr>
        <w:t>，整体准确率达到</w:t>
      </w:r>
      <w:r>
        <w:rPr>
          <w:rFonts w:ascii="仿宋" w:hAnsi="仿宋" w:eastAsia="仿宋" w:cs="仿宋"/>
          <w:kern w:val="0"/>
          <w:szCs w:val="21"/>
        </w:rPr>
        <w:t>100%</w:t>
      </w:r>
      <w:r>
        <w:rPr>
          <w:rFonts w:hint="eastAsia" w:ascii="仿宋" w:hAnsi="仿宋" w:eastAsia="仿宋" w:cs="仿宋"/>
          <w:kern w:val="0"/>
          <w:szCs w:val="21"/>
        </w:rPr>
        <w:t>，有效弥补了单一体外测试方法替代动物试验的空缺。</w:t>
      </w:r>
    </w:p>
    <w:p w14:paraId="450DBAF9">
      <w:pPr>
        <w:spacing w:line="360" w:lineRule="auto"/>
        <w:rPr>
          <w:rFonts w:ascii="仿宋" w:hAnsi="仿宋" w:eastAsia="仿宋" w:cs="仿宋"/>
          <w:kern w:val="0"/>
          <w:szCs w:val="21"/>
        </w:rPr>
      </w:pPr>
      <w:r>
        <w:rPr>
          <w:rFonts w:ascii="仿宋" w:hAnsi="仿宋" w:eastAsia="仿宋" w:cs="仿宋"/>
          <w:kern w:val="0"/>
          <w:szCs w:val="21"/>
        </w:rPr>
        <w:tab/>
      </w:r>
      <w:r>
        <w:rPr>
          <w:rFonts w:hint="eastAsia" w:ascii="仿宋" w:hAnsi="仿宋" w:eastAsia="仿宋" w:cs="仿宋"/>
          <w:kern w:val="0"/>
          <w:szCs w:val="21"/>
        </w:rPr>
        <w:t>综合来说，本团体标准通过对红细胞溶血测试方法中的结果评判方式优化和验证、重组人角膜上皮模型测试方法的权威机构验证均与动物结果具有较强的一致性，能够满足儿童清洁化妆品开发中原料筛选和开发后的产品验证需求，凭借客观的评估方式给出量化的数据结果，提升开发效率。</w:t>
      </w:r>
    </w:p>
    <w:p w14:paraId="3193FCB9">
      <w:pPr>
        <w:pStyle w:val="2"/>
        <w:widowControl w:val="0"/>
        <w:tabs>
          <w:tab w:val="left" w:pos="531"/>
        </w:tabs>
        <w:autoSpaceDE w:val="0"/>
        <w:autoSpaceDN w:val="0"/>
        <w:spacing w:before="0" w:beforeAutospacing="0" w:after="0" w:afterAutospacing="0" w:line="360" w:lineRule="auto"/>
        <w:rPr>
          <w:rFonts w:ascii="仿宋" w:hAnsi="仿宋" w:eastAsia="仿宋" w:cs="仿宋"/>
          <w:sz w:val="21"/>
          <w:szCs w:val="21"/>
        </w:rPr>
      </w:pPr>
      <w:r>
        <w:rPr>
          <w:rFonts w:hint="eastAsia" w:ascii="仿宋" w:hAnsi="仿宋" w:eastAsia="仿宋" w:cs="仿宋"/>
          <w:sz w:val="21"/>
          <w:szCs w:val="21"/>
        </w:rPr>
        <w:t>1.各项技术指标要求</w:t>
      </w:r>
    </w:p>
    <w:p w14:paraId="26BFF627">
      <w:pPr>
        <w:pStyle w:val="31"/>
        <w:tabs>
          <w:tab w:val="left" w:pos="839"/>
        </w:tabs>
        <w:spacing w:line="360" w:lineRule="auto"/>
        <w:ind w:left="420" w:firstLine="0" w:firstLineChars="0"/>
        <w:jc w:val="center"/>
        <w:rPr>
          <w:rFonts w:ascii="仿宋" w:hAnsi="仿宋" w:eastAsia="仿宋" w:cs="仿宋"/>
          <w:szCs w:val="21"/>
          <w:lang w:val="zh-CN"/>
        </w:rPr>
      </w:pPr>
      <w:r>
        <w:rPr>
          <w:rFonts w:hint="eastAsia" w:ascii="仿宋" w:hAnsi="仿宋" w:eastAsia="仿宋" w:cs="仿宋"/>
          <w:szCs w:val="21"/>
          <w:lang w:val="zh-CN"/>
        </w:rPr>
        <w:t>表</w:t>
      </w:r>
      <w:r>
        <w:rPr>
          <w:rFonts w:ascii="仿宋" w:hAnsi="仿宋" w:eastAsia="仿宋" w:cs="仿宋"/>
          <w:szCs w:val="21"/>
        </w:rPr>
        <w:t>1</w:t>
      </w:r>
      <w:r>
        <w:rPr>
          <w:rFonts w:hint="eastAsia" w:ascii="仿宋" w:hAnsi="仿宋" w:eastAsia="仿宋" w:cs="仿宋"/>
          <w:szCs w:val="21"/>
          <w:lang w:val="zh-CN"/>
        </w:rPr>
        <w:t xml:space="preserve"> 测试指标要求</w:t>
      </w:r>
    </w:p>
    <w:tbl>
      <w:tblPr>
        <w:tblStyle w:val="12"/>
        <w:tblW w:w="8217"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autofit"/>
        <w:tblCellMar>
          <w:top w:w="0" w:type="dxa"/>
          <w:left w:w="108" w:type="dxa"/>
          <w:bottom w:w="0" w:type="dxa"/>
          <w:right w:w="108" w:type="dxa"/>
        </w:tblCellMar>
      </w:tblPr>
      <w:tblGrid>
        <w:gridCol w:w="704"/>
        <w:gridCol w:w="992"/>
        <w:gridCol w:w="1134"/>
        <w:gridCol w:w="4536"/>
        <w:gridCol w:w="851"/>
      </w:tblGrid>
      <w:tr w14:paraId="244B4F23">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704" w:type="dxa"/>
            <w:vAlign w:val="center"/>
          </w:tcPr>
          <w:p w14:paraId="08AB9F1B">
            <w:pPr>
              <w:snapToGrid w:val="0"/>
              <w:jc w:val="center"/>
              <w:rPr>
                <w:rFonts w:ascii="仿宋" w:hAnsi="仿宋" w:eastAsia="仿宋" w:cs="仿宋"/>
                <w:sz w:val="18"/>
                <w:szCs w:val="18"/>
              </w:rPr>
            </w:pPr>
          </w:p>
        </w:tc>
        <w:tc>
          <w:tcPr>
            <w:tcW w:w="992" w:type="dxa"/>
            <w:vAlign w:val="center"/>
          </w:tcPr>
          <w:p w14:paraId="6A0D4E29">
            <w:pPr>
              <w:snapToGrid w:val="0"/>
              <w:jc w:val="center"/>
              <w:rPr>
                <w:rFonts w:ascii="仿宋" w:hAnsi="仿宋" w:eastAsia="仿宋" w:cs="仿宋"/>
                <w:sz w:val="18"/>
                <w:szCs w:val="18"/>
              </w:rPr>
            </w:pPr>
            <w:r>
              <w:rPr>
                <w:rFonts w:hint="eastAsia" w:ascii="仿宋" w:hAnsi="仿宋" w:eastAsia="仿宋" w:cs="仿宋"/>
                <w:sz w:val="18"/>
                <w:szCs w:val="18"/>
              </w:rPr>
              <w:t>指标</w:t>
            </w:r>
          </w:p>
        </w:tc>
        <w:tc>
          <w:tcPr>
            <w:tcW w:w="1134" w:type="dxa"/>
            <w:vAlign w:val="center"/>
          </w:tcPr>
          <w:p w14:paraId="59E996C6">
            <w:pPr>
              <w:snapToGrid w:val="0"/>
              <w:jc w:val="center"/>
              <w:rPr>
                <w:rFonts w:ascii="仿宋" w:hAnsi="仿宋" w:eastAsia="仿宋" w:cs="仿宋"/>
                <w:sz w:val="18"/>
                <w:szCs w:val="18"/>
              </w:rPr>
            </w:pPr>
            <w:r>
              <w:rPr>
                <w:rFonts w:hint="eastAsia" w:ascii="仿宋" w:hAnsi="仿宋" w:eastAsia="仿宋" w:cs="仿宋"/>
                <w:sz w:val="18"/>
                <w:szCs w:val="18"/>
              </w:rPr>
              <w:t>本标准要求</w:t>
            </w:r>
          </w:p>
        </w:tc>
        <w:tc>
          <w:tcPr>
            <w:tcW w:w="4536" w:type="dxa"/>
            <w:vAlign w:val="center"/>
          </w:tcPr>
          <w:p w14:paraId="0B6F3603">
            <w:pPr>
              <w:snapToGrid w:val="0"/>
              <w:jc w:val="center"/>
              <w:rPr>
                <w:rFonts w:ascii="仿宋" w:hAnsi="仿宋" w:eastAsia="仿宋" w:cs="仿宋"/>
                <w:sz w:val="18"/>
                <w:szCs w:val="18"/>
              </w:rPr>
            </w:pPr>
            <w:r>
              <w:rPr>
                <w:rFonts w:hint="eastAsia" w:ascii="仿宋" w:hAnsi="仿宋" w:eastAsia="仿宋" w:cs="仿宋"/>
                <w:sz w:val="18"/>
                <w:szCs w:val="18"/>
              </w:rPr>
              <w:t>指标制定依据</w:t>
            </w:r>
          </w:p>
        </w:tc>
        <w:tc>
          <w:tcPr>
            <w:tcW w:w="851" w:type="dxa"/>
            <w:vAlign w:val="center"/>
          </w:tcPr>
          <w:p w14:paraId="14A52758">
            <w:pPr>
              <w:snapToGrid w:val="0"/>
              <w:jc w:val="center"/>
              <w:rPr>
                <w:rFonts w:ascii="仿宋" w:hAnsi="仿宋" w:eastAsia="仿宋" w:cs="仿宋"/>
                <w:sz w:val="18"/>
                <w:szCs w:val="18"/>
              </w:rPr>
            </w:pPr>
            <w:r>
              <w:rPr>
                <w:rFonts w:hint="eastAsia" w:ascii="仿宋" w:hAnsi="仿宋" w:eastAsia="仿宋" w:cs="仿宋"/>
                <w:sz w:val="18"/>
                <w:szCs w:val="18"/>
              </w:rPr>
              <w:t>依据名称</w:t>
            </w:r>
          </w:p>
        </w:tc>
      </w:tr>
      <w:tr w14:paraId="5C741158">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704" w:type="dxa"/>
            <w:vMerge w:val="restart"/>
            <w:vAlign w:val="center"/>
          </w:tcPr>
          <w:p w14:paraId="52FDF498">
            <w:pPr>
              <w:jc w:val="center"/>
              <w:rPr>
                <w:rFonts w:ascii="仿宋" w:hAnsi="仿宋" w:eastAsia="仿宋" w:cs="仿宋"/>
                <w:sz w:val="18"/>
                <w:szCs w:val="18"/>
              </w:rPr>
            </w:pPr>
            <w:r>
              <w:rPr>
                <w:rFonts w:hint="eastAsia" w:ascii="仿宋" w:hAnsi="仿宋" w:eastAsia="仿宋" w:cs="仿宋"/>
                <w:sz w:val="18"/>
                <w:szCs w:val="18"/>
              </w:rPr>
              <w:t>实验室环境</w:t>
            </w:r>
          </w:p>
        </w:tc>
        <w:tc>
          <w:tcPr>
            <w:tcW w:w="992" w:type="dxa"/>
            <w:vAlign w:val="center"/>
          </w:tcPr>
          <w:p w14:paraId="7AC89E35">
            <w:pPr>
              <w:snapToGrid w:val="0"/>
              <w:jc w:val="center"/>
              <w:rPr>
                <w:rFonts w:ascii="仿宋" w:hAnsi="仿宋" w:eastAsia="仿宋" w:cs="仿宋"/>
                <w:sz w:val="18"/>
                <w:szCs w:val="18"/>
              </w:rPr>
            </w:pPr>
            <w:r>
              <w:rPr>
                <w:rFonts w:hint="eastAsia" w:ascii="仿宋" w:hAnsi="仿宋" w:eastAsia="仿宋" w:cs="仿宋"/>
                <w:sz w:val="18"/>
                <w:szCs w:val="18"/>
              </w:rPr>
              <w:t>温度</w:t>
            </w:r>
          </w:p>
        </w:tc>
        <w:tc>
          <w:tcPr>
            <w:tcW w:w="1134" w:type="dxa"/>
            <w:vAlign w:val="center"/>
          </w:tcPr>
          <w:p w14:paraId="0C243D6F">
            <w:pPr>
              <w:snapToGrid w:val="0"/>
              <w:jc w:val="center"/>
              <w:rPr>
                <w:rFonts w:ascii="仿宋" w:hAnsi="仿宋" w:eastAsia="仿宋" w:cs="仿宋"/>
                <w:sz w:val="18"/>
                <w:szCs w:val="18"/>
              </w:rPr>
            </w:pPr>
            <w:r>
              <w:rPr>
                <w:rFonts w:ascii="仿宋" w:hAnsi="仿宋" w:eastAsia="仿宋" w:cs="仿宋"/>
                <w:sz w:val="18"/>
                <w:szCs w:val="18"/>
              </w:rPr>
              <w:t>(20-30)</w:t>
            </w:r>
            <w:r>
              <w:rPr>
                <w:rFonts w:hint="eastAsia" w:ascii="仿宋" w:hAnsi="仿宋" w:eastAsia="仿宋" w:cs="仿宋"/>
                <w:sz w:val="18"/>
                <w:szCs w:val="18"/>
              </w:rPr>
              <w:t>℃</w:t>
            </w:r>
          </w:p>
        </w:tc>
        <w:tc>
          <w:tcPr>
            <w:tcW w:w="4536" w:type="dxa"/>
          </w:tcPr>
          <w:p w14:paraId="47939645">
            <w:pPr>
              <w:rPr>
                <w:rFonts w:ascii="仿宋" w:hAnsi="仿宋" w:eastAsia="仿宋"/>
                <w:sz w:val="18"/>
                <w:szCs w:val="18"/>
              </w:rPr>
            </w:pPr>
            <w:r>
              <w:rPr>
                <w:rFonts w:ascii="仿宋" w:hAnsi="仿宋" w:eastAsia="仿宋"/>
                <w:sz w:val="18"/>
                <w:szCs w:val="18"/>
              </w:rPr>
              <w:t>该温度范围为国际通用的实验室标准环境温度，可保障测试条件的稳定性与重复性，避免温度波动对样品物理化学性质及测试结果的干扰。</w:t>
            </w:r>
          </w:p>
        </w:tc>
        <w:tc>
          <w:tcPr>
            <w:tcW w:w="851" w:type="dxa"/>
            <w:vAlign w:val="center"/>
          </w:tcPr>
          <w:p w14:paraId="3591BE23">
            <w:pPr>
              <w:snapToGrid w:val="0"/>
              <w:jc w:val="center"/>
              <w:rPr>
                <w:rFonts w:ascii="仿宋" w:hAnsi="仿宋" w:eastAsia="仿宋" w:cs="仿宋"/>
                <w:sz w:val="18"/>
                <w:szCs w:val="18"/>
              </w:rPr>
            </w:pPr>
            <w:r>
              <w:rPr>
                <w:rFonts w:hint="eastAsia" w:ascii="仿宋" w:hAnsi="仿宋" w:eastAsia="仿宋" w:cs="仿宋"/>
                <w:sz w:val="18"/>
                <w:szCs w:val="18"/>
              </w:rPr>
              <w:t>/</w:t>
            </w:r>
          </w:p>
        </w:tc>
      </w:tr>
      <w:tr w14:paraId="7D84A365">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704" w:type="dxa"/>
            <w:vMerge w:val="continue"/>
            <w:vAlign w:val="center"/>
          </w:tcPr>
          <w:p w14:paraId="656E428E">
            <w:pPr>
              <w:snapToGrid w:val="0"/>
              <w:jc w:val="center"/>
              <w:rPr>
                <w:rFonts w:ascii="仿宋" w:hAnsi="仿宋" w:eastAsia="仿宋" w:cs="仿宋"/>
                <w:sz w:val="18"/>
                <w:szCs w:val="18"/>
              </w:rPr>
            </w:pPr>
          </w:p>
        </w:tc>
        <w:tc>
          <w:tcPr>
            <w:tcW w:w="992" w:type="dxa"/>
            <w:vAlign w:val="center"/>
          </w:tcPr>
          <w:p w14:paraId="52E5E156">
            <w:pPr>
              <w:snapToGrid w:val="0"/>
              <w:jc w:val="center"/>
              <w:rPr>
                <w:rFonts w:ascii="仿宋" w:hAnsi="仿宋" w:eastAsia="仿宋" w:cs="仿宋"/>
                <w:sz w:val="18"/>
                <w:szCs w:val="18"/>
              </w:rPr>
            </w:pPr>
            <w:r>
              <w:rPr>
                <w:rFonts w:hint="eastAsia" w:ascii="仿宋" w:hAnsi="仿宋" w:eastAsia="仿宋" w:cs="仿宋"/>
                <w:sz w:val="18"/>
                <w:szCs w:val="18"/>
              </w:rPr>
              <w:t>湿度</w:t>
            </w:r>
          </w:p>
        </w:tc>
        <w:tc>
          <w:tcPr>
            <w:tcW w:w="1134" w:type="dxa"/>
            <w:vAlign w:val="center"/>
          </w:tcPr>
          <w:p w14:paraId="60A68857">
            <w:pPr>
              <w:snapToGrid w:val="0"/>
              <w:jc w:val="center"/>
              <w:rPr>
                <w:rFonts w:ascii="仿宋" w:hAnsi="仿宋" w:eastAsia="仿宋"/>
                <w:sz w:val="18"/>
                <w:szCs w:val="18"/>
              </w:rPr>
            </w:pPr>
            <w:r>
              <w:rPr>
                <w:rFonts w:hint="eastAsia" w:ascii="仿宋" w:hAnsi="仿宋" w:eastAsia="仿宋"/>
                <w:sz w:val="18"/>
                <w:szCs w:val="18"/>
              </w:rPr>
              <w:t>≤8</w:t>
            </w:r>
            <w:r>
              <w:rPr>
                <w:rFonts w:ascii="仿宋" w:hAnsi="仿宋" w:eastAsia="仿宋"/>
                <w:sz w:val="18"/>
                <w:szCs w:val="18"/>
              </w:rPr>
              <w:t>0%RH</w:t>
            </w:r>
          </w:p>
        </w:tc>
        <w:tc>
          <w:tcPr>
            <w:tcW w:w="4536" w:type="dxa"/>
            <w:vAlign w:val="center"/>
          </w:tcPr>
          <w:p w14:paraId="6BAACA03">
            <w:pPr>
              <w:rPr>
                <w:rFonts w:ascii="仿宋" w:hAnsi="仿宋" w:eastAsia="仿宋"/>
                <w:sz w:val="18"/>
                <w:szCs w:val="18"/>
              </w:rPr>
            </w:pPr>
            <w:r>
              <w:rPr>
                <w:rFonts w:ascii="仿宋" w:hAnsi="仿宋" w:eastAsia="仿宋"/>
                <w:sz w:val="18"/>
                <w:szCs w:val="18"/>
              </w:rPr>
              <w:t>控制湿度可防止样品吸潮、失水或发生水解，确保测试过程中样品状态稳定。该限值为国际实验室环境控制的通用要求，避免湿度对粉体分散性、溶液稳定性等产生影响。</w:t>
            </w:r>
          </w:p>
        </w:tc>
        <w:tc>
          <w:tcPr>
            <w:tcW w:w="851" w:type="dxa"/>
            <w:vAlign w:val="center"/>
          </w:tcPr>
          <w:p w14:paraId="11C361E9">
            <w:pPr>
              <w:jc w:val="center"/>
              <w:rPr>
                <w:rFonts w:ascii="仿宋" w:hAnsi="仿宋" w:eastAsia="仿宋"/>
                <w:sz w:val="18"/>
                <w:szCs w:val="18"/>
              </w:rPr>
            </w:pPr>
            <w:r>
              <w:rPr>
                <w:rFonts w:hint="eastAsia" w:ascii="仿宋" w:hAnsi="仿宋" w:eastAsia="仿宋" w:cs="仿宋"/>
                <w:sz w:val="18"/>
                <w:szCs w:val="18"/>
              </w:rPr>
              <w:t>/</w:t>
            </w:r>
          </w:p>
        </w:tc>
      </w:tr>
      <w:tr w14:paraId="22D38D0E">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704" w:type="dxa"/>
            <w:vMerge w:val="continue"/>
            <w:vAlign w:val="center"/>
          </w:tcPr>
          <w:p w14:paraId="64B815B5">
            <w:pPr>
              <w:snapToGrid w:val="0"/>
              <w:jc w:val="center"/>
              <w:rPr>
                <w:rFonts w:ascii="仿宋" w:hAnsi="仿宋" w:eastAsia="仿宋" w:cs="仿宋"/>
                <w:sz w:val="18"/>
                <w:szCs w:val="18"/>
              </w:rPr>
            </w:pPr>
          </w:p>
        </w:tc>
        <w:tc>
          <w:tcPr>
            <w:tcW w:w="992" w:type="dxa"/>
            <w:vAlign w:val="center"/>
          </w:tcPr>
          <w:p w14:paraId="796AC531">
            <w:pPr>
              <w:snapToGrid w:val="0"/>
              <w:jc w:val="center"/>
              <w:rPr>
                <w:rFonts w:ascii="仿宋" w:hAnsi="仿宋" w:eastAsia="仿宋" w:cs="仿宋"/>
                <w:sz w:val="18"/>
                <w:szCs w:val="18"/>
              </w:rPr>
            </w:pPr>
            <w:r>
              <w:rPr>
                <w:rFonts w:hint="eastAsia" w:ascii="仿宋" w:hAnsi="仿宋" w:eastAsia="仿宋" w:cs="仿宋"/>
                <w:sz w:val="18"/>
                <w:szCs w:val="18"/>
              </w:rPr>
              <w:t>试验环境</w:t>
            </w:r>
          </w:p>
        </w:tc>
        <w:tc>
          <w:tcPr>
            <w:tcW w:w="1134" w:type="dxa"/>
            <w:vAlign w:val="center"/>
          </w:tcPr>
          <w:p w14:paraId="4B698169">
            <w:pPr>
              <w:snapToGrid w:val="0"/>
              <w:jc w:val="center"/>
              <w:rPr>
                <w:rFonts w:ascii="仿宋" w:hAnsi="仿宋" w:eastAsia="仿宋"/>
                <w:sz w:val="18"/>
                <w:szCs w:val="18"/>
              </w:rPr>
            </w:pPr>
            <w:r>
              <w:rPr>
                <w:rFonts w:hint="eastAsia" w:ascii="仿宋" w:hAnsi="仿宋" w:eastAsia="仿宋"/>
                <w:sz w:val="18"/>
                <w:szCs w:val="18"/>
              </w:rPr>
              <w:t>无菌环境</w:t>
            </w:r>
          </w:p>
        </w:tc>
        <w:tc>
          <w:tcPr>
            <w:tcW w:w="4536" w:type="dxa"/>
            <w:vAlign w:val="center"/>
          </w:tcPr>
          <w:p w14:paraId="3FFE4739">
            <w:pPr>
              <w:rPr>
                <w:rFonts w:ascii="仿宋" w:hAnsi="仿宋" w:eastAsiaTheme="minorEastAsia"/>
                <w:sz w:val="18"/>
                <w:szCs w:val="18"/>
              </w:rPr>
            </w:pPr>
            <w:r>
              <w:rPr>
                <w:rFonts w:hint="eastAsia" w:ascii="仿宋" w:hAnsi="仿宋" w:eastAsia="仿宋" w:cs="仿宋"/>
                <w:sz w:val="18"/>
                <w:szCs w:val="18"/>
              </w:rPr>
              <w:t>无菌检查应在</w:t>
            </w:r>
            <w:r>
              <w:rPr>
                <w:rFonts w:ascii="仿宋" w:hAnsi="仿宋" w:eastAsia="仿宋"/>
                <w:sz w:val="18"/>
                <w:szCs w:val="18"/>
              </w:rPr>
              <w:t>B级背景下的A级单向流洁净区域或隔离系统中进行，所有操作均需在生物安全柜或超净工作台内完成。</w:t>
            </w:r>
            <w:r>
              <w:rPr>
                <w:rFonts w:hint="eastAsia" w:ascii="仿宋" w:hAnsi="仿宋" w:eastAsia="仿宋" w:cs="仿宋"/>
                <w:sz w:val="18"/>
                <w:szCs w:val="18"/>
              </w:rPr>
              <w:t>实验人员需穿戴无菌服、无菌手套，严格遵守更衣和进出洁净区的程序。所有取样工具、稀释液、培养基等均需经过灭菌处理，操作区与检测区应物理隔离。</w:t>
            </w:r>
          </w:p>
        </w:tc>
        <w:tc>
          <w:tcPr>
            <w:tcW w:w="851" w:type="dxa"/>
            <w:vAlign w:val="center"/>
          </w:tcPr>
          <w:p w14:paraId="186842C1">
            <w:pPr>
              <w:snapToGrid w:val="0"/>
              <w:jc w:val="center"/>
              <w:rPr>
                <w:rFonts w:ascii="仿宋" w:hAnsi="仿宋" w:eastAsia="仿宋"/>
                <w:sz w:val="18"/>
                <w:szCs w:val="18"/>
              </w:rPr>
            </w:pPr>
            <w:r>
              <w:rPr>
                <w:rFonts w:hint="eastAsia" w:ascii="仿宋" w:hAnsi="仿宋" w:eastAsia="仿宋" w:cs="仿宋"/>
                <w:sz w:val="18"/>
                <w:szCs w:val="18"/>
              </w:rPr>
              <w:t>/</w:t>
            </w:r>
          </w:p>
        </w:tc>
      </w:tr>
      <w:tr w14:paraId="16E758F2">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704" w:type="dxa"/>
            <w:vMerge w:val="restart"/>
            <w:vAlign w:val="center"/>
          </w:tcPr>
          <w:p w14:paraId="03D3A0AC">
            <w:pPr>
              <w:snapToGrid w:val="0"/>
              <w:jc w:val="center"/>
              <w:rPr>
                <w:rFonts w:ascii="仿宋" w:hAnsi="仿宋" w:eastAsia="仿宋" w:cs="仿宋"/>
                <w:sz w:val="18"/>
                <w:szCs w:val="18"/>
              </w:rPr>
            </w:pPr>
            <w:r>
              <w:rPr>
                <w:rFonts w:hint="eastAsia" w:ascii="仿宋" w:hAnsi="仿宋" w:eastAsia="仿宋" w:cs="仿宋"/>
                <w:sz w:val="18"/>
                <w:szCs w:val="18"/>
              </w:rPr>
              <w:t>测试模型</w:t>
            </w:r>
          </w:p>
        </w:tc>
        <w:tc>
          <w:tcPr>
            <w:tcW w:w="992" w:type="dxa"/>
            <w:vAlign w:val="center"/>
          </w:tcPr>
          <w:p w14:paraId="03E34A77">
            <w:pPr>
              <w:snapToGrid w:val="0"/>
              <w:jc w:val="center"/>
              <w:rPr>
                <w:rFonts w:ascii="仿宋" w:hAnsi="仿宋" w:eastAsia="仿宋" w:cs="仿宋"/>
                <w:sz w:val="18"/>
                <w:szCs w:val="18"/>
              </w:rPr>
            </w:pPr>
            <w:r>
              <w:rPr>
                <w:rFonts w:hint="eastAsia" w:ascii="仿宋" w:hAnsi="仿宋" w:eastAsia="仿宋" w:cs="仿宋"/>
                <w:sz w:val="18"/>
                <w:szCs w:val="18"/>
              </w:rPr>
              <w:t>人角膜上皮模型</w:t>
            </w:r>
          </w:p>
        </w:tc>
        <w:tc>
          <w:tcPr>
            <w:tcW w:w="1134" w:type="dxa"/>
            <w:vAlign w:val="center"/>
          </w:tcPr>
          <w:p w14:paraId="2652C7C8">
            <w:pPr>
              <w:snapToGrid w:val="0"/>
              <w:jc w:val="center"/>
              <w:rPr>
                <w:rFonts w:ascii="仿宋" w:hAnsi="仿宋" w:eastAsia="仿宋" w:cs="仿宋"/>
                <w:sz w:val="18"/>
                <w:szCs w:val="18"/>
              </w:rPr>
            </w:pPr>
            <w:r>
              <w:rPr>
                <w:rFonts w:hint="eastAsia" w:ascii="仿宋" w:hAnsi="仿宋" w:eastAsia="仿宋" w:cs="仿宋"/>
                <w:sz w:val="18"/>
                <w:szCs w:val="18"/>
              </w:rPr>
              <w:t>结构完整</w:t>
            </w:r>
          </w:p>
        </w:tc>
        <w:tc>
          <w:tcPr>
            <w:tcW w:w="4536" w:type="dxa"/>
            <w:vAlign w:val="center"/>
          </w:tcPr>
          <w:p w14:paraId="787839E4">
            <w:pPr>
              <w:jc w:val="center"/>
              <w:rPr>
                <w:rFonts w:ascii="仿宋" w:hAnsi="仿宋" w:eastAsia="仿宋" w:cs="仿宋"/>
                <w:sz w:val="18"/>
                <w:szCs w:val="18"/>
              </w:rPr>
            </w:pPr>
            <w:r>
              <w:rPr>
                <w:rFonts w:hint="eastAsia" w:ascii="仿宋" w:hAnsi="仿宋" w:eastAsia="仿宋" w:cs="仿宋"/>
                <w:sz w:val="18"/>
                <w:szCs w:val="18"/>
              </w:rPr>
              <w:t>模型应具有分化的复层鳞状上皮结构，形态学（</w:t>
            </w:r>
            <w:r>
              <w:rPr>
                <w:rFonts w:ascii="仿宋" w:hAnsi="仿宋" w:eastAsia="仿宋" w:cs="仿宋"/>
                <w:sz w:val="18"/>
                <w:szCs w:val="18"/>
              </w:rPr>
              <w:t>H&amp;E染色）与天然人角膜上皮相似</w:t>
            </w:r>
            <w:r>
              <w:rPr>
                <w:rFonts w:hint="eastAsia" w:ascii="仿宋" w:hAnsi="仿宋" w:eastAsia="仿宋" w:cs="仿宋"/>
                <w:sz w:val="18"/>
                <w:szCs w:val="18"/>
              </w:rPr>
              <w:t>，且阳性对照化学品</w:t>
            </w:r>
            <w:r>
              <w:rPr>
                <w:rFonts w:ascii="仿宋" w:hAnsi="仿宋" w:eastAsia="仿宋" w:cs="仿宋"/>
                <w:sz w:val="18"/>
                <w:szCs w:val="18"/>
              </w:rPr>
              <w:t>的细胞存活率呈浓度依赖性显著下降。</w:t>
            </w:r>
          </w:p>
        </w:tc>
        <w:tc>
          <w:tcPr>
            <w:tcW w:w="851" w:type="dxa"/>
            <w:vAlign w:val="center"/>
          </w:tcPr>
          <w:p w14:paraId="2CE05C30">
            <w:pPr>
              <w:snapToGrid w:val="0"/>
              <w:jc w:val="center"/>
              <w:rPr>
                <w:rFonts w:ascii="仿宋" w:hAnsi="仿宋" w:eastAsia="仿宋" w:cs="仿宋"/>
                <w:sz w:val="18"/>
                <w:szCs w:val="18"/>
              </w:rPr>
            </w:pPr>
            <w:r>
              <w:rPr>
                <w:rFonts w:ascii="仿宋" w:hAnsi="仿宋" w:eastAsia="仿宋" w:cs="仿宋"/>
                <w:sz w:val="18"/>
                <w:szCs w:val="18"/>
              </w:rPr>
              <w:t>OECD TG 492</w:t>
            </w:r>
          </w:p>
        </w:tc>
      </w:tr>
      <w:tr w14:paraId="49E57077">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510" w:hRule="atLeast"/>
        </w:trPr>
        <w:tc>
          <w:tcPr>
            <w:tcW w:w="704" w:type="dxa"/>
            <w:vMerge w:val="continue"/>
            <w:vAlign w:val="center"/>
          </w:tcPr>
          <w:p w14:paraId="581B6258">
            <w:pPr>
              <w:snapToGrid w:val="0"/>
              <w:jc w:val="center"/>
              <w:rPr>
                <w:rFonts w:ascii="仿宋" w:hAnsi="仿宋" w:eastAsia="仿宋" w:cs="仿宋"/>
                <w:sz w:val="18"/>
                <w:szCs w:val="18"/>
              </w:rPr>
            </w:pPr>
          </w:p>
        </w:tc>
        <w:tc>
          <w:tcPr>
            <w:tcW w:w="992" w:type="dxa"/>
            <w:vAlign w:val="center"/>
          </w:tcPr>
          <w:p w14:paraId="0B02B9E7">
            <w:pPr>
              <w:snapToGrid w:val="0"/>
              <w:jc w:val="center"/>
              <w:rPr>
                <w:rFonts w:ascii="仿宋" w:hAnsi="仿宋" w:eastAsia="仿宋" w:cs="仿宋"/>
                <w:sz w:val="18"/>
                <w:szCs w:val="18"/>
              </w:rPr>
            </w:pPr>
            <w:r>
              <w:rPr>
                <w:rFonts w:ascii="仿宋" w:hAnsi="仿宋" w:eastAsia="仿宋" w:cs="仿宋"/>
                <w:sz w:val="18"/>
                <w:szCs w:val="18"/>
              </w:rPr>
              <w:t>绵羊红细胞</w:t>
            </w:r>
          </w:p>
        </w:tc>
        <w:tc>
          <w:tcPr>
            <w:tcW w:w="1134" w:type="dxa"/>
            <w:vAlign w:val="center"/>
          </w:tcPr>
          <w:p w14:paraId="713C0272">
            <w:pPr>
              <w:snapToGrid w:val="0"/>
              <w:jc w:val="center"/>
              <w:rPr>
                <w:rFonts w:ascii="仿宋" w:hAnsi="仿宋" w:eastAsia="仿宋" w:cs="仿宋"/>
                <w:sz w:val="18"/>
                <w:szCs w:val="18"/>
              </w:rPr>
            </w:pPr>
            <w:r>
              <w:rPr>
                <w:rFonts w:hint="eastAsia" w:ascii="仿宋" w:hAnsi="仿宋" w:eastAsia="仿宋" w:cs="仿宋"/>
                <w:sz w:val="18"/>
                <w:szCs w:val="18"/>
              </w:rPr>
              <w:t>存活率</w:t>
            </w:r>
          </w:p>
        </w:tc>
        <w:tc>
          <w:tcPr>
            <w:tcW w:w="4536" w:type="dxa"/>
            <w:vAlign w:val="center"/>
          </w:tcPr>
          <w:p w14:paraId="1623F00F">
            <w:pPr>
              <w:jc w:val="center"/>
              <w:rPr>
                <w:rFonts w:ascii="仿宋" w:hAnsi="仿宋" w:eastAsia="仿宋" w:cs="仿宋"/>
                <w:sz w:val="18"/>
                <w:szCs w:val="18"/>
              </w:rPr>
            </w:pPr>
            <w:r>
              <w:rPr>
                <w:rFonts w:hint="eastAsia" w:ascii="仿宋" w:hAnsi="仿宋" w:eastAsia="仿宋" w:cs="仿宋"/>
                <w:sz w:val="18"/>
                <w:szCs w:val="18"/>
              </w:rPr>
              <w:t>采集后</w:t>
            </w:r>
            <w:r>
              <w:rPr>
                <w:rFonts w:ascii="仿宋" w:hAnsi="仿宋" w:eastAsia="仿宋" w:cs="仿宋"/>
                <w:sz w:val="18"/>
                <w:szCs w:val="18"/>
              </w:rPr>
              <w:t>3-5天内使用</w:t>
            </w:r>
            <w:r>
              <w:rPr>
                <w:rFonts w:hint="eastAsia" w:ascii="仿宋" w:hAnsi="仿宋" w:eastAsia="仿宋" w:cs="仿宋"/>
                <w:sz w:val="18"/>
                <w:szCs w:val="18"/>
              </w:rPr>
              <w:t>，</w:t>
            </w:r>
            <w:r>
              <w:rPr>
                <w:rFonts w:ascii="仿宋" w:hAnsi="仿宋" w:eastAsia="仿宋" w:cs="仿宋"/>
                <w:sz w:val="18"/>
                <w:szCs w:val="18"/>
              </w:rPr>
              <w:t>使用前无明显溶血</w:t>
            </w:r>
            <w:r>
              <w:rPr>
                <w:rFonts w:hint="eastAsia" w:ascii="仿宋" w:hAnsi="仿宋" w:eastAsia="仿宋" w:cs="仿宋"/>
                <w:sz w:val="18"/>
                <w:szCs w:val="18"/>
              </w:rPr>
              <w:t>，在试验条件下的自发溶血率应低于</w:t>
            </w:r>
            <w:r>
              <w:rPr>
                <w:rFonts w:ascii="仿宋" w:hAnsi="仿宋" w:eastAsia="仿宋" w:cs="仿宋"/>
                <w:sz w:val="18"/>
                <w:szCs w:val="18"/>
              </w:rPr>
              <w:t>5%</w:t>
            </w:r>
            <w:r>
              <w:rPr>
                <w:rFonts w:hint="eastAsia" w:ascii="仿宋" w:hAnsi="仿宋" w:eastAsia="仿宋" w:cs="仿宋"/>
                <w:sz w:val="18"/>
                <w:szCs w:val="18"/>
              </w:rPr>
              <w:t>。红细胞悬液均匀，无肉眼可见的凝集或沉淀</w:t>
            </w:r>
          </w:p>
        </w:tc>
        <w:tc>
          <w:tcPr>
            <w:tcW w:w="851" w:type="dxa"/>
            <w:vAlign w:val="center"/>
          </w:tcPr>
          <w:p w14:paraId="2403E228">
            <w:pPr>
              <w:jc w:val="center"/>
              <w:rPr>
                <w:rFonts w:ascii="仿宋" w:hAnsi="仿宋" w:eastAsia="仿宋" w:cs="仿宋"/>
                <w:sz w:val="18"/>
                <w:szCs w:val="18"/>
              </w:rPr>
            </w:pPr>
            <w:r>
              <w:rPr>
                <w:rFonts w:hint="eastAsia" w:ascii="仿宋" w:hAnsi="仿宋" w:eastAsia="仿宋" w:cs="仿宋"/>
                <w:sz w:val="18"/>
                <w:szCs w:val="18"/>
              </w:rPr>
              <w:t>/</w:t>
            </w:r>
          </w:p>
        </w:tc>
      </w:tr>
    </w:tbl>
    <w:p w14:paraId="435068EF">
      <w:pPr>
        <w:pStyle w:val="2"/>
        <w:tabs>
          <w:tab w:val="left" w:pos="531"/>
        </w:tabs>
        <w:autoSpaceDE w:val="0"/>
        <w:autoSpaceDN w:val="0"/>
        <w:spacing w:line="360" w:lineRule="auto"/>
        <w:rPr>
          <w:rFonts w:ascii="仿宋" w:hAnsi="仿宋" w:eastAsia="仿宋" w:cs="仿宋"/>
          <w:sz w:val="21"/>
          <w:szCs w:val="21"/>
        </w:rPr>
      </w:pPr>
      <w:r>
        <w:rPr>
          <w:rFonts w:hint="eastAsia" w:ascii="仿宋" w:hAnsi="仿宋" w:eastAsia="仿宋" w:cs="仿宋"/>
          <w:sz w:val="21"/>
          <w:szCs w:val="21"/>
        </w:rPr>
        <w:t>2</w:t>
      </w:r>
      <w:r>
        <w:rPr>
          <w:rFonts w:ascii="仿宋" w:hAnsi="仿宋" w:eastAsia="仿宋" w:cs="仿宋"/>
          <w:sz w:val="21"/>
          <w:szCs w:val="21"/>
        </w:rPr>
        <w:t>.</w:t>
      </w:r>
      <w:r>
        <w:rPr>
          <w:rFonts w:hint="eastAsia" w:ascii="仿宋" w:hAnsi="仿宋" w:eastAsia="仿宋" w:cs="仿宋"/>
          <w:sz w:val="21"/>
          <w:szCs w:val="21"/>
        </w:rPr>
        <w:t>团体标准《儿童清洁化妆品开发中刺激性评估方法</w:t>
      </w:r>
      <w:r>
        <w:rPr>
          <w:rFonts w:ascii="仿宋" w:hAnsi="仿宋" w:eastAsia="仿宋" w:cs="仿宋"/>
          <w:sz w:val="21"/>
          <w:szCs w:val="21"/>
        </w:rPr>
        <w:t xml:space="preserve"> 红细胞溶血测试和重组人角膜上皮模型测试</w:t>
      </w:r>
      <w:r>
        <w:rPr>
          <w:rFonts w:hint="eastAsia" w:ascii="仿宋" w:hAnsi="仿宋" w:eastAsia="仿宋" w:cs="仿宋"/>
          <w:sz w:val="21"/>
          <w:szCs w:val="21"/>
        </w:rPr>
        <w:t>》</w:t>
      </w:r>
      <w:r>
        <w:rPr>
          <w:rFonts w:ascii="仿宋" w:hAnsi="仿宋" w:eastAsia="仿宋" w:cs="仿宋"/>
          <w:sz w:val="21"/>
          <w:szCs w:val="21"/>
        </w:rPr>
        <w:t>方法验证</w:t>
      </w:r>
      <w:r>
        <w:rPr>
          <w:rFonts w:hint="eastAsia" w:ascii="仿宋" w:hAnsi="仿宋" w:eastAsia="仿宋" w:cs="仿宋"/>
          <w:sz w:val="21"/>
          <w:szCs w:val="21"/>
        </w:rPr>
        <w:t>。</w:t>
      </w:r>
    </w:p>
    <w:p w14:paraId="5E8AAAA7">
      <w:pPr>
        <w:pStyle w:val="17"/>
        <w:spacing w:line="360" w:lineRule="auto"/>
        <w:ind w:firstLine="0" w:firstLineChars="0"/>
        <w:rPr>
          <w:rFonts w:ascii="仿宋" w:hAnsi="仿宋" w:eastAsia="仿宋" w:cs="仿宋"/>
          <w:bCs/>
          <w:kern w:val="0"/>
          <w:sz w:val="21"/>
          <w:szCs w:val="21"/>
          <w:lang w:val="en-US"/>
        </w:rPr>
      </w:pPr>
      <w:r>
        <w:rPr>
          <w:rFonts w:ascii="仿宋" w:hAnsi="仿宋" w:eastAsia="仿宋" w:cs="仿宋"/>
          <w:bCs/>
          <w:kern w:val="0"/>
          <w:sz w:val="21"/>
          <w:szCs w:val="21"/>
          <w:lang w:val="en-US"/>
        </w:rPr>
        <w:tab/>
      </w:r>
      <w:r>
        <w:rPr>
          <w:rFonts w:hint="eastAsia" w:ascii="仿宋" w:hAnsi="仿宋" w:eastAsia="仿宋" w:cs="仿宋"/>
          <w:bCs/>
          <w:kern w:val="0"/>
          <w:sz w:val="21"/>
          <w:szCs w:val="21"/>
          <w:lang w:val="en-US"/>
        </w:rPr>
        <w:t>红细胞溶血测试方法验证：纳爱斯（浙江）科技集团有限公司验证报告</w:t>
      </w:r>
      <w:r>
        <w:rPr>
          <w:rFonts w:ascii="仿宋" w:hAnsi="仿宋" w:eastAsia="仿宋" w:cs="仿宋"/>
          <w:bCs/>
          <w:kern w:val="0"/>
          <w:sz w:val="21"/>
          <w:szCs w:val="21"/>
          <w:lang w:val="en-US"/>
        </w:rPr>
        <w:t>见附</w:t>
      </w:r>
      <w:r>
        <w:rPr>
          <w:rFonts w:hint="eastAsia" w:ascii="仿宋" w:hAnsi="仿宋" w:eastAsia="仿宋" w:cs="仿宋"/>
          <w:bCs/>
          <w:kern w:val="0"/>
          <w:sz w:val="21"/>
          <w:szCs w:val="21"/>
          <w:lang w:val="en-US"/>
        </w:rPr>
        <w:t>件</w:t>
      </w:r>
      <w:r>
        <w:rPr>
          <w:rFonts w:ascii="仿宋" w:hAnsi="仿宋" w:eastAsia="仿宋" w:cs="仿宋"/>
          <w:bCs/>
          <w:kern w:val="0"/>
          <w:sz w:val="21"/>
          <w:szCs w:val="21"/>
          <w:lang w:val="en-US"/>
        </w:rPr>
        <w:t>1</w:t>
      </w:r>
      <w:r>
        <w:rPr>
          <w:rFonts w:hint="eastAsia" w:ascii="仿宋" w:hAnsi="仿宋" w:eastAsia="仿宋" w:cs="仿宋"/>
          <w:bCs/>
          <w:kern w:val="0"/>
          <w:sz w:val="21"/>
          <w:szCs w:val="21"/>
          <w:lang w:val="en-US"/>
        </w:rPr>
        <w:t>，南京盛德梅赛医疗技术有限公司验证报告见附件2、水羊化妆品制造</w:t>
      </w:r>
      <w:r>
        <w:rPr>
          <w:rFonts w:ascii="仿宋" w:hAnsi="仿宋" w:eastAsia="仿宋" w:cs="仿宋"/>
          <w:bCs/>
          <w:kern w:val="0"/>
          <w:sz w:val="21"/>
          <w:szCs w:val="21"/>
          <w:lang w:val="en-US"/>
        </w:rPr>
        <w:t>有限公司</w:t>
      </w:r>
      <w:r>
        <w:rPr>
          <w:rFonts w:hint="eastAsia" w:ascii="仿宋" w:hAnsi="仿宋" w:eastAsia="仿宋" w:cs="仿宋"/>
          <w:bCs/>
          <w:kern w:val="0"/>
          <w:sz w:val="21"/>
          <w:szCs w:val="21"/>
          <w:lang w:val="en-US"/>
        </w:rPr>
        <w:t>验证报告见附件3。</w:t>
      </w:r>
    </w:p>
    <w:p w14:paraId="6F89679A">
      <w:pPr>
        <w:pStyle w:val="17"/>
        <w:ind w:firstLine="0" w:firstLineChars="0"/>
        <w:rPr>
          <w:lang w:val="en-US"/>
        </w:rPr>
      </w:pPr>
      <w:r>
        <w:rPr>
          <w:lang w:val="en-US"/>
        </w:rPr>
        <w:object>
          <v:shape id="_x0000_i1025" o:spt="75" type="#_x0000_t75" style="height:51.5pt;width:77pt;" o:ole="t" filled="f" o:preferrelative="t" stroked="f" coordsize="21600,21600">
            <v:path/>
            <v:fill on="f" focussize="0,0"/>
            <v:stroke on="f" joinstyle="miter"/>
            <v:imagedata r:id="rId5" o:title=""/>
            <o:lock v:ext="edit" aspectratio="t"/>
            <w10:wrap type="none"/>
            <w10:anchorlock/>
          </v:shape>
          <o:OLEObject Type="Embed" ProgID="Package" ShapeID="_x0000_i1025" DrawAspect="Icon" ObjectID="_1468075725" r:id="rId4">
            <o:LockedField>false</o:LockedField>
          </o:OLEObject>
        </w:object>
      </w:r>
    </w:p>
    <w:p w14:paraId="1DE493BD">
      <w:r>
        <w:object>
          <v:shape id="_x0000_i1026" o:spt="75" type="#_x0000_t75" style="height:51.5pt;width:77pt;" o:ole="t" filled="f" o:preferrelative="t" stroked="f" coordsize="21600,21600">
            <v:path/>
            <v:fill on="f" focussize="0,0"/>
            <v:stroke on="f" joinstyle="miter"/>
            <v:imagedata r:id="rId7" o:title=""/>
            <o:lock v:ext="edit" aspectratio="t"/>
            <w10:wrap type="none"/>
            <w10:anchorlock/>
          </v:shape>
          <o:OLEObject Type="Embed" ProgID="Package" ShapeID="_x0000_i1026" DrawAspect="Icon" ObjectID="_1468075726" r:id="rId6">
            <o:LockedField>false</o:LockedField>
          </o:OLEObject>
        </w:object>
      </w:r>
    </w:p>
    <w:p w14:paraId="674E87F8">
      <w:r>
        <w:object>
          <v:shape id="_x0000_i1027" o:spt="75" type="#_x0000_t75" style="height:51.5pt;width:77pt;" o:ole="t" filled="f" o:preferrelative="t" stroked="f" coordsize="21600,21600">
            <v:path/>
            <v:fill on="f" focussize="0,0"/>
            <v:stroke on="f" joinstyle="miter"/>
            <v:imagedata r:id="rId9" o:title=""/>
            <o:lock v:ext="edit" aspectratio="t"/>
            <w10:wrap type="none"/>
            <w10:anchorlock/>
          </v:shape>
          <o:OLEObject Type="Embed" ProgID="Package" ShapeID="_x0000_i1027" DrawAspect="Icon" ObjectID="_1468075727" r:id="rId8">
            <o:LockedField>false</o:LockedField>
          </o:OLEObject>
        </w:object>
      </w:r>
    </w:p>
    <w:p w14:paraId="62A0C62B">
      <w:pPr>
        <w:pStyle w:val="17"/>
        <w:spacing w:line="360" w:lineRule="auto"/>
        <w:ind w:firstLine="0" w:firstLineChars="0"/>
        <w:rPr>
          <w:rFonts w:ascii="仿宋" w:hAnsi="仿宋" w:eastAsia="仿宋" w:cs="仿宋"/>
          <w:bCs/>
          <w:kern w:val="0"/>
          <w:sz w:val="21"/>
          <w:szCs w:val="21"/>
          <w:lang w:val="en-US"/>
        </w:rPr>
      </w:pPr>
      <w:r>
        <w:rPr>
          <w:rFonts w:ascii="仿宋" w:hAnsi="仿宋" w:eastAsia="仿宋" w:cs="仿宋"/>
          <w:b/>
          <w:bCs/>
          <w:kern w:val="0"/>
          <w:sz w:val="21"/>
          <w:szCs w:val="21"/>
          <w:lang w:val="en-US"/>
        </w:rPr>
        <w:tab/>
      </w:r>
      <w:r>
        <w:rPr>
          <w:rFonts w:hint="eastAsia" w:ascii="仿宋" w:hAnsi="仿宋" w:eastAsia="仿宋" w:cs="仿宋"/>
          <w:bCs/>
          <w:kern w:val="0"/>
          <w:sz w:val="21"/>
          <w:szCs w:val="21"/>
          <w:lang w:val="en-US"/>
        </w:rPr>
        <w:t>重组人角膜上皮模型测试方法验证：陕西博溪通用检测科技有限公司验证报告见附件</w:t>
      </w:r>
      <w:r>
        <w:rPr>
          <w:rFonts w:ascii="仿宋" w:hAnsi="仿宋" w:eastAsia="仿宋" w:cs="仿宋"/>
          <w:bCs/>
          <w:kern w:val="0"/>
          <w:sz w:val="21"/>
          <w:szCs w:val="21"/>
          <w:lang w:val="en-US"/>
        </w:rPr>
        <w:t>1，</w:t>
      </w:r>
      <w:r>
        <w:rPr>
          <w:rFonts w:hint="eastAsia" w:ascii="仿宋" w:hAnsi="仿宋" w:eastAsia="仿宋" w:cs="仿宋"/>
          <w:bCs/>
          <w:kern w:val="0"/>
          <w:sz w:val="21"/>
          <w:szCs w:val="21"/>
          <w:lang w:val="en-US"/>
        </w:rPr>
        <w:t>英狄士检测技术（长沙）有限公司</w:t>
      </w:r>
      <w:r>
        <w:rPr>
          <w:rFonts w:ascii="仿宋" w:hAnsi="仿宋" w:eastAsia="仿宋" w:cs="仿宋"/>
          <w:bCs/>
          <w:kern w:val="0"/>
          <w:sz w:val="21"/>
          <w:szCs w:val="21"/>
          <w:lang w:val="en-US"/>
        </w:rPr>
        <w:t>验证报告见附件2、水羊化妆品制造有限公司验证报告见附件3。</w:t>
      </w:r>
    </w:p>
    <w:p w14:paraId="1796247F">
      <w:r>
        <w:object>
          <v:shape id="_x0000_i1028" o:spt="75" type="#_x0000_t75" style="height:51.5pt;width:77pt;" o:ole="t" filled="f" o:preferrelative="t" stroked="f" coordsize="21600,21600">
            <v:path/>
            <v:fill on="f" focussize="0,0"/>
            <v:stroke on="f" joinstyle="miter"/>
            <v:imagedata r:id="rId11" o:title=""/>
            <o:lock v:ext="edit" aspectratio="t"/>
            <w10:wrap type="none"/>
            <w10:anchorlock/>
          </v:shape>
          <o:OLEObject Type="Embed" ProgID="Package" ShapeID="_x0000_i1028" DrawAspect="Icon" ObjectID="_1468075728" r:id="rId10">
            <o:LockedField>false</o:LockedField>
          </o:OLEObject>
        </w:object>
      </w:r>
    </w:p>
    <w:p w14:paraId="52D4EC8E">
      <w:r>
        <w:object>
          <v:shape id="_x0000_i1029" o:spt="75" type="#_x0000_t75" style="height:51.5pt;width:77pt;" o:ole="t" filled="f" o:preferrelative="t" stroked="f" coordsize="21600,21600">
            <v:path/>
            <v:fill on="f" focussize="0,0"/>
            <v:stroke on="f" joinstyle="miter"/>
            <v:imagedata r:id="rId13" o:title=""/>
            <o:lock v:ext="edit" aspectratio="t"/>
            <w10:wrap type="none"/>
            <w10:anchorlock/>
          </v:shape>
          <o:OLEObject Type="Embed" ProgID="Package" ShapeID="_x0000_i1029" DrawAspect="Icon" ObjectID="_1468075729" r:id="rId12">
            <o:LockedField>false</o:LockedField>
          </o:OLEObject>
        </w:object>
      </w:r>
    </w:p>
    <w:p w14:paraId="67700E59">
      <w:r>
        <w:object>
          <v:shape id="_x0000_i1030" o:spt="75" type="#_x0000_t75" style="height:51.5pt;width:77pt;" o:ole="t" filled="f" o:preferrelative="t" stroked="f" coordsize="21600,21600">
            <v:path/>
            <v:fill on="f" focussize="0,0"/>
            <v:stroke on="f" joinstyle="miter"/>
            <v:imagedata r:id="rId15" o:title=""/>
            <o:lock v:ext="edit" aspectratio="t"/>
            <w10:wrap type="none"/>
            <w10:anchorlock/>
          </v:shape>
          <o:OLEObject Type="Embed" ProgID="Package" ShapeID="_x0000_i1030" DrawAspect="Icon" ObjectID="_1468075730" r:id="rId14">
            <o:LockedField>false</o:LockedField>
          </o:OLEObject>
        </w:object>
      </w:r>
    </w:p>
    <w:p w14:paraId="024A0C5E">
      <w:pPr>
        <w:pStyle w:val="17"/>
        <w:spacing w:line="360" w:lineRule="auto"/>
        <w:ind w:firstLine="0" w:firstLineChars="0"/>
        <w:rPr>
          <w:rFonts w:ascii="仿宋" w:hAnsi="仿宋" w:eastAsia="仿宋" w:cs="仿宋"/>
          <w:bCs/>
          <w:kern w:val="0"/>
          <w:sz w:val="21"/>
          <w:szCs w:val="21"/>
          <w:lang w:val="en-US"/>
        </w:rPr>
      </w:pPr>
      <w:r>
        <w:rPr>
          <w:rFonts w:ascii="仿宋" w:hAnsi="仿宋" w:eastAsia="仿宋" w:cs="仿宋"/>
          <w:bCs/>
          <w:kern w:val="0"/>
          <w:sz w:val="21"/>
          <w:szCs w:val="21"/>
          <w:lang w:val="en-US"/>
        </w:rPr>
        <w:tab/>
      </w:r>
      <w:r>
        <w:rPr>
          <w:rFonts w:hint="eastAsia" w:ascii="仿宋" w:hAnsi="仿宋" w:eastAsia="仿宋" w:cs="仿宋"/>
          <w:bCs/>
          <w:kern w:val="0"/>
          <w:sz w:val="21"/>
          <w:szCs w:val="21"/>
          <w:lang w:val="en-US"/>
        </w:rPr>
        <w:t>红细胞溶血实验与动物实验相关性验证：水羊化妆品制造有限公司验证报告见附件</w:t>
      </w:r>
      <w:r>
        <w:rPr>
          <w:rFonts w:ascii="仿宋" w:hAnsi="仿宋" w:eastAsia="仿宋" w:cs="仿宋"/>
          <w:bCs/>
          <w:kern w:val="0"/>
          <w:sz w:val="21"/>
          <w:szCs w:val="21"/>
          <w:lang w:val="en-US"/>
        </w:rPr>
        <w:t>1，</w:t>
      </w:r>
      <w:r>
        <w:rPr>
          <w:rFonts w:hint="eastAsia" w:ascii="仿宋" w:hAnsi="仿宋" w:eastAsia="仿宋" w:cs="仿宋"/>
          <w:bCs/>
          <w:kern w:val="0"/>
          <w:sz w:val="21"/>
          <w:szCs w:val="21"/>
          <w:lang w:val="en-US"/>
        </w:rPr>
        <w:t>大水滴保湿净肤洁面慕斯动物实验</w:t>
      </w:r>
      <w:r>
        <w:rPr>
          <w:rFonts w:ascii="仿宋" w:hAnsi="仿宋" w:eastAsia="仿宋" w:cs="仿宋"/>
          <w:bCs/>
          <w:kern w:val="0"/>
          <w:sz w:val="21"/>
          <w:szCs w:val="21"/>
          <w:lang w:val="en-US"/>
        </w:rPr>
        <w:t>验证报告见附件2、</w:t>
      </w:r>
      <w:r>
        <w:rPr>
          <w:rFonts w:hint="eastAsia" w:ascii="仿宋" w:hAnsi="仿宋" w:eastAsia="仿宋" w:cs="仿宋"/>
          <w:bCs/>
          <w:kern w:val="0"/>
          <w:sz w:val="21"/>
          <w:szCs w:val="21"/>
          <w:lang w:val="en-US"/>
        </w:rPr>
        <w:t>小迷糊肌简氨基酸表活洁面慕斯动物实验</w:t>
      </w:r>
      <w:r>
        <w:rPr>
          <w:rFonts w:ascii="仿宋" w:hAnsi="仿宋" w:eastAsia="仿宋" w:cs="仿宋"/>
          <w:bCs/>
          <w:kern w:val="0"/>
          <w:sz w:val="21"/>
          <w:szCs w:val="21"/>
          <w:lang w:val="en-US"/>
        </w:rPr>
        <w:t>验证报告见附件3。</w:t>
      </w:r>
    </w:p>
    <w:p w14:paraId="1994D797">
      <w:r>
        <w:object>
          <v:shape id="_x0000_i1031" o:spt="75" type="#_x0000_t75" style="height:51.5pt;width:77pt;" o:ole="t" filled="f" o:preferrelative="t" stroked="f" coordsize="21600,21600">
            <v:path/>
            <v:fill on="f" focussize="0,0"/>
            <v:stroke on="f" joinstyle="miter"/>
            <v:imagedata r:id="rId17" o:title=""/>
            <o:lock v:ext="edit" aspectratio="t"/>
            <w10:wrap type="none"/>
            <w10:anchorlock/>
          </v:shape>
          <o:OLEObject Type="Embed" ProgID="Package" ShapeID="_x0000_i1031" DrawAspect="Icon" ObjectID="_1468075731" r:id="rId16">
            <o:LockedField>false</o:LockedField>
          </o:OLEObject>
        </w:object>
      </w:r>
    </w:p>
    <w:p w14:paraId="23632C86">
      <w:pPr>
        <w:pStyle w:val="17"/>
        <w:spacing w:line="360" w:lineRule="auto"/>
        <w:ind w:firstLine="0" w:firstLineChars="0"/>
        <w:rPr>
          <w:rFonts w:ascii="仿宋" w:hAnsi="仿宋" w:eastAsia="仿宋" w:cs="仿宋"/>
          <w:b/>
          <w:bCs/>
          <w:kern w:val="0"/>
          <w:sz w:val="21"/>
          <w:szCs w:val="21"/>
          <w:lang w:val="en-US"/>
        </w:rPr>
      </w:pPr>
      <w:r>
        <w:rPr>
          <w:rFonts w:ascii="仿宋" w:hAnsi="仿宋" w:eastAsia="仿宋" w:cs="仿宋"/>
          <w:b/>
          <w:bCs/>
          <w:kern w:val="0"/>
          <w:sz w:val="21"/>
          <w:szCs w:val="21"/>
          <w:lang w:val="en-US"/>
        </w:rPr>
        <w:object>
          <v:shape id="_x0000_i1032" o:spt="75" type="#_x0000_t75" style="height:51.5pt;width:77pt;" o:ole="t" filled="f" o:preferrelative="t" stroked="f" coordsize="21600,21600">
            <v:path/>
            <v:fill on="f" focussize="0,0"/>
            <v:stroke on="f" joinstyle="miter"/>
            <v:imagedata r:id="rId19" o:title=""/>
            <o:lock v:ext="edit" aspectratio="t"/>
            <w10:wrap type="none"/>
            <w10:anchorlock/>
          </v:shape>
          <o:OLEObject Type="Embed" ProgID="Package" ShapeID="_x0000_i1032" DrawAspect="Icon" ObjectID="_1468075732" r:id="rId18">
            <o:LockedField>false</o:LockedField>
          </o:OLEObject>
        </w:object>
      </w:r>
    </w:p>
    <w:p w14:paraId="6CC4FB36">
      <w:pPr>
        <w:pStyle w:val="17"/>
        <w:spacing w:line="360" w:lineRule="auto"/>
        <w:ind w:firstLine="0" w:firstLineChars="0"/>
        <w:rPr>
          <w:rFonts w:ascii="仿宋" w:hAnsi="仿宋" w:eastAsia="仿宋" w:cs="仿宋"/>
          <w:b/>
          <w:bCs/>
          <w:kern w:val="0"/>
          <w:sz w:val="21"/>
          <w:szCs w:val="21"/>
          <w:lang w:val="en-US"/>
        </w:rPr>
      </w:pPr>
      <w:r>
        <w:rPr>
          <w:rFonts w:ascii="仿宋" w:hAnsi="仿宋" w:eastAsia="仿宋" w:cs="仿宋"/>
          <w:b/>
          <w:bCs/>
          <w:kern w:val="0"/>
          <w:sz w:val="21"/>
          <w:szCs w:val="21"/>
          <w:lang w:val="en-US"/>
        </w:rPr>
        <w:object>
          <v:shape id="_x0000_i1033" o:spt="75" type="#_x0000_t75" style="height:51.5pt;width:77pt;" o:ole="t" filled="f" o:preferrelative="t" stroked="f" coordsize="21600,21600">
            <v:path/>
            <v:fill on="f" focussize="0,0"/>
            <v:stroke on="f" joinstyle="miter"/>
            <v:imagedata r:id="rId21" o:title=""/>
            <o:lock v:ext="edit" aspectratio="t"/>
            <w10:wrap type="none"/>
            <w10:anchorlock/>
          </v:shape>
          <o:OLEObject Type="Embed" ProgID="Package" ShapeID="_x0000_i1033" DrawAspect="Icon" ObjectID="_1468075733" r:id="rId20">
            <o:LockedField>false</o:LockedField>
          </o:OLEObject>
        </w:object>
      </w:r>
    </w:p>
    <w:p w14:paraId="351CFB9F">
      <w:pPr>
        <w:rPr>
          <w:rFonts w:ascii="仿宋" w:hAnsi="仿宋" w:eastAsia="仿宋" w:cs="仿宋"/>
          <w:bCs/>
          <w:kern w:val="0"/>
          <w:szCs w:val="21"/>
        </w:rPr>
      </w:pPr>
      <w:r>
        <w:rPr>
          <w:rFonts w:ascii="仿宋" w:hAnsi="仿宋" w:eastAsia="仿宋" w:cs="仿宋"/>
          <w:bCs/>
          <w:kern w:val="0"/>
          <w:szCs w:val="21"/>
        </w:rPr>
        <w:tab/>
      </w:r>
      <w:r>
        <w:rPr>
          <w:rFonts w:hint="eastAsia" w:ascii="仿宋" w:hAnsi="仿宋" w:eastAsia="仿宋" w:cs="仿宋"/>
          <w:bCs/>
          <w:kern w:val="0"/>
          <w:szCs w:val="21"/>
        </w:rPr>
        <w:t>重组人角膜上皮模型测试方法与动物实验相关性参考文献：上海市疾病预防控制中心验证结果见附件1，浙江省食品药品检验研究院验证结果见附件2、附件3。</w:t>
      </w:r>
    </w:p>
    <w:p w14:paraId="336819FD">
      <w:pPr>
        <w:pStyle w:val="17"/>
        <w:spacing w:line="360" w:lineRule="auto"/>
        <w:ind w:firstLine="0" w:firstLineChars="0"/>
        <w:rPr>
          <w:rFonts w:ascii="仿宋" w:hAnsi="仿宋" w:eastAsia="仿宋" w:cs="仿宋"/>
          <w:b/>
          <w:bCs/>
          <w:kern w:val="0"/>
          <w:sz w:val="21"/>
          <w:szCs w:val="21"/>
          <w:lang w:val="en-US"/>
        </w:rPr>
      </w:pPr>
      <w:r>
        <w:rPr>
          <w:rFonts w:ascii="仿宋" w:hAnsi="仿宋" w:eastAsia="仿宋" w:cs="仿宋"/>
          <w:b/>
          <w:bCs/>
          <w:kern w:val="0"/>
          <w:sz w:val="21"/>
          <w:szCs w:val="21"/>
          <w:lang w:val="en-US"/>
        </w:rPr>
        <w:object>
          <v:shape id="_x0000_i1034" o:spt="75" type="#_x0000_t75" style="height:51.5pt;width:77pt;" o:ole="t" filled="f" o:preferrelative="t" stroked="f" coordsize="21600,21600">
            <v:path/>
            <v:fill on="f" focussize="0,0"/>
            <v:stroke on="f" joinstyle="miter"/>
            <v:imagedata r:id="rId23" o:title=""/>
            <o:lock v:ext="edit" aspectratio="t"/>
            <w10:wrap type="none"/>
            <w10:anchorlock/>
          </v:shape>
          <o:OLEObject Type="Embed" ProgID="Package" ShapeID="_x0000_i1034" DrawAspect="Icon" ObjectID="_1468075734" r:id="rId22">
            <o:LockedField>false</o:LockedField>
          </o:OLEObject>
        </w:object>
      </w:r>
    </w:p>
    <w:p w14:paraId="5FA99E5E">
      <w:pPr>
        <w:pStyle w:val="17"/>
        <w:spacing w:line="360" w:lineRule="auto"/>
        <w:ind w:firstLine="0" w:firstLineChars="0"/>
        <w:rPr>
          <w:rFonts w:ascii="仿宋" w:hAnsi="仿宋" w:eastAsia="仿宋" w:cs="仿宋"/>
          <w:b/>
          <w:bCs/>
          <w:kern w:val="0"/>
          <w:sz w:val="21"/>
          <w:szCs w:val="21"/>
          <w:lang w:val="en-US"/>
        </w:rPr>
      </w:pPr>
      <w:r>
        <w:rPr>
          <w:rFonts w:ascii="仿宋" w:hAnsi="仿宋" w:eastAsia="仿宋" w:cs="仿宋"/>
          <w:b/>
          <w:bCs/>
          <w:kern w:val="0"/>
          <w:sz w:val="21"/>
          <w:szCs w:val="21"/>
          <w:lang w:val="en-US"/>
        </w:rPr>
        <w:object>
          <v:shape id="_x0000_i1035" o:spt="75" type="#_x0000_t75" style="height:51.5pt;width:77pt;" o:ole="t" filled="f" o:preferrelative="t" stroked="f" coordsize="21600,21600">
            <v:path/>
            <v:fill on="f" focussize="0,0"/>
            <v:stroke on="f" joinstyle="miter"/>
            <v:imagedata r:id="rId25" o:title=""/>
            <o:lock v:ext="edit" aspectratio="t"/>
            <w10:wrap type="none"/>
            <w10:anchorlock/>
          </v:shape>
          <o:OLEObject Type="Embed" ProgID="Package" ShapeID="_x0000_i1035" DrawAspect="Icon" ObjectID="_1468075735" r:id="rId24">
            <o:LockedField>false</o:LockedField>
          </o:OLEObject>
        </w:object>
      </w:r>
    </w:p>
    <w:p w14:paraId="2B2EBDBF">
      <w:pPr>
        <w:pStyle w:val="17"/>
        <w:spacing w:line="360" w:lineRule="auto"/>
        <w:ind w:firstLine="0" w:firstLineChars="0"/>
        <w:rPr>
          <w:rFonts w:ascii="仿宋" w:hAnsi="仿宋" w:eastAsia="仿宋" w:cs="仿宋"/>
          <w:b/>
          <w:bCs/>
          <w:kern w:val="0"/>
          <w:sz w:val="21"/>
          <w:szCs w:val="21"/>
          <w:lang w:val="en-US"/>
        </w:rPr>
      </w:pPr>
      <w:r>
        <w:rPr>
          <w:rFonts w:ascii="仿宋" w:hAnsi="仿宋" w:eastAsia="仿宋" w:cs="仿宋"/>
          <w:b/>
          <w:bCs/>
          <w:kern w:val="0"/>
          <w:sz w:val="21"/>
          <w:szCs w:val="21"/>
          <w:lang w:val="en-US"/>
        </w:rPr>
        <w:object>
          <v:shape id="_x0000_i1036" o:spt="75" type="#_x0000_t75" style="height:51.5pt;width:77pt;" o:ole="t" filled="f" o:preferrelative="t" stroked="f" coordsize="21600,21600">
            <v:path/>
            <v:fill on="f" focussize="0,0"/>
            <v:stroke on="f" joinstyle="miter"/>
            <v:imagedata r:id="rId27" o:title=""/>
            <o:lock v:ext="edit" aspectratio="t"/>
            <w10:wrap type="none"/>
            <w10:anchorlock/>
          </v:shape>
          <o:OLEObject Type="Embed" ProgID="Package" ShapeID="_x0000_i1036" DrawAspect="Icon" ObjectID="_1468075736" r:id="rId26">
            <o:LockedField>false</o:LockedField>
          </o:OLEObject>
        </w:object>
      </w:r>
    </w:p>
    <w:p w14:paraId="5C69B9D9">
      <w:pPr>
        <w:pStyle w:val="17"/>
        <w:spacing w:line="360" w:lineRule="auto"/>
        <w:ind w:firstLine="0" w:firstLineChars="0"/>
        <w:rPr>
          <w:rFonts w:ascii="仿宋" w:hAnsi="仿宋" w:eastAsia="仿宋" w:cs="仿宋"/>
          <w:b/>
          <w:bCs/>
          <w:kern w:val="0"/>
          <w:sz w:val="21"/>
          <w:szCs w:val="21"/>
          <w:lang w:val="en-US"/>
        </w:rPr>
      </w:pPr>
      <w:r>
        <w:rPr>
          <w:rFonts w:hint="eastAsia" w:ascii="仿宋" w:hAnsi="仿宋" w:eastAsia="仿宋" w:cs="仿宋"/>
          <w:b/>
          <w:bCs/>
          <w:kern w:val="0"/>
          <w:sz w:val="21"/>
          <w:szCs w:val="21"/>
          <w:lang w:val="en-US"/>
        </w:rPr>
        <w:t>3.主要试验（或验证）情况分析</w:t>
      </w:r>
    </w:p>
    <w:p w14:paraId="6071E1CB">
      <w:pPr>
        <w:pStyle w:val="17"/>
        <w:numPr>
          <w:ilvl w:val="255"/>
          <w:numId w:val="0"/>
        </w:numPr>
        <w:spacing w:line="360" w:lineRule="auto"/>
        <w:ind w:firstLine="420" w:firstLineChars="200"/>
        <w:jc w:val="both"/>
        <w:rPr>
          <w:rFonts w:ascii="仿宋" w:hAnsi="仿宋" w:eastAsia="仿宋" w:cs="仿宋"/>
          <w:kern w:val="0"/>
          <w:sz w:val="21"/>
          <w:szCs w:val="21"/>
          <w:lang w:val="en-US"/>
        </w:rPr>
      </w:pPr>
      <w:r>
        <w:rPr>
          <w:rFonts w:hint="eastAsia" w:ascii="仿宋" w:hAnsi="仿宋" w:eastAsia="仿宋" w:cs="仿宋"/>
          <w:kern w:val="0"/>
          <w:sz w:val="21"/>
          <w:szCs w:val="21"/>
          <w:lang w:val="en-US"/>
        </w:rPr>
        <w:t>红细胞溶血测试方法验证：</w:t>
      </w:r>
    </w:p>
    <w:p w14:paraId="72FA27BF">
      <w:pPr>
        <w:pStyle w:val="17"/>
        <w:numPr>
          <w:ilvl w:val="255"/>
          <w:numId w:val="0"/>
        </w:numPr>
        <w:spacing w:line="360" w:lineRule="auto"/>
        <w:ind w:firstLine="420" w:firstLineChars="200"/>
        <w:jc w:val="both"/>
        <w:rPr>
          <w:rFonts w:ascii="仿宋" w:hAnsi="仿宋" w:eastAsia="仿宋" w:cs="仿宋"/>
          <w:kern w:val="0"/>
          <w:sz w:val="21"/>
          <w:szCs w:val="21"/>
          <w:lang w:val="en-US"/>
        </w:rPr>
      </w:pPr>
      <w:r>
        <w:rPr>
          <w:rFonts w:hint="eastAsia" w:ascii="仿宋" w:hAnsi="仿宋" w:eastAsia="仿宋" w:cs="仿宋"/>
          <w:kern w:val="0"/>
          <w:sz w:val="21"/>
          <w:szCs w:val="21"/>
          <w:lang w:val="en-US"/>
        </w:rPr>
        <w:t>为了更好的了解该方法在不同实验室、不同操作人员测试情况下，对不同测试时间、不同批次血液测试结果进行了对比，起草工作组选取市面上常用洁面主要表面活性剂按照《儿童清洁产品配方开发中的刺激性评估方法》团体标准中测试流程进行检测,南京盛德梅赛医疗技术有限公司（实验室1）、纳爱斯（浙江）科技集团有限公司（实验室</w:t>
      </w:r>
      <w:r>
        <w:rPr>
          <w:rFonts w:ascii="仿宋" w:hAnsi="仿宋" w:eastAsia="仿宋" w:cs="仿宋"/>
          <w:kern w:val="0"/>
          <w:sz w:val="21"/>
          <w:szCs w:val="21"/>
          <w:lang w:val="en-US"/>
        </w:rPr>
        <w:t>2</w:t>
      </w:r>
      <w:r>
        <w:rPr>
          <w:rFonts w:hint="eastAsia" w:ascii="仿宋" w:hAnsi="仿宋" w:eastAsia="仿宋" w:cs="仿宋"/>
          <w:kern w:val="0"/>
          <w:sz w:val="21"/>
          <w:szCs w:val="21"/>
          <w:lang w:val="en-US"/>
        </w:rPr>
        <w:t>）、水羊化妆品制造</w:t>
      </w:r>
      <w:r>
        <w:rPr>
          <w:rFonts w:ascii="仿宋" w:hAnsi="仿宋" w:eastAsia="仿宋" w:cs="仿宋"/>
          <w:kern w:val="0"/>
          <w:sz w:val="21"/>
          <w:szCs w:val="21"/>
          <w:lang w:val="en-US"/>
        </w:rPr>
        <w:t>有限公司</w:t>
      </w:r>
      <w:r>
        <w:rPr>
          <w:rFonts w:hint="eastAsia" w:ascii="仿宋" w:hAnsi="仿宋" w:eastAsia="仿宋" w:cs="仿宋"/>
          <w:kern w:val="0"/>
          <w:sz w:val="21"/>
          <w:szCs w:val="21"/>
          <w:lang w:val="en-US"/>
        </w:rPr>
        <w:t>（实验室</w:t>
      </w:r>
      <w:r>
        <w:rPr>
          <w:rFonts w:ascii="仿宋" w:hAnsi="仿宋" w:eastAsia="仿宋" w:cs="仿宋"/>
          <w:kern w:val="0"/>
          <w:sz w:val="21"/>
          <w:szCs w:val="21"/>
          <w:lang w:val="en-US"/>
        </w:rPr>
        <w:t>3</w:t>
      </w:r>
      <w:r>
        <w:rPr>
          <w:rFonts w:hint="eastAsia" w:ascii="仿宋" w:hAnsi="仿宋" w:eastAsia="仿宋" w:cs="仿宋"/>
          <w:kern w:val="0"/>
          <w:sz w:val="21"/>
          <w:szCs w:val="21"/>
          <w:lang w:val="en-US"/>
        </w:rPr>
        <w:t>）三家实验室参加了对相关产品的检验工作，该实验由具体检测数据见下表。不用单位测试结果显示，实验数据在误差范围内，稳定性良好，方法可重复高。</w:t>
      </w:r>
    </w:p>
    <w:p w14:paraId="335F5734">
      <w:pPr>
        <w:pStyle w:val="31"/>
        <w:tabs>
          <w:tab w:val="left" w:pos="839"/>
        </w:tabs>
        <w:spacing w:line="360" w:lineRule="auto"/>
        <w:ind w:left="420" w:firstLine="0" w:firstLineChars="0"/>
        <w:jc w:val="center"/>
        <w:rPr>
          <w:rFonts w:ascii="仿宋" w:hAnsi="仿宋" w:eastAsia="仿宋" w:cs="仿宋"/>
          <w:szCs w:val="21"/>
          <w:lang w:val="zh-CN"/>
        </w:rPr>
      </w:pPr>
      <w:r>
        <w:rPr>
          <w:rFonts w:hint="eastAsia" w:ascii="仿宋" w:hAnsi="仿宋" w:eastAsia="仿宋" w:cs="仿宋"/>
          <w:szCs w:val="21"/>
          <w:lang w:val="zh-CN"/>
        </w:rPr>
        <w:t>表</w:t>
      </w:r>
      <w:r>
        <w:rPr>
          <w:rFonts w:hint="eastAsia" w:ascii="仿宋" w:hAnsi="仿宋" w:eastAsia="仿宋" w:cs="仿宋"/>
          <w:szCs w:val="21"/>
        </w:rPr>
        <w:t>1</w:t>
      </w:r>
      <w:r>
        <w:rPr>
          <w:rFonts w:hint="eastAsia" w:ascii="仿宋" w:hAnsi="仿宋" w:eastAsia="仿宋" w:cs="仿宋"/>
          <w:szCs w:val="21"/>
          <w:lang w:val="zh-CN"/>
        </w:rPr>
        <w:t xml:space="preserve"> 三家实验室日间稳定性检测结果汇总</w:t>
      </w:r>
    </w:p>
    <w:tbl>
      <w:tblPr>
        <w:tblStyle w:val="11"/>
        <w:tblW w:w="9360" w:type="dxa"/>
        <w:jc w:val="center"/>
        <w:tblLayout w:type="fixed"/>
        <w:tblCellMar>
          <w:top w:w="0" w:type="dxa"/>
          <w:left w:w="108" w:type="dxa"/>
          <w:bottom w:w="0" w:type="dxa"/>
          <w:right w:w="108" w:type="dxa"/>
        </w:tblCellMar>
      </w:tblPr>
      <w:tblGrid>
        <w:gridCol w:w="704"/>
        <w:gridCol w:w="992"/>
        <w:gridCol w:w="875"/>
        <w:gridCol w:w="850"/>
        <w:gridCol w:w="851"/>
        <w:gridCol w:w="836"/>
        <w:gridCol w:w="850"/>
        <w:gridCol w:w="851"/>
        <w:gridCol w:w="850"/>
        <w:gridCol w:w="851"/>
        <w:gridCol w:w="850"/>
      </w:tblGrid>
      <w:tr w14:paraId="7A2052EC">
        <w:tblPrEx>
          <w:tblCellMar>
            <w:top w:w="0" w:type="dxa"/>
            <w:left w:w="108" w:type="dxa"/>
            <w:bottom w:w="0" w:type="dxa"/>
            <w:right w:w="108" w:type="dxa"/>
          </w:tblCellMar>
        </w:tblPrEx>
        <w:trPr>
          <w:trHeight w:val="266" w:hRule="atLeast"/>
          <w:jc w:val="center"/>
        </w:trPr>
        <w:tc>
          <w:tcPr>
            <w:tcW w:w="169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0E55FA4A">
            <w:pPr>
              <w:widowControl/>
              <w:jc w:val="center"/>
              <w:textAlignment w:val="center"/>
              <w:rPr>
                <w:rFonts w:ascii="仿宋" w:hAnsi="仿宋" w:eastAsia="仿宋" w:cs="仿宋"/>
                <w:kern w:val="0"/>
                <w:sz w:val="18"/>
                <w:szCs w:val="18"/>
                <w:lang w:bidi="ar"/>
              </w:rPr>
            </w:pPr>
            <w:r>
              <w:rPr>
                <w:rFonts w:hint="eastAsia" w:ascii="仿宋" w:hAnsi="仿宋" w:eastAsia="仿宋" w:cs="仿宋"/>
                <w:kern w:val="0"/>
                <w:sz w:val="18"/>
                <w:szCs w:val="18"/>
                <w:lang w:bidi="ar"/>
              </w:rPr>
              <w:t>测试机构</w:t>
            </w:r>
          </w:p>
        </w:tc>
        <w:tc>
          <w:tcPr>
            <w:tcW w:w="2576"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A13E88F">
            <w:pPr>
              <w:widowControl/>
              <w:jc w:val="center"/>
              <w:textAlignment w:val="center"/>
              <w:rPr>
                <w:rFonts w:ascii="Times New Roman" w:hAnsi="Times New Roman" w:eastAsia="仿宋"/>
                <w:sz w:val="18"/>
                <w:szCs w:val="18"/>
              </w:rPr>
            </w:pPr>
            <w:r>
              <w:rPr>
                <w:rFonts w:hint="eastAsia" w:ascii="仿宋" w:hAnsi="仿宋" w:eastAsia="仿宋" w:cs="仿宋"/>
                <w:kern w:val="0"/>
                <w:sz w:val="18"/>
                <w:szCs w:val="18"/>
                <w:lang w:bidi="ar"/>
              </w:rPr>
              <w:t>实验室1</w:t>
            </w:r>
          </w:p>
        </w:tc>
        <w:tc>
          <w:tcPr>
            <w:tcW w:w="253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666869B2">
            <w:pPr>
              <w:widowControl/>
              <w:jc w:val="center"/>
              <w:textAlignment w:val="center"/>
              <w:rPr>
                <w:rFonts w:ascii="Times New Roman" w:hAnsi="Times New Roman" w:eastAsia="仿宋"/>
                <w:sz w:val="18"/>
                <w:szCs w:val="18"/>
              </w:rPr>
            </w:pPr>
            <w:r>
              <w:rPr>
                <w:rFonts w:hint="eastAsia" w:ascii="仿宋" w:hAnsi="仿宋" w:eastAsia="仿宋" w:cs="仿宋"/>
                <w:kern w:val="0"/>
                <w:sz w:val="18"/>
                <w:szCs w:val="18"/>
                <w:lang w:bidi="ar"/>
              </w:rPr>
              <w:t>实验室2</w:t>
            </w:r>
          </w:p>
        </w:tc>
        <w:tc>
          <w:tcPr>
            <w:tcW w:w="2551"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113F00E2">
            <w:pPr>
              <w:widowControl/>
              <w:jc w:val="center"/>
              <w:textAlignment w:val="center"/>
              <w:rPr>
                <w:rFonts w:ascii="Times New Roman" w:hAnsi="Times New Roman" w:eastAsia="仿宋"/>
                <w:sz w:val="18"/>
                <w:szCs w:val="18"/>
              </w:rPr>
            </w:pPr>
            <w:r>
              <w:rPr>
                <w:rFonts w:hint="eastAsia" w:ascii="仿宋" w:hAnsi="仿宋" w:eastAsia="仿宋" w:cs="仿宋"/>
                <w:kern w:val="0"/>
                <w:sz w:val="18"/>
                <w:szCs w:val="18"/>
                <w:lang w:bidi="ar"/>
              </w:rPr>
              <w:t>实验室3</w:t>
            </w:r>
          </w:p>
        </w:tc>
      </w:tr>
      <w:tr w14:paraId="407D7FE6">
        <w:tblPrEx>
          <w:tblCellMar>
            <w:top w:w="0" w:type="dxa"/>
            <w:left w:w="108" w:type="dxa"/>
            <w:bottom w:w="0" w:type="dxa"/>
            <w:right w:w="108" w:type="dxa"/>
          </w:tblCellMar>
        </w:tblPrEx>
        <w:trPr>
          <w:trHeight w:val="266" w:hRule="atLeast"/>
          <w:jc w:val="center"/>
        </w:trPr>
        <w:tc>
          <w:tcPr>
            <w:tcW w:w="70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6E4201">
            <w:pPr>
              <w:widowControl/>
              <w:jc w:val="center"/>
              <w:textAlignment w:val="center"/>
              <w:rPr>
                <w:rFonts w:ascii="Times New Roman" w:hAnsi="Times New Roman" w:eastAsia="仿宋"/>
                <w:sz w:val="18"/>
                <w:szCs w:val="18"/>
              </w:rPr>
            </w:pPr>
            <w:r>
              <w:rPr>
                <w:rFonts w:hint="eastAsia" w:ascii="Times New Roman" w:hAnsi="Times New Roman" w:eastAsia="仿宋"/>
                <w:sz w:val="18"/>
                <w:szCs w:val="18"/>
              </w:rPr>
              <w:t>时间</w:t>
            </w:r>
          </w:p>
        </w:tc>
        <w:tc>
          <w:tcPr>
            <w:tcW w:w="992" w:type="dxa"/>
            <w:tcBorders>
              <w:top w:val="single" w:color="000000" w:sz="4" w:space="0"/>
              <w:left w:val="single" w:color="000000" w:sz="4" w:space="0"/>
              <w:bottom w:val="single" w:color="auto" w:sz="4" w:space="0"/>
              <w:right w:val="single" w:color="000000" w:sz="4" w:space="0"/>
            </w:tcBorders>
          </w:tcPr>
          <w:p w14:paraId="1604D89D">
            <w:pPr>
              <w:widowControl/>
              <w:jc w:val="left"/>
              <w:rPr>
                <w:rFonts w:ascii="仿宋" w:hAnsi="仿宋" w:eastAsia="仿宋" w:cs="仿宋"/>
                <w:kern w:val="0"/>
                <w:sz w:val="18"/>
                <w:szCs w:val="18"/>
                <w:lang w:bidi="ar"/>
              </w:rPr>
            </w:pPr>
            <w:r>
              <w:rPr>
                <w:rFonts w:hint="eastAsia" w:ascii="仿宋" w:hAnsi="仿宋" w:eastAsia="仿宋" w:cs="仿宋"/>
                <w:kern w:val="0"/>
                <w:sz w:val="18"/>
                <w:szCs w:val="18"/>
                <w:lang w:bidi="ar"/>
              </w:rPr>
              <w:t>测试原料</w:t>
            </w:r>
          </w:p>
        </w:tc>
        <w:tc>
          <w:tcPr>
            <w:tcW w:w="8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611152">
            <w:pPr>
              <w:widowControl/>
              <w:jc w:val="left"/>
              <w:rPr>
                <w:rFonts w:ascii="宋体" w:hAnsi="宋体" w:eastAsia="宋体" w:cs="宋体"/>
                <w:kern w:val="0"/>
                <w:sz w:val="18"/>
                <w:szCs w:val="18"/>
              </w:rPr>
            </w:pPr>
            <w:r>
              <w:rPr>
                <w:rFonts w:hint="eastAsia" w:ascii="仿宋" w:hAnsi="仿宋" w:eastAsia="仿宋" w:cs="仿宋"/>
                <w:kern w:val="0"/>
                <w:sz w:val="18"/>
                <w:szCs w:val="18"/>
                <w:lang w:bidi="ar"/>
              </w:rPr>
              <w:t>平均值</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B534BBB">
            <w:pPr>
              <w:widowControl/>
              <w:jc w:val="center"/>
              <w:textAlignment w:val="center"/>
              <w:rPr>
                <w:rFonts w:ascii="Times New Roman" w:hAnsi="Times New Roman" w:eastAsia="仿宋"/>
                <w:kern w:val="0"/>
                <w:sz w:val="18"/>
                <w:szCs w:val="18"/>
                <w:lang w:bidi="ar"/>
              </w:rPr>
            </w:pPr>
            <w:r>
              <w:rPr>
                <w:rFonts w:ascii="Times New Roman" w:hAnsi="Times New Roman" w:eastAsia="仿宋"/>
                <w:kern w:val="0"/>
                <w:sz w:val="18"/>
                <w:szCs w:val="18"/>
                <w:lang w:bidi="ar"/>
              </w:rPr>
              <w:t>SD</w:t>
            </w:r>
          </w:p>
        </w:tc>
        <w:tc>
          <w:tcPr>
            <w:tcW w:w="851" w:type="dxa"/>
            <w:tcBorders>
              <w:top w:val="single" w:color="000000" w:sz="4" w:space="0"/>
              <w:left w:val="single" w:color="000000" w:sz="4" w:space="0"/>
              <w:bottom w:val="single" w:color="000000" w:sz="4" w:space="0"/>
              <w:right w:val="single" w:color="000000" w:sz="4" w:space="0"/>
            </w:tcBorders>
            <w:vAlign w:val="center"/>
          </w:tcPr>
          <w:p w14:paraId="5EEB2F16">
            <w:pPr>
              <w:pStyle w:val="17"/>
              <w:spacing w:line="240" w:lineRule="auto"/>
              <w:ind w:firstLine="0" w:firstLineChars="0"/>
              <w:jc w:val="center"/>
              <w:rPr>
                <w:rFonts w:eastAsia="仿宋"/>
                <w:kern w:val="0"/>
                <w:sz w:val="18"/>
                <w:szCs w:val="18"/>
                <w:lang w:bidi="ar"/>
              </w:rPr>
            </w:pPr>
            <w:r>
              <w:rPr>
                <w:rFonts w:eastAsia="仿宋"/>
                <w:kern w:val="0"/>
                <w:sz w:val="18"/>
                <w:szCs w:val="18"/>
                <w:lang w:bidi="ar"/>
              </w:rPr>
              <w:t>%RSD</w:t>
            </w:r>
          </w:p>
        </w:tc>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635C120">
            <w:pPr>
              <w:widowControl/>
              <w:jc w:val="center"/>
              <w:rPr>
                <w:rFonts w:ascii="宋体" w:hAnsi="宋体" w:eastAsia="宋体" w:cs="宋体"/>
                <w:kern w:val="0"/>
                <w:sz w:val="18"/>
                <w:szCs w:val="18"/>
              </w:rPr>
            </w:pPr>
            <w:r>
              <w:rPr>
                <w:rFonts w:hint="eastAsia" w:ascii="仿宋" w:hAnsi="仿宋" w:eastAsia="仿宋" w:cs="仿宋"/>
                <w:kern w:val="0"/>
                <w:sz w:val="18"/>
                <w:szCs w:val="18"/>
                <w:lang w:bidi="ar"/>
              </w:rPr>
              <w:t>平均值</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B51E7A">
            <w:pPr>
              <w:widowControl/>
              <w:jc w:val="center"/>
              <w:textAlignment w:val="center"/>
              <w:rPr>
                <w:rFonts w:ascii="Times New Roman" w:hAnsi="Times New Roman" w:eastAsia="仿宋"/>
                <w:kern w:val="0"/>
                <w:sz w:val="18"/>
                <w:szCs w:val="18"/>
                <w:lang w:bidi="ar"/>
              </w:rPr>
            </w:pPr>
            <w:r>
              <w:rPr>
                <w:rFonts w:ascii="Times New Roman" w:hAnsi="Times New Roman" w:eastAsia="仿宋"/>
                <w:kern w:val="0"/>
                <w:sz w:val="18"/>
                <w:szCs w:val="18"/>
                <w:lang w:bidi="ar"/>
              </w:rPr>
              <w:t>SD</w:t>
            </w:r>
          </w:p>
        </w:tc>
        <w:tc>
          <w:tcPr>
            <w:tcW w:w="851" w:type="dxa"/>
            <w:tcBorders>
              <w:top w:val="single" w:color="000000" w:sz="4" w:space="0"/>
              <w:left w:val="single" w:color="000000" w:sz="4" w:space="0"/>
              <w:bottom w:val="single" w:color="000000" w:sz="4" w:space="0"/>
              <w:right w:val="single" w:color="000000" w:sz="4" w:space="0"/>
            </w:tcBorders>
            <w:vAlign w:val="center"/>
          </w:tcPr>
          <w:p w14:paraId="1A266AA0">
            <w:pPr>
              <w:pStyle w:val="17"/>
              <w:spacing w:line="240" w:lineRule="auto"/>
              <w:ind w:firstLine="0" w:firstLineChars="0"/>
              <w:jc w:val="center"/>
              <w:rPr>
                <w:rFonts w:eastAsia="仿宋"/>
                <w:kern w:val="0"/>
                <w:sz w:val="18"/>
                <w:szCs w:val="18"/>
                <w:lang w:bidi="ar"/>
              </w:rPr>
            </w:pPr>
            <w:r>
              <w:rPr>
                <w:rFonts w:eastAsia="仿宋"/>
                <w:kern w:val="0"/>
                <w:sz w:val="18"/>
                <w:szCs w:val="18"/>
                <w:lang w:bidi="ar"/>
              </w:rPr>
              <w:t>%RSD</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FE546AD">
            <w:pPr>
              <w:widowControl/>
              <w:jc w:val="center"/>
              <w:rPr>
                <w:rFonts w:ascii="宋体" w:hAnsi="宋体" w:eastAsia="宋体" w:cs="宋体"/>
                <w:kern w:val="0"/>
                <w:sz w:val="18"/>
                <w:szCs w:val="18"/>
              </w:rPr>
            </w:pPr>
            <w:r>
              <w:rPr>
                <w:rFonts w:hint="eastAsia" w:ascii="仿宋" w:hAnsi="仿宋" w:eastAsia="仿宋" w:cs="仿宋"/>
                <w:kern w:val="0"/>
                <w:sz w:val="18"/>
                <w:szCs w:val="18"/>
                <w:lang w:bidi="ar"/>
              </w:rPr>
              <w:t>平均值</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96A2C37">
            <w:pPr>
              <w:widowControl/>
              <w:jc w:val="center"/>
              <w:textAlignment w:val="center"/>
              <w:rPr>
                <w:rFonts w:ascii="Times New Roman" w:hAnsi="Times New Roman" w:eastAsia="仿宋"/>
                <w:kern w:val="0"/>
                <w:sz w:val="18"/>
                <w:szCs w:val="18"/>
                <w:lang w:bidi="ar"/>
              </w:rPr>
            </w:pPr>
            <w:r>
              <w:rPr>
                <w:rFonts w:ascii="Times New Roman" w:hAnsi="Times New Roman" w:eastAsia="仿宋"/>
                <w:kern w:val="0"/>
                <w:sz w:val="18"/>
                <w:szCs w:val="18"/>
                <w:lang w:bidi="ar"/>
              </w:rPr>
              <w:t>SD</w:t>
            </w:r>
          </w:p>
        </w:tc>
        <w:tc>
          <w:tcPr>
            <w:tcW w:w="850" w:type="dxa"/>
            <w:tcBorders>
              <w:top w:val="single" w:color="000000" w:sz="4" w:space="0"/>
              <w:left w:val="single" w:color="000000" w:sz="4" w:space="0"/>
              <w:bottom w:val="single" w:color="000000" w:sz="4" w:space="0"/>
              <w:right w:val="single" w:color="000000" w:sz="4" w:space="0"/>
            </w:tcBorders>
            <w:vAlign w:val="center"/>
          </w:tcPr>
          <w:p w14:paraId="6AADBFB6">
            <w:pPr>
              <w:pStyle w:val="17"/>
              <w:spacing w:line="240" w:lineRule="auto"/>
              <w:ind w:firstLine="0" w:firstLineChars="0"/>
              <w:jc w:val="center"/>
              <w:rPr>
                <w:rFonts w:eastAsia="仿宋"/>
                <w:kern w:val="0"/>
                <w:sz w:val="18"/>
                <w:szCs w:val="18"/>
                <w:lang w:bidi="ar"/>
              </w:rPr>
            </w:pPr>
            <w:r>
              <w:rPr>
                <w:rFonts w:eastAsia="仿宋"/>
                <w:kern w:val="0"/>
                <w:sz w:val="18"/>
                <w:szCs w:val="18"/>
                <w:lang w:bidi="ar"/>
              </w:rPr>
              <w:t>%RSD</w:t>
            </w:r>
          </w:p>
        </w:tc>
      </w:tr>
      <w:tr w14:paraId="7E0374C0">
        <w:tblPrEx>
          <w:tblCellMar>
            <w:top w:w="0" w:type="dxa"/>
            <w:left w:w="108" w:type="dxa"/>
            <w:bottom w:w="0" w:type="dxa"/>
            <w:right w:w="108" w:type="dxa"/>
          </w:tblCellMar>
        </w:tblPrEx>
        <w:trPr>
          <w:trHeight w:val="266" w:hRule="atLeast"/>
          <w:jc w:val="center"/>
        </w:trPr>
        <w:tc>
          <w:tcPr>
            <w:tcW w:w="704" w:type="dxa"/>
            <w:tcBorders>
              <w:top w:val="single" w:color="000000" w:sz="4" w:space="0"/>
              <w:left w:val="single" w:color="000000" w:sz="4" w:space="0"/>
              <w:bottom w:val="single" w:color="000000" w:sz="4" w:space="0"/>
              <w:right w:val="single" w:color="auto" w:sz="4" w:space="0"/>
            </w:tcBorders>
            <w:shd w:val="clear" w:color="auto" w:fill="auto"/>
            <w:vAlign w:val="center"/>
          </w:tcPr>
          <w:p w14:paraId="27410A22">
            <w:pPr>
              <w:widowControl/>
              <w:jc w:val="center"/>
              <w:textAlignment w:val="center"/>
              <w:rPr>
                <w:rFonts w:ascii="Times New Roman" w:hAnsi="Times New Roman" w:eastAsia="仿宋"/>
                <w:sz w:val="18"/>
                <w:szCs w:val="18"/>
              </w:rPr>
            </w:pPr>
            <w:r>
              <w:rPr>
                <w:rFonts w:ascii="Times New Roman" w:hAnsi="Times New Roman" w:eastAsia="仿宋"/>
                <w:sz w:val="18"/>
                <w:szCs w:val="18"/>
              </w:rPr>
              <w:t>Day1</w:t>
            </w:r>
          </w:p>
        </w:tc>
        <w:tc>
          <w:tcPr>
            <w:tcW w:w="992" w:type="dxa"/>
            <w:vMerge w:val="restart"/>
            <w:tcBorders>
              <w:top w:val="single" w:color="auto" w:sz="4" w:space="0"/>
              <w:left w:val="single" w:color="auto" w:sz="4" w:space="0"/>
              <w:bottom w:val="single" w:color="auto" w:sz="4" w:space="0"/>
              <w:right w:val="single" w:color="auto" w:sz="4" w:space="0"/>
            </w:tcBorders>
          </w:tcPr>
          <w:p w14:paraId="02748073">
            <w:pPr>
              <w:widowControl/>
              <w:jc w:val="center"/>
              <w:textAlignment w:val="center"/>
              <w:rPr>
                <w:rFonts w:ascii="Times New Roman" w:hAnsi="Times New Roman" w:eastAsia="仿宋"/>
                <w:sz w:val="18"/>
                <w:szCs w:val="18"/>
              </w:rPr>
            </w:pPr>
            <w:r>
              <w:rPr>
                <w:rFonts w:hint="eastAsia" w:ascii="Times New Roman" w:hAnsi="Times New Roman" w:eastAsia="仿宋"/>
                <w:sz w:val="18"/>
                <w:szCs w:val="18"/>
              </w:rPr>
              <w:t>椰油酰谷氨酸T</w:t>
            </w:r>
            <w:r>
              <w:rPr>
                <w:rFonts w:ascii="Times New Roman" w:hAnsi="Times New Roman" w:eastAsia="仿宋"/>
                <w:sz w:val="18"/>
                <w:szCs w:val="18"/>
              </w:rPr>
              <w:t>EA</w:t>
            </w:r>
            <w:r>
              <w:rPr>
                <w:rFonts w:hint="eastAsia" w:ascii="Times New Roman" w:hAnsi="Times New Roman" w:eastAsia="仿宋"/>
                <w:sz w:val="18"/>
                <w:szCs w:val="18"/>
              </w:rPr>
              <w:t>盐</w:t>
            </w:r>
          </w:p>
        </w:tc>
        <w:tc>
          <w:tcPr>
            <w:tcW w:w="875" w:type="dxa"/>
            <w:tcBorders>
              <w:top w:val="single" w:color="000000" w:sz="4" w:space="0"/>
              <w:left w:val="single" w:color="auto" w:sz="4" w:space="0"/>
              <w:bottom w:val="single" w:color="000000" w:sz="4" w:space="0"/>
              <w:right w:val="single" w:color="000000" w:sz="4" w:space="0"/>
            </w:tcBorders>
            <w:shd w:val="clear" w:color="auto" w:fill="auto"/>
          </w:tcPr>
          <w:p w14:paraId="115D4C45">
            <w:pPr>
              <w:widowControl/>
              <w:jc w:val="center"/>
              <w:textAlignment w:val="center"/>
              <w:rPr>
                <w:rFonts w:ascii="Times New Roman" w:hAnsi="Times New Roman" w:eastAsia="仿宋"/>
                <w:sz w:val="18"/>
                <w:szCs w:val="18"/>
              </w:rPr>
            </w:pPr>
            <w:r>
              <w:rPr>
                <w:rFonts w:ascii="Times New Roman" w:hAnsi="Times New Roman" w:eastAsia="仿宋"/>
                <w:sz w:val="18"/>
                <w:szCs w:val="18"/>
              </w:rPr>
              <w:t>1133.00</w:t>
            </w:r>
          </w:p>
        </w:tc>
        <w:tc>
          <w:tcPr>
            <w:tcW w:w="850" w:type="dxa"/>
            <w:tcBorders>
              <w:top w:val="single" w:color="000000" w:sz="4" w:space="0"/>
              <w:left w:val="single" w:color="000000" w:sz="4" w:space="0"/>
              <w:bottom w:val="single" w:color="000000" w:sz="4" w:space="0"/>
              <w:right w:val="single" w:color="000000" w:sz="4" w:space="0"/>
            </w:tcBorders>
            <w:shd w:val="clear" w:color="auto" w:fill="auto"/>
          </w:tcPr>
          <w:p w14:paraId="1BDC87B3">
            <w:pPr>
              <w:widowControl/>
              <w:jc w:val="center"/>
              <w:textAlignment w:val="center"/>
              <w:rPr>
                <w:rFonts w:ascii="Times New Roman" w:hAnsi="Times New Roman" w:eastAsia="仿宋"/>
                <w:sz w:val="18"/>
                <w:szCs w:val="18"/>
              </w:rPr>
            </w:pPr>
            <w:r>
              <w:rPr>
                <w:rFonts w:ascii="Times New Roman" w:hAnsi="Times New Roman" w:eastAsia="仿宋"/>
                <w:sz w:val="18"/>
                <w:szCs w:val="18"/>
              </w:rPr>
              <w:t>52.37</w:t>
            </w:r>
          </w:p>
        </w:tc>
        <w:tc>
          <w:tcPr>
            <w:tcW w:w="851" w:type="dxa"/>
            <w:tcBorders>
              <w:top w:val="single" w:color="000000" w:sz="4" w:space="0"/>
              <w:left w:val="single" w:color="000000" w:sz="4" w:space="0"/>
              <w:bottom w:val="single" w:color="000000" w:sz="4" w:space="0"/>
              <w:right w:val="single" w:color="000000" w:sz="4" w:space="0"/>
            </w:tcBorders>
          </w:tcPr>
          <w:p w14:paraId="01627848">
            <w:pPr>
              <w:widowControl/>
              <w:jc w:val="center"/>
              <w:textAlignment w:val="center"/>
              <w:rPr>
                <w:rFonts w:ascii="Times New Roman" w:hAnsi="Times New Roman" w:eastAsia="仿宋"/>
                <w:sz w:val="18"/>
                <w:szCs w:val="18"/>
              </w:rPr>
            </w:pPr>
            <w:r>
              <w:rPr>
                <w:rFonts w:ascii="Times New Roman" w:hAnsi="Times New Roman" w:eastAsia="仿宋"/>
                <w:sz w:val="18"/>
                <w:szCs w:val="18"/>
              </w:rPr>
              <w:t>4.62</w:t>
            </w:r>
          </w:p>
        </w:tc>
        <w:tc>
          <w:tcPr>
            <w:tcW w:w="836" w:type="dxa"/>
            <w:tcBorders>
              <w:top w:val="single" w:color="000000" w:sz="4" w:space="0"/>
              <w:left w:val="single" w:color="000000" w:sz="4" w:space="0"/>
              <w:bottom w:val="single" w:color="000000" w:sz="4" w:space="0"/>
              <w:right w:val="single" w:color="000000" w:sz="4" w:space="0"/>
            </w:tcBorders>
            <w:shd w:val="clear" w:color="auto" w:fill="auto"/>
          </w:tcPr>
          <w:p w14:paraId="095FF71C">
            <w:pPr>
              <w:widowControl/>
              <w:jc w:val="center"/>
              <w:textAlignment w:val="center"/>
              <w:rPr>
                <w:rFonts w:ascii="Times New Roman" w:hAnsi="Times New Roman" w:eastAsia="仿宋"/>
                <w:sz w:val="18"/>
                <w:szCs w:val="18"/>
              </w:rPr>
            </w:pPr>
            <w:r>
              <w:rPr>
                <w:rFonts w:ascii="Times New Roman" w:hAnsi="Times New Roman" w:eastAsia="仿宋"/>
                <w:sz w:val="18"/>
                <w:szCs w:val="18"/>
              </w:rPr>
              <w:t>1251.54</w:t>
            </w:r>
          </w:p>
        </w:tc>
        <w:tc>
          <w:tcPr>
            <w:tcW w:w="850" w:type="dxa"/>
            <w:tcBorders>
              <w:top w:val="single" w:color="000000" w:sz="4" w:space="0"/>
              <w:left w:val="single" w:color="000000" w:sz="4" w:space="0"/>
              <w:bottom w:val="single" w:color="000000" w:sz="4" w:space="0"/>
              <w:right w:val="single" w:color="000000" w:sz="4" w:space="0"/>
            </w:tcBorders>
            <w:shd w:val="clear" w:color="auto" w:fill="auto"/>
          </w:tcPr>
          <w:p w14:paraId="33AE6367">
            <w:pPr>
              <w:widowControl/>
              <w:jc w:val="center"/>
              <w:textAlignment w:val="center"/>
              <w:rPr>
                <w:rFonts w:ascii="Times New Roman" w:hAnsi="Times New Roman" w:eastAsia="仿宋"/>
                <w:sz w:val="18"/>
                <w:szCs w:val="18"/>
              </w:rPr>
            </w:pPr>
            <w:r>
              <w:rPr>
                <w:rFonts w:ascii="Times New Roman" w:hAnsi="Times New Roman" w:eastAsia="仿宋"/>
                <w:sz w:val="18"/>
                <w:szCs w:val="18"/>
              </w:rPr>
              <w:t>23.97</w:t>
            </w:r>
          </w:p>
        </w:tc>
        <w:tc>
          <w:tcPr>
            <w:tcW w:w="851" w:type="dxa"/>
            <w:tcBorders>
              <w:top w:val="single" w:color="000000" w:sz="4" w:space="0"/>
              <w:left w:val="single" w:color="000000" w:sz="4" w:space="0"/>
              <w:bottom w:val="single" w:color="000000" w:sz="4" w:space="0"/>
              <w:right w:val="single" w:color="000000" w:sz="4" w:space="0"/>
            </w:tcBorders>
          </w:tcPr>
          <w:p w14:paraId="0867FCAD">
            <w:pPr>
              <w:widowControl/>
              <w:jc w:val="center"/>
              <w:textAlignment w:val="center"/>
              <w:rPr>
                <w:rFonts w:ascii="Times New Roman" w:hAnsi="Times New Roman" w:eastAsia="仿宋"/>
                <w:sz w:val="18"/>
                <w:szCs w:val="18"/>
              </w:rPr>
            </w:pPr>
            <w:r>
              <w:rPr>
                <w:rFonts w:ascii="Times New Roman" w:hAnsi="Times New Roman" w:eastAsia="仿宋"/>
                <w:sz w:val="18"/>
                <w:szCs w:val="18"/>
              </w:rPr>
              <w:t>1.56</w:t>
            </w:r>
          </w:p>
        </w:tc>
        <w:tc>
          <w:tcPr>
            <w:tcW w:w="850" w:type="dxa"/>
            <w:tcBorders>
              <w:top w:val="single" w:color="000000" w:sz="4" w:space="0"/>
              <w:left w:val="single" w:color="000000" w:sz="4" w:space="0"/>
              <w:bottom w:val="single" w:color="000000" w:sz="4" w:space="0"/>
              <w:right w:val="single" w:color="000000" w:sz="4" w:space="0"/>
            </w:tcBorders>
            <w:shd w:val="clear" w:color="auto" w:fill="auto"/>
          </w:tcPr>
          <w:p w14:paraId="36B7885E">
            <w:pPr>
              <w:widowControl/>
              <w:jc w:val="center"/>
              <w:textAlignment w:val="center"/>
              <w:rPr>
                <w:rFonts w:ascii="Times New Roman" w:hAnsi="Times New Roman" w:eastAsia="仿宋"/>
                <w:sz w:val="18"/>
                <w:szCs w:val="18"/>
              </w:rPr>
            </w:pPr>
            <w:r>
              <w:rPr>
                <w:rFonts w:ascii="Times New Roman" w:hAnsi="Times New Roman" w:eastAsia="仿宋"/>
                <w:sz w:val="18"/>
                <w:szCs w:val="18"/>
              </w:rPr>
              <w:t>1207.48</w:t>
            </w:r>
          </w:p>
        </w:tc>
        <w:tc>
          <w:tcPr>
            <w:tcW w:w="851" w:type="dxa"/>
            <w:tcBorders>
              <w:top w:val="single" w:color="000000" w:sz="4" w:space="0"/>
              <w:left w:val="single" w:color="000000" w:sz="4" w:space="0"/>
              <w:bottom w:val="single" w:color="000000" w:sz="4" w:space="0"/>
              <w:right w:val="single" w:color="000000" w:sz="4" w:space="0"/>
            </w:tcBorders>
            <w:shd w:val="clear" w:color="auto" w:fill="auto"/>
          </w:tcPr>
          <w:p w14:paraId="15FC5907">
            <w:pPr>
              <w:widowControl/>
              <w:jc w:val="center"/>
              <w:textAlignment w:val="center"/>
              <w:rPr>
                <w:rFonts w:ascii="Times New Roman" w:hAnsi="Times New Roman" w:eastAsia="仿宋"/>
                <w:sz w:val="18"/>
                <w:szCs w:val="18"/>
              </w:rPr>
            </w:pPr>
            <w:r>
              <w:rPr>
                <w:rFonts w:ascii="Times New Roman" w:hAnsi="Times New Roman" w:eastAsia="仿宋"/>
                <w:sz w:val="18"/>
                <w:szCs w:val="18"/>
              </w:rPr>
              <w:t>49.22</w:t>
            </w:r>
          </w:p>
        </w:tc>
        <w:tc>
          <w:tcPr>
            <w:tcW w:w="850" w:type="dxa"/>
            <w:tcBorders>
              <w:top w:val="single" w:color="000000" w:sz="4" w:space="0"/>
              <w:left w:val="single" w:color="000000" w:sz="4" w:space="0"/>
              <w:bottom w:val="single" w:color="000000" w:sz="4" w:space="0"/>
              <w:right w:val="single" w:color="000000" w:sz="4" w:space="0"/>
            </w:tcBorders>
          </w:tcPr>
          <w:p w14:paraId="3E54FD6E">
            <w:pPr>
              <w:widowControl/>
              <w:jc w:val="center"/>
              <w:textAlignment w:val="center"/>
              <w:rPr>
                <w:rFonts w:ascii="Times New Roman" w:hAnsi="Times New Roman" w:eastAsia="仿宋"/>
                <w:sz w:val="18"/>
                <w:szCs w:val="18"/>
              </w:rPr>
            </w:pPr>
            <w:r>
              <w:rPr>
                <w:rFonts w:ascii="Times New Roman" w:hAnsi="Times New Roman" w:eastAsia="仿宋"/>
                <w:sz w:val="18"/>
                <w:szCs w:val="18"/>
              </w:rPr>
              <w:t>1.82</w:t>
            </w:r>
          </w:p>
        </w:tc>
      </w:tr>
      <w:tr w14:paraId="61B863BB">
        <w:tblPrEx>
          <w:tblCellMar>
            <w:top w:w="0" w:type="dxa"/>
            <w:left w:w="108" w:type="dxa"/>
            <w:bottom w:w="0" w:type="dxa"/>
            <w:right w:w="108" w:type="dxa"/>
          </w:tblCellMar>
        </w:tblPrEx>
        <w:trPr>
          <w:trHeight w:val="243" w:hRule="atLeast"/>
          <w:jc w:val="center"/>
        </w:trPr>
        <w:tc>
          <w:tcPr>
            <w:tcW w:w="704" w:type="dxa"/>
            <w:tcBorders>
              <w:top w:val="single" w:color="000000" w:sz="4" w:space="0"/>
              <w:left w:val="single" w:color="000000" w:sz="4" w:space="0"/>
              <w:bottom w:val="single" w:color="000000" w:sz="4" w:space="0"/>
              <w:right w:val="single" w:color="auto" w:sz="4" w:space="0"/>
            </w:tcBorders>
            <w:shd w:val="clear" w:color="auto" w:fill="auto"/>
            <w:vAlign w:val="center"/>
          </w:tcPr>
          <w:p w14:paraId="6EEB7E13">
            <w:pPr>
              <w:widowControl/>
              <w:jc w:val="center"/>
              <w:textAlignment w:val="center"/>
              <w:rPr>
                <w:rFonts w:ascii="Times New Roman" w:hAnsi="Times New Roman" w:eastAsia="仿宋"/>
                <w:sz w:val="18"/>
                <w:szCs w:val="18"/>
              </w:rPr>
            </w:pPr>
            <w:r>
              <w:rPr>
                <w:rFonts w:ascii="Times New Roman" w:hAnsi="Times New Roman" w:eastAsia="仿宋"/>
                <w:sz w:val="18"/>
                <w:szCs w:val="18"/>
              </w:rPr>
              <w:t>Day3</w:t>
            </w:r>
          </w:p>
        </w:tc>
        <w:tc>
          <w:tcPr>
            <w:tcW w:w="992" w:type="dxa"/>
            <w:vMerge w:val="continue"/>
            <w:tcBorders>
              <w:top w:val="single" w:color="auto" w:sz="4" w:space="0"/>
              <w:left w:val="single" w:color="auto" w:sz="4" w:space="0"/>
              <w:bottom w:val="single" w:color="auto" w:sz="4" w:space="0"/>
              <w:right w:val="single" w:color="auto" w:sz="4" w:space="0"/>
            </w:tcBorders>
          </w:tcPr>
          <w:p w14:paraId="3C6A04A9">
            <w:pPr>
              <w:widowControl/>
              <w:jc w:val="center"/>
              <w:textAlignment w:val="center"/>
              <w:rPr>
                <w:rFonts w:ascii="Times New Roman" w:hAnsi="Times New Roman" w:eastAsia="仿宋"/>
                <w:sz w:val="18"/>
                <w:szCs w:val="18"/>
              </w:rPr>
            </w:pPr>
          </w:p>
        </w:tc>
        <w:tc>
          <w:tcPr>
            <w:tcW w:w="875" w:type="dxa"/>
            <w:tcBorders>
              <w:top w:val="single" w:color="000000" w:sz="4" w:space="0"/>
              <w:left w:val="single" w:color="auto" w:sz="4" w:space="0"/>
              <w:bottom w:val="single" w:color="000000" w:sz="4" w:space="0"/>
              <w:right w:val="single" w:color="000000" w:sz="4" w:space="0"/>
            </w:tcBorders>
            <w:shd w:val="clear" w:color="auto" w:fill="auto"/>
          </w:tcPr>
          <w:p w14:paraId="31138DCD">
            <w:pPr>
              <w:widowControl/>
              <w:jc w:val="center"/>
              <w:textAlignment w:val="center"/>
              <w:rPr>
                <w:rFonts w:ascii="Times New Roman" w:hAnsi="Times New Roman" w:eastAsia="仿宋"/>
                <w:sz w:val="18"/>
                <w:szCs w:val="18"/>
              </w:rPr>
            </w:pPr>
            <w:r>
              <w:rPr>
                <w:rFonts w:ascii="Times New Roman" w:hAnsi="Times New Roman" w:eastAsia="仿宋"/>
                <w:sz w:val="18"/>
                <w:szCs w:val="18"/>
              </w:rPr>
              <w:t>1134.67</w:t>
            </w:r>
          </w:p>
        </w:tc>
        <w:tc>
          <w:tcPr>
            <w:tcW w:w="850" w:type="dxa"/>
            <w:tcBorders>
              <w:top w:val="single" w:color="000000" w:sz="4" w:space="0"/>
              <w:left w:val="single" w:color="000000" w:sz="4" w:space="0"/>
              <w:bottom w:val="single" w:color="000000" w:sz="4" w:space="0"/>
              <w:right w:val="single" w:color="000000" w:sz="4" w:space="0"/>
            </w:tcBorders>
            <w:shd w:val="clear" w:color="auto" w:fill="auto"/>
          </w:tcPr>
          <w:p w14:paraId="48BE1D83">
            <w:pPr>
              <w:widowControl/>
              <w:jc w:val="center"/>
              <w:textAlignment w:val="center"/>
              <w:rPr>
                <w:rFonts w:ascii="Times New Roman" w:hAnsi="Times New Roman" w:eastAsia="仿宋"/>
                <w:sz w:val="18"/>
                <w:szCs w:val="18"/>
              </w:rPr>
            </w:pPr>
            <w:r>
              <w:rPr>
                <w:rFonts w:ascii="Times New Roman" w:hAnsi="Times New Roman" w:eastAsia="仿宋"/>
                <w:sz w:val="18"/>
                <w:szCs w:val="18"/>
              </w:rPr>
              <w:t>53.16</w:t>
            </w:r>
          </w:p>
        </w:tc>
        <w:tc>
          <w:tcPr>
            <w:tcW w:w="851" w:type="dxa"/>
            <w:tcBorders>
              <w:top w:val="single" w:color="000000" w:sz="4" w:space="0"/>
              <w:left w:val="single" w:color="000000" w:sz="4" w:space="0"/>
              <w:bottom w:val="single" w:color="000000" w:sz="4" w:space="0"/>
              <w:right w:val="single" w:color="000000" w:sz="4" w:space="0"/>
            </w:tcBorders>
          </w:tcPr>
          <w:p w14:paraId="2790DC71">
            <w:pPr>
              <w:widowControl/>
              <w:jc w:val="center"/>
              <w:textAlignment w:val="center"/>
              <w:rPr>
                <w:rFonts w:ascii="Times New Roman" w:hAnsi="Times New Roman" w:eastAsia="仿宋"/>
                <w:sz w:val="18"/>
                <w:szCs w:val="18"/>
              </w:rPr>
            </w:pPr>
            <w:r>
              <w:rPr>
                <w:rFonts w:ascii="Times New Roman" w:hAnsi="Times New Roman" w:eastAsia="仿宋"/>
                <w:sz w:val="18"/>
                <w:szCs w:val="18"/>
              </w:rPr>
              <w:t>4.69</w:t>
            </w:r>
          </w:p>
        </w:tc>
        <w:tc>
          <w:tcPr>
            <w:tcW w:w="836" w:type="dxa"/>
            <w:tcBorders>
              <w:top w:val="single" w:color="000000" w:sz="4" w:space="0"/>
              <w:left w:val="single" w:color="000000" w:sz="4" w:space="0"/>
              <w:bottom w:val="single" w:color="000000" w:sz="4" w:space="0"/>
              <w:right w:val="single" w:color="000000" w:sz="4" w:space="0"/>
            </w:tcBorders>
            <w:shd w:val="clear" w:color="auto" w:fill="auto"/>
          </w:tcPr>
          <w:p w14:paraId="3B684F62">
            <w:pPr>
              <w:widowControl/>
              <w:jc w:val="center"/>
              <w:textAlignment w:val="center"/>
              <w:rPr>
                <w:rFonts w:ascii="Times New Roman" w:hAnsi="Times New Roman" w:eastAsia="仿宋"/>
                <w:sz w:val="18"/>
                <w:szCs w:val="18"/>
              </w:rPr>
            </w:pPr>
            <w:r>
              <w:rPr>
                <w:rFonts w:ascii="Times New Roman" w:hAnsi="Times New Roman" w:eastAsia="仿宋"/>
                <w:sz w:val="18"/>
                <w:szCs w:val="18"/>
              </w:rPr>
              <w:t>1353.54</w:t>
            </w:r>
          </w:p>
        </w:tc>
        <w:tc>
          <w:tcPr>
            <w:tcW w:w="850" w:type="dxa"/>
            <w:tcBorders>
              <w:top w:val="single" w:color="000000" w:sz="4" w:space="0"/>
              <w:left w:val="single" w:color="000000" w:sz="4" w:space="0"/>
              <w:bottom w:val="single" w:color="000000" w:sz="4" w:space="0"/>
              <w:right w:val="single" w:color="000000" w:sz="4" w:space="0"/>
            </w:tcBorders>
            <w:shd w:val="clear" w:color="auto" w:fill="auto"/>
          </w:tcPr>
          <w:p w14:paraId="32E6FB82">
            <w:pPr>
              <w:widowControl/>
              <w:jc w:val="center"/>
              <w:textAlignment w:val="center"/>
              <w:rPr>
                <w:rFonts w:ascii="Times New Roman" w:hAnsi="Times New Roman" w:eastAsia="仿宋"/>
                <w:sz w:val="18"/>
                <w:szCs w:val="18"/>
              </w:rPr>
            </w:pPr>
            <w:r>
              <w:rPr>
                <w:rFonts w:ascii="Times New Roman" w:hAnsi="Times New Roman" w:eastAsia="仿宋"/>
                <w:sz w:val="18"/>
                <w:szCs w:val="18"/>
              </w:rPr>
              <w:t>14.70</w:t>
            </w:r>
          </w:p>
        </w:tc>
        <w:tc>
          <w:tcPr>
            <w:tcW w:w="851" w:type="dxa"/>
            <w:tcBorders>
              <w:top w:val="single" w:color="000000" w:sz="4" w:space="0"/>
              <w:left w:val="single" w:color="000000" w:sz="4" w:space="0"/>
              <w:bottom w:val="single" w:color="000000" w:sz="4" w:space="0"/>
              <w:right w:val="single" w:color="000000" w:sz="4" w:space="0"/>
            </w:tcBorders>
          </w:tcPr>
          <w:p w14:paraId="53E73CDC">
            <w:pPr>
              <w:widowControl/>
              <w:jc w:val="center"/>
              <w:textAlignment w:val="center"/>
              <w:rPr>
                <w:rFonts w:ascii="Times New Roman" w:hAnsi="Times New Roman" w:eastAsia="仿宋"/>
                <w:sz w:val="18"/>
                <w:szCs w:val="18"/>
              </w:rPr>
            </w:pPr>
            <w:r>
              <w:rPr>
                <w:rFonts w:ascii="Times New Roman" w:hAnsi="Times New Roman" w:eastAsia="仿宋"/>
                <w:sz w:val="18"/>
                <w:szCs w:val="18"/>
              </w:rPr>
              <w:t>0.89</w:t>
            </w:r>
          </w:p>
        </w:tc>
        <w:tc>
          <w:tcPr>
            <w:tcW w:w="850" w:type="dxa"/>
            <w:tcBorders>
              <w:top w:val="single" w:color="000000" w:sz="4" w:space="0"/>
              <w:left w:val="single" w:color="000000" w:sz="4" w:space="0"/>
              <w:bottom w:val="single" w:color="000000" w:sz="4" w:space="0"/>
              <w:right w:val="single" w:color="000000" w:sz="4" w:space="0"/>
            </w:tcBorders>
            <w:shd w:val="clear" w:color="auto" w:fill="auto"/>
          </w:tcPr>
          <w:p w14:paraId="0AAAA88D">
            <w:pPr>
              <w:widowControl/>
              <w:jc w:val="center"/>
              <w:textAlignment w:val="center"/>
              <w:rPr>
                <w:rFonts w:ascii="Times New Roman" w:hAnsi="Times New Roman" w:eastAsia="仿宋"/>
                <w:sz w:val="18"/>
                <w:szCs w:val="18"/>
              </w:rPr>
            </w:pPr>
            <w:r>
              <w:rPr>
                <w:rFonts w:ascii="Times New Roman" w:hAnsi="Times New Roman" w:eastAsia="仿宋"/>
                <w:sz w:val="18"/>
                <w:szCs w:val="18"/>
              </w:rPr>
              <w:t>1217.11</w:t>
            </w:r>
          </w:p>
        </w:tc>
        <w:tc>
          <w:tcPr>
            <w:tcW w:w="851" w:type="dxa"/>
            <w:tcBorders>
              <w:top w:val="single" w:color="000000" w:sz="4" w:space="0"/>
              <w:left w:val="single" w:color="000000" w:sz="4" w:space="0"/>
              <w:bottom w:val="single" w:color="000000" w:sz="4" w:space="0"/>
              <w:right w:val="single" w:color="000000" w:sz="4" w:space="0"/>
            </w:tcBorders>
            <w:shd w:val="clear" w:color="auto" w:fill="auto"/>
          </w:tcPr>
          <w:p w14:paraId="1F114741">
            <w:pPr>
              <w:widowControl/>
              <w:jc w:val="center"/>
              <w:textAlignment w:val="center"/>
              <w:rPr>
                <w:rFonts w:ascii="Times New Roman" w:hAnsi="Times New Roman" w:eastAsia="仿宋"/>
                <w:sz w:val="18"/>
                <w:szCs w:val="18"/>
              </w:rPr>
            </w:pPr>
            <w:r>
              <w:rPr>
                <w:rFonts w:ascii="Times New Roman" w:hAnsi="Times New Roman" w:eastAsia="仿宋"/>
                <w:sz w:val="18"/>
                <w:szCs w:val="18"/>
              </w:rPr>
              <w:t>14.93</w:t>
            </w:r>
          </w:p>
        </w:tc>
        <w:tc>
          <w:tcPr>
            <w:tcW w:w="850" w:type="dxa"/>
            <w:tcBorders>
              <w:top w:val="single" w:color="000000" w:sz="4" w:space="0"/>
              <w:left w:val="single" w:color="000000" w:sz="4" w:space="0"/>
              <w:bottom w:val="single" w:color="000000" w:sz="4" w:space="0"/>
              <w:right w:val="single" w:color="000000" w:sz="4" w:space="0"/>
            </w:tcBorders>
          </w:tcPr>
          <w:p w14:paraId="569C7F0D">
            <w:pPr>
              <w:widowControl/>
              <w:jc w:val="center"/>
              <w:textAlignment w:val="center"/>
              <w:rPr>
                <w:rFonts w:ascii="Times New Roman" w:hAnsi="Times New Roman" w:eastAsia="仿宋"/>
                <w:sz w:val="18"/>
                <w:szCs w:val="18"/>
              </w:rPr>
            </w:pPr>
            <w:r>
              <w:rPr>
                <w:rFonts w:ascii="Times New Roman" w:hAnsi="Times New Roman" w:eastAsia="仿宋"/>
                <w:sz w:val="18"/>
                <w:szCs w:val="18"/>
              </w:rPr>
              <w:t>0.51</w:t>
            </w:r>
          </w:p>
        </w:tc>
      </w:tr>
      <w:tr w14:paraId="49DB337F">
        <w:tblPrEx>
          <w:tblCellMar>
            <w:top w:w="0" w:type="dxa"/>
            <w:left w:w="108" w:type="dxa"/>
            <w:bottom w:w="0" w:type="dxa"/>
            <w:right w:w="108" w:type="dxa"/>
          </w:tblCellMar>
        </w:tblPrEx>
        <w:trPr>
          <w:trHeight w:val="243" w:hRule="atLeast"/>
          <w:jc w:val="center"/>
        </w:trPr>
        <w:tc>
          <w:tcPr>
            <w:tcW w:w="704" w:type="dxa"/>
            <w:tcBorders>
              <w:top w:val="single" w:color="000000" w:sz="4" w:space="0"/>
              <w:left w:val="single" w:color="000000" w:sz="4" w:space="0"/>
              <w:bottom w:val="single" w:color="000000" w:sz="4" w:space="0"/>
              <w:right w:val="single" w:color="auto" w:sz="4" w:space="0"/>
            </w:tcBorders>
            <w:shd w:val="clear" w:color="auto" w:fill="auto"/>
            <w:vAlign w:val="center"/>
          </w:tcPr>
          <w:p w14:paraId="4F1DD058">
            <w:pPr>
              <w:widowControl/>
              <w:jc w:val="center"/>
              <w:textAlignment w:val="center"/>
              <w:rPr>
                <w:rFonts w:ascii="Times New Roman" w:hAnsi="Times New Roman" w:eastAsia="仿宋"/>
                <w:sz w:val="18"/>
                <w:szCs w:val="18"/>
              </w:rPr>
            </w:pPr>
            <w:r>
              <w:rPr>
                <w:rFonts w:ascii="Times New Roman" w:hAnsi="Times New Roman" w:eastAsia="仿宋"/>
                <w:sz w:val="18"/>
                <w:szCs w:val="18"/>
              </w:rPr>
              <w:t>Day5</w:t>
            </w:r>
          </w:p>
        </w:tc>
        <w:tc>
          <w:tcPr>
            <w:tcW w:w="992" w:type="dxa"/>
            <w:vMerge w:val="continue"/>
            <w:tcBorders>
              <w:top w:val="single" w:color="auto" w:sz="4" w:space="0"/>
              <w:left w:val="single" w:color="auto" w:sz="4" w:space="0"/>
              <w:bottom w:val="single" w:color="auto" w:sz="4" w:space="0"/>
              <w:right w:val="single" w:color="auto" w:sz="4" w:space="0"/>
            </w:tcBorders>
          </w:tcPr>
          <w:p w14:paraId="0D8C267F">
            <w:pPr>
              <w:widowControl/>
              <w:jc w:val="center"/>
              <w:textAlignment w:val="center"/>
              <w:rPr>
                <w:rFonts w:ascii="Times New Roman" w:hAnsi="Times New Roman" w:eastAsia="仿宋"/>
                <w:sz w:val="18"/>
                <w:szCs w:val="18"/>
              </w:rPr>
            </w:pPr>
          </w:p>
        </w:tc>
        <w:tc>
          <w:tcPr>
            <w:tcW w:w="875" w:type="dxa"/>
            <w:tcBorders>
              <w:top w:val="single" w:color="000000" w:sz="4" w:space="0"/>
              <w:left w:val="single" w:color="auto" w:sz="4" w:space="0"/>
              <w:bottom w:val="single" w:color="auto" w:sz="4" w:space="0"/>
              <w:right w:val="single" w:color="000000" w:sz="4" w:space="0"/>
            </w:tcBorders>
            <w:shd w:val="clear" w:color="auto" w:fill="auto"/>
          </w:tcPr>
          <w:p w14:paraId="136077AB">
            <w:pPr>
              <w:widowControl/>
              <w:jc w:val="center"/>
              <w:textAlignment w:val="center"/>
              <w:rPr>
                <w:rFonts w:ascii="Times New Roman" w:hAnsi="Times New Roman" w:eastAsia="仿宋"/>
                <w:sz w:val="18"/>
                <w:szCs w:val="18"/>
              </w:rPr>
            </w:pPr>
            <w:r>
              <w:rPr>
                <w:rFonts w:ascii="Times New Roman" w:hAnsi="Times New Roman" w:eastAsia="仿宋"/>
                <w:sz w:val="18"/>
                <w:szCs w:val="18"/>
              </w:rPr>
              <w:t>1123.67</w:t>
            </w:r>
          </w:p>
        </w:tc>
        <w:tc>
          <w:tcPr>
            <w:tcW w:w="850" w:type="dxa"/>
            <w:tcBorders>
              <w:top w:val="single" w:color="000000" w:sz="4" w:space="0"/>
              <w:left w:val="single" w:color="000000" w:sz="4" w:space="0"/>
              <w:bottom w:val="single" w:color="000000" w:sz="4" w:space="0"/>
              <w:right w:val="single" w:color="000000" w:sz="4" w:space="0"/>
            </w:tcBorders>
            <w:shd w:val="clear" w:color="auto" w:fill="auto"/>
          </w:tcPr>
          <w:p w14:paraId="043A796D">
            <w:pPr>
              <w:widowControl/>
              <w:jc w:val="center"/>
              <w:textAlignment w:val="center"/>
              <w:rPr>
                <w:rFonts w:ascii="Times New Roman" w:hAnsi="Times New Roman" w:eastAsia="仿宋"/>
                <w:sz w:val="18"/>
                <w:szCs w:val="18"/>
              </w:rPr>
            </w:pPr>
            <w:r>
              <w:rPr>
                <w:rFonts w:ascii="Times New Roman" w:hAnsi="Times New Roman" w:eastAsia="仿宋"/>
                <w:sz w:val="18"/>
                <w:szCs w:val="18"/>
              </w:rPr>
              <w:t>50.50</w:t>
            </w:r>
          </w:p>
        </w:tc>
        <w:tc>
          <w:tcPr>
            <w:tcW w:w="851" w:type="dxa"/>
            <w:tcBorders>
              <w:top w:val="single" w:color="000000" w:sz="4" w:space="0"/>
              <w:left w:val="single" w:color="000000" w:sz="4" w:space="0"/>
              <w:bottom w:val="single" w:color="000000" w:sz="4" w:space="0"/>
              <w:right w:val="single" w:color="000000" w:sz="4" w:space="0"/>
            </w:tcBorders>
          </w:tcPr>
          <w:p w14:paraId="4F921C7C">
            <w:pPr>
              <w:widowControl/>
              <w:jc w:val="center"/>
              <w:textAlignment w:val="center"/>
              <w:rPr>
                <w:rFonts w:ascii="Times New Roman" w:hAnsi="Times New Roman" w:eastAsia="仿宋"/>
                <w:sz w:val="18"/>
                <w:szCs w:val="18"/>
              </w:rPr>
            </w:pPr>
            <w:r>
              <w:rPr>
                <w:rFonts w:ascii="Times New Roman" w:hAnsi="Times New Roman" w:eastAsia="仿宋"/>
                <w:sz w:val="18"/>
                <w:szCs w:val="18"/>
              </w:rPr>
              <w:t>4.49</w:t>
            </w:r>
          </w:p>
        </w:tc>
        <w:tc>
          <w:tcPr>
            <w:tcW w:w="836" w:type="dxa"/>
            <w:tcBorders>
              <w:top w:val="single" w:color="000000" w:sz="4" w:space="0"/>
              <w:left w:val="single" w:color="000000" w:sz="4" w:space="0"/>
              <w:bottom w:val="single" w:color="000000" w:sz="4" w:space="0"/>
              <w:right w:val="single" w:color="000000" w:sz="4" w:space="0"/>
            </w:tcBorders>
            <w:shd w:val="clear" w:color="auto" w:fill="auto"/>
          </w:tcPr>
          <w:p w14:paraId="3E9C0B99">
            <w:pPr>
              <w:widowControl/>
              <w:jc w:val="center"/>
              <w:textAlignment w:val="center"/>
              <w:rPr>
                <w:rFonts w:ascii="Times New Roman" w:hAnsi="Times New Roman" w:eastAsia="仿宋"/>
                <w:sz w:val="18"/>
                <w:szCs w:val="18"/>
              </w:rPr>
            </w:pPr>
            <w:r>
              <w:rPr>
                <w:rFonts w:ascii="Times New Roman" w:hAnsi="Times New Roman" w:eastAsia="仿宋"/>
                <w:sz w:val="18"/>
                <w:szCs w:val="18"/>
              </w:rPr>
              <w:t>1361.46</w:t>
            </w:r>
          </w:p>
        </w:tc>
        <w:tc>
          <w:tcPr>
            <w:tcW w:w="850" w:type="dxa"/>
            <w:tcBorders>
              <w:top w:val="single" w:color="000000" w:sz="4" w:space="0"/>
              <w:left w:val="single" w:color="000000" w:sz="4" w:space="0"/>
              <w:bottom w:val="single" w:color="000000" w:sz="4" w:space="0"/>
              <w:right w:val="single" w:color="000000" w:sz="4" w:space="0"/>
            </w:tcBorders>
            <w:shd w:val="clear" w:color="auto" w:fill="auto"/>
          </w:tcPr>
          <w:p w14:paraId="7B9A9320">
            <w:pPr>
              <w:widowControl/>
              <w:jc w:val="center"/>
              <w:textAlignment w:val="center"/>
              <w:rPr>
                <w:rFonts w:ascii="Times New Roman" w:hAnsi="Times New Roman" w:eastAsia="仿宋"/>
                <w:sz w:val="18"/>
                <w:szCs w:val="18"/>
              </w:rPr>
            </w:pPr>
            <w:r>
              <w:rPr>
                <w:rFonts w:ascii="Times New Roman" w:hAnsi="Times New Roman" w:eastAsia="仿宋"/>
                <w:sz w:val="18"/>
                <w:szCs w:val="18"/>
              </w:rPr>
              <w:t>38.17</w:t>
            </w:r>
          </w:p>
        </w:tc>
        <w:tc>
          <w:tcPr>
            <w:tcW w:w="851" w:type="dxa"/>
            <w:tcBorders>
              <w:top w:val="single" w:color="000000" w:sz="4" w:space="0"/>
              <w:left w:val="single" w:color="000000" w:sz="4" w:space="0"/>
              <w:bottom w:val="single" w:color="000000" w:sz="4" w:space="0"/>
              <w:right w:val="single" w:color="000000" w:sz="4" w:space="0"/>
            </w:tcBorders>
          </w:tcPr>
          <w:p w14:paraId="74BDC480">
            <w:pPr>
              <w:widowControl/>
              <w:jc w:val="center"/>
              <w:textAlignment w:val="center"/>
              <w:rPr>
                <w:rFonts w:ascii="Times New Roman" w:hAnsi="Times New Roman" w:eastAsia="仿宋"/>
                <w:sz w:val="18"/>
                <w:szCs w:val="18"/>
              </w:rPr>
            </w:pPr>
            <w:r>
              <w:rPr>
                <w:rFonts w:ascii="Times New Roman" w:hAnsi="Times New Roman" w:eastAsia="仿宋"/>
                <w:sz w:val="18"/>
                <w:szCs w:val="18"/>
              </w:rPr>
              <w:t>2.29</w:t>
            </w:r>
          </w:p>
        </w:tc>
        <w:tc>
          <w:tcPr>
            <w:tcW w:w="850" w:type="dxa"/>
            <w:tcBorders>
              <w:top w:val="single" w:color="000000" w:sz="4" w:space="0"/>
              <w:left w:val="single" w:color="000000" w:sz="4" w:space="0"/>
              <w:bottom w:val="single" w:color="000000" w:sz="4" w:space="0"/>
              <w:right w:val="single" w:color="000000" w:sz="4" w:space="0"/>
            </w:tcBorders>
            <w:shd w:val="clear" w:color="auto" w:fill="auto"/>
          </w:tcPr>
          <w:p w14:paraId="5CBD313E">
            <w:pPr>
              <w:widowControl/>
              <w:jc w:val="center"/>
              <w:textAlignment w:val="center"/>
              <w:rPr>
                <w:rFonts w:ascii="Times New Roman" w:hAnsi="Times New Roman" w:eastAsia="仿宋"/>
                <w:sz w:val="18"/>
                <w:szCs w:val="18"/>
              </w:rPr>
            </w:pPr>
            <w:r>
              <w:rPr>
                <w:rFonts w:ascii="Times New Roman" w:hAnsi="Times New Roman" w:eastAsia="仿宋"/>
                <w:sz w:val="18"/>
                <w:szCs w:val="18"/>
              </w:rPr>
              <w:t>1208.03</w:t>
            </w:r>
          </w:p>
        </w:tc>
        <w:tc>
          <w:tcPr>
            <w:tcW w:w="851" w:type="dxa"/>
            <w:tcBorders>
              <w:top w:val="single" w:color="000000" w:sz="4" w:space="0"/>
              <w:left w:val="single" w:color="000000" w:sz="4" w:space="0"/>
              <w:bottom w:val="single" w:color="000000" w:sz="4" w:space="0"/>
              <w:right w:val="single" w:color="000000" w:sz="4" w:space="0"/>
            </w:tcBorders>
            <w:shd w:val="clear" w:color="auto" w:fill="auto"/>
          </w:tcPr>
          <w:p w14:paraId="6AD809C7">
            <w:pPr>
              <w:widowControl/>
              <w:jc w:val="center"/>
              <w:textAlignment w:val="center"/>
              <w:rPr>
                <w:rFonts w:ascii="Times New Roman" w:hAnsi="Times New Roman" w:eastAsia="仿宋"/>
                <w:sz w:val="18"/>
                <w:szCs w:val="18"/>
              </w:rPr>
            </w:pPr>
            <w:r>
              <w:rPr>
                <w:rFonts w:ascii="Times New Roman" w:hAnsi="Times New Roman" w:eastAsia="仿宋"/>
                <w:sz w:val="18"/>
                <w:szCs w:val="18"/>
              </w:rPr>
              <w:t>28.38</w:t>
            </w:r>
          </w:p>
        </w:tc>
        <w:tc>
          <w:tcPr>
            <w:tcW w:w="850" w:type="dxa"/>
            <w:tcBorders>
              <w:top w:val="single" w:color="000000" w:sz="4" w:space="0"/>
              <w:left w:val="single" w:color="000000" w:sz="4" w:space="0"/>
              <w:bottom w:val="single" w:color="000000" w:sz="4" w:space="0"/>
              <w:right w:val="single" w:color="000000" w:sz="4" w:space="0"/>
            </w:tcBorders>
          </w:tcPr>
          <w:p w14:paraId="24558F92">
            <w:pPr>
              <w:widowControl/>
              <w:jc w:val="center"/>
              <w:textAlignment w:val="center"/>
              <w:rPr>
                <w:rFonts w:ascii="Times New Roman" w:hAnsi="Times New Roman" w:eastAsia="仿宋"/>
                <w:sz w:val="18"/>
                <w:szCs w:val="18"/>
              </w:rPr>
            </w:pPr>
            <w:r>
              <w:rPr>
                <w:rFonts w:ascii="Times New Roman" w:hAnsi="Times New Roman" w:eastAsia="仿宋"/>
                <w:sz w:val="18"/>
                <w:szCs w:val="18"/>
              </w:rPr>
              <w:t>0.97</w:t>
            </w:r>
          </w:p>
        </w:tc>
      </w:tr>
      <w:tr w14:paraId="4C3A0DE4">
        <w:tblPrEx>
          <w:tblCellMar>
            <w:top w:w="0" w:type="dxa"/>
            <w:left w:w="108" w:type="dxa"/>
            <w:bottom w:w="0" w:type="dxa"/>
            <w:right w:w="108" w:type="dxa"/>
          </w:tblCellMar>
        </w:tblPrEx>
        <w:trPr>
          <w:trHeight w:val="243" w:hRule="atLeast"/>
          <w:jc w:val="center"/>
        </w:trPr>
        <w:tc>
          <w:tcPr>
            <w:tcW w:w="704" w:type="dxa"/>
            <w:tcBorders>
              <w:top w:val="single" w:color="000000" w:sz="4" w:space="0"/>
              <w:left w:val="single" w:color="000000" w:sz="4" w:space="0"/>
              <w:bottom w:val="single" w:color="000000" w:sz="4" w:space="0"/>
              <w:right w:val="single" w:color="auto" w:sz="4" w:space="0"/>
            </w:tcBorders>
            <w:shd w:val="clear" w:color="auto" w:fill="auto"/>
            <w:vAlign w:val="center"/>
          </w:tcPr>
          <w:p w14:paraId="37EEF469">
            <w:pPr>
              <w:widowControl/>
              <w:jc w:val="center"/>
              <w:textAlignment w:val="center"/>
              <w:rPr>
                <w:rFonts w:ascii="Times New Roman" w:hAnsi="Times New Roman" w:eastAsia="仿宋"/>
                <w:sz w:val="18"/>
                <w:szCs w:val="18"/>
              </w:rPr>
            </w:pPr>
            <w:r>
              <w:rPr>
                <w:rFonts w:ascii="Times New Roman" w:hAnsi="Times New Roman" w:eastAsia="仿宋"/>
                <w:sz w:val="18"/>
                <w:szCs w:val="18"/>
              </w:rPr>
              <w:t>Day1</w:t>
            </w:r>
          </w:p>
        </w:tc>
        <w:tc>
          <w:tcPr>
            <w:tcW w:w="992" w:type="dxa"/>
            <w:vMerge w:val="restart"/>
            <w:tcBorders>
              <w:top w:val="single" w:color="auto" w:sz="4" w:space="0"/>
              <w:left w:val="single" w:color="auto" w:sz="4" w:space="0"/>
              <w:bottom w:val="single" w:color="auto" w:sz="4" w:space="0"/>
              <w:right w:val="single" w:color="auto" w:sz="4" w:space="0"/>
            </w:tcBorders>
          </w:tcPr>
          <w:p w14:paraId="6A20ED37">
            <w:pPr>
              <w:widowControl/>
              <w:jc w:val="center"/>
              <w:textAlignment w:val="center"/>
              <w:rPr>
                <w:rFonts w:ascii="Times New Roman" w:hAnsi="Times New Roman" w:eastAsia="仿宋"/>
                <w:sz w:val="18"/>
                <w:szCs w:val="18"/>
              </w:rPr>
            </w:pPr>
            <w:r>
              <w:rPr>
                <w:rFonts w:hint="eastAsia" w:ascii="Times New Roman" w:hAnsi="Times New Roman" w:eastAsia="仿宋"/>
                <w:sz w:val="18"/>
                <w:szCs w:val="18"/>
              </w:rPr>
              <w:t>月桂基羟基磺基甜菜碱</w:t>
            </w:r>
          </w:p>
        </w:tc>
        <w:tc>
          <w:tcPr>
            <w:tcW w:w="875" w:type="dxa"/>
            <w:tcBorders>
              <w:top w:val="single" w:color="000000" w:sz="4" w:space="0"/>
              <w:left w:val="single" w:color="auto" w:sz="4" w:space="0"/>
              <w:bottom w:val="single" w:color="auto" w:sz="4" w:space="0"/>
              <w:right w:val="single" w:color="000000" w:sz="4" w:space="0"/>
            </w:tcBorders>
            <w:shd w:val="clear" w:color="auto" w:fill="auto"/>
          </w:tcPr>
          <w:p w14:paraId="61BCFE62">
            <w:pPr>
              <w:widowControl/>
              <w:jc w:val="center"/>
              <w:textAlignment w:val="center"/>
              <w:rPr>
                <w:rFonts w:ascii="Times New Roman" w:hAnsi="Times New Roman" w:eastAsia="仿宋"/>
                <w:sz w:val="18"/>
                <w:szCs w:val="18"/>
              </w:rPr>
            </w:pPr>
            <w:r>
              <w:rPr>
                <w:rFonts w:ascii="Times New Roman" w:hAnsi="Times New Roman" w:eastAsia="仿宋"/>
                <w:sz w:val="18"/>
                <w:szCs w:val="18"/>
              </w:rPr>
              <w:t>487.40</w:t>
            </w:r>
          </w:p>
        </w:tc>
        <w:tc>
          <w:tcPr>
            <w:tcW w:w="850" w:type="dxa"/>
            <w:tcBorders>
              <w:top w:val="single" w:color="000000" w:sz="4" w:space="0"/>
              <w:left w:val="single" w:color="000000" w:sz="4" w:space="0"/>
              <w:bottom w:val="single" w:color="000000" w:sz="4" w:space="0"/>
              <w:right w:val="single" w:color="000000" w:sz="4" w:space="0"/>
            </w:tcBorders>
            <w:shd w:val="clear" w:color="auto" w:fill="auto"/>
          </w:tcPr>
          <w:p w14:paraId="1AF15CA2">
            <w:pPr>
              <w:widowControl/>
              <w:jc w:val="center"/>
              <w:textAlignment w:val="center"/>
              <w:rPr>
                <w:rFonts w:ascii="Times New Roman" w:hAnsi="Times New Roman" w:eastAsia="仿宋"/>
                <w:sz w:val="18"/>
                <w:szCs w:val="18"/>
              </w:rPr>
            </w:pPr>
            <w:r>
              <w:rPr>
                <w:rFonts w:ascii="Times New Roman" w:hAnsi="Times New Roman" w:eastAsia="仿宋"/>
                <w:sz w:val="18"/>
                <w:szCs w:val="18"/>
              </w:rPr>
              <w:t>21.20</w:t>
            </w:r>
          </w:p>
        </w:tc>
        <w:tc>
          <w:tcPr>
            <w:tcW w:w="851" w:type="dxa"/>
            <w:tcBorders>
              <w:top w:val="single" w:color="000000" w:sz="4" w:space="0"/>
              <w:left w:val="single" w:color="000000" w:sz="4" w:space="0"/>
              <w:bottom w:val="single" w:color="000000" w:sz="4" w:space="0"/>
              <w:right w:val="single" w:color="000000" w:sz="4" w:space="0"/>
            </w:tcBorders>
          </w:tcPr>
          <w:p w14:paraId="302AE41F">
            <w:pPr>
              <w:widowControl/>
              <w:jc w:val="center"/>
              <w:textAlignment w:val="center"/>
              <w:rPr>
                <w:rFonts w:ascii="Times New Roman" w:hAnsi="Times New Roman" w:eastAsia="仿宋"/>
                <w:sz w:val="18"/>
                <w:szCs w:val="18"/>
              </w:rPr>
            </w:pPr>
            <w:r>
              <w:rPr>
                <w:rFonts w:ascii="Times New Roman" w:hAnsi="Times New Roman" w:eastAsia="仿宋"/>
                <w:sz w:val="18"/>
                <w:szCs w:val="18"/>
              </w:rPr>
              <w:t>4.35</w:t>
            </w:r>
          </w:p>
        </w:tc>
        <w:tc>
          <w:tcPr>
            <w:tcW w:w="836" w:type="dxa"/>
            <w:tcBorders>
              <w:top w:val="single" w:color="000000" w:sz="4" w:space="0"/>
              <w:left w:val="single" w:color="000000" w:sz="4" w:space="0"/>
              <w:bottom w:val="single" w:color="000000" w:sz="4" w:space="0"/>
              <w:right w:val="single" w:color="000000" w:sz="4" w:space="0"/>
            </w:tcBorders>
            <w:shd w:val="clear" w:color="auto" w:fill="auto"/>
          </w:tcPr>
          <w:p w14:paraId="094CD958">
            <w:pPr>
              <w:widowControl/>
              <w:jc w:val="center"/>
              <w:textAlignment w:val="center"/>
              <w:rPr>
                <w:rFonts w:ascii="Times New Roman" w:hAnsi="Times New Roman" w:eastAsia="仿宋"/>
                <w:sz w:val="18"/>
                <w:szCs w:val="18"/>
              </w:rPr>
            </w:pPr>
            <w:r>
              <w:rPr>
                <w:rFonts w:ascii="Times New Roman" w:hAnsi="Times New Roman" w:eastAsia="仿宋"/>
                <w:sz w:val="18"/>
                <w:szCs w:val="18"/>
              </w:rPr>
              <w:t>581.13</w:t>
            </w:r>
          </w:p>
        </w:tc>
        <w:tc>
          <w:tcPr>
            <w:tcW w:w="850" w:type="dxa"/>
            <w:tcBorders>
              <w:top w:val="single" w:color="000000" w:sz="4" w:space="0"/>
              <w:left w:val="single" w:color="000000" w:sz="4" w:space="0"/>
              <w:bottom w:val="single" w:color="000000" w:sz="4" w:space="0"/>
              <w:right w:val="single" w:color="000000" w:sz="4" w:space="0"/>
            </w:tcBorders>
            <w:shd w:val="clear" w:color="auto" w:fill="auto"/>
          </w:tcPr>
          <w:p w14:paraId="7E88AE72">
            <w:pPr>
              <w:widowControl/>
              <w:jc w:val="center"/>
              <w:textAlignment w:val="center"/>
              <w:rPr>
                <w:rFonts w:ascii="Times New Roman" w:hAnsi="Times New Roman" w:eastAsia="仿宋"/>
                <w:sz w:val="18"/>
                <w:szCs w:val="18"/>
              </w:rPr>
            </w:pPr>
            <w:r>
              <w:rPr>
                <w:rFonts w:ascii="Times New Roman" w:hAnsi="Times New Roman" w:eastAsia="仿宋"/>
                <w:sz w:val="18"/>
                <w:szCs w:val="18"/>
              </w:rPr>
              <w:t>9.62</w:t>
            </w:r>
          </w:p>
        </w:tc>
        <w:tc>
          <w:tcPr>
            <w:tcW w:w="851" w:type="dxa"/>
            <w:tcBorders>
              <w:top w:val="single" w:color="000000" w:sz="4" w:space="0"/>
              <w:left w:val="single" w:color="000000" w:sz="4" w:space="0"/>
              <w:bottom w:val="single" w:color="000000" w:sz="4" w:space="0"/>
              <w:right w:val="single" w:color="000000" w:sz="4" w:space="0"/>
            </w:tcBorders>
          </w:tcPr>
          <w:p w14:paraId="1D66B954">
            <w:pPr>
              <w:widowControl/>
              <w:jc w:val="center"/>
              <w:textAlignment w:val="center"/>
              <w:rPr>
                <w:rFonts w:ascii="Times New Roman" w:hAnsi="Times New Roman" w:eastAsia="仿宋"/>
                <w:sz w:val="18"/>
                <w:szCs w:val="18"/>
              </w:rPr>
            </w:pPr>
            <w:r>
              <w:rPr>
                <w:rFonts w:ascii="Times New Roman" w:hAnsi="Times New Roman" w:eastAsia="仿宋"/>
                <w:sz w:val="18"/>
                <w:szCs w:val="18"/>
              </w:rPr>
              <w:t>1.35</w:t>
            </w:r>
          </w:p>
        </w:tc>
        <w:tc>
          <w:tcPr>
            <w:tcW w:w="850" w:type="dxa"/>
            <w:tcBorders>
              <w:top w:val="single" w:color="000000" w:sz="4" w:space="0"/>
              <w:left w:val="single" w:color="000000" w:sz="4" w:space="0"/>
              <w:bottom w:val="single" w:color="000000" w:sz="4" w:space="0"/>
              <w:right w:val="single" w:color="000000" w:sz="4" w:space="0"/>
            </w:tcBorders>
            <w:shd w:val="clear" w:color="auto" w:fill="auto"/>
          </w:tcPr>
          <w:p w14:paraId="05661D74">
            <w:pPr>
              <w:jc w:val="center"/>
              <w:rPr>
                <w:rFonts w:ascii="Times New Roman" w:hAnsi="Times New Roman" w:eastAsia="仿宋"/>
                <w:sz w:val="18"/>
                <w:szCs w:val="18"/>
              </w:rPr>
            </w:pPr>
            <w:r>
              <w:rPr>
                <w:rFonts w:ascii="Times New Roman" w:hAnsi="Times New Roman" w:eastAsia="仿宋"/>
                <w:sz w:val="18"/>
                <w:szCs w:val="18"/>
              </w:rPr>
              <w:t>514.46</w:t>
            </w:r>
          </w:p>
        </w:tc>
        <w:tc>
          <w:tcPr>
            <w:tcW w:w="851" w:type="dxa"/>
            <w:tcBorders>
              <w:top w:val="single" w:color="000000" w:sz="4" w:space="0"/>
              <w:left w:val="single" w:color="000000" w:sz="4" w:space="0"/>
              <w:bottom w:val="single" w:color="000000" w:sz="4" w:space="0"/>
              <w:right w:val="single" w:color="000000" w:sz="4" w:space="0"/>
            </w:tcBorders>
            <w:shd w:val="clear" w:color="auto" w:fill="auto"/>
          </w:tcPr>
          <w:p w14:paraId="6D14E609">
            <w:pPr>
              <w:jc w:val="center"/>
              <w:rPr>
                <w:rFonts w:ascii="Times New Roman" w:hAnsi="Times New Roman" w:eastAsia="仿宋"/>
                <w:sz w:val="18"/>
                <w:szCs w:val="18"/>
              </w:rPr>
            </w:pPr>
            <w:r>
              <w:rPr>
                <w:rFonts w:ascii="Times New Roman" w:hAnsi="Times New Roman" w:eastAsia="仿宋"/>
                <w:sz w:val="18"/>
                <w:szCs w:val="18"/>
              </w:rPr>
              <w:t>34.66</w:t>
            </w:r>
          </w:p>
        </w:tc>
        <w:tc>
          <w:tcPr>
            <w:tcW w:w="850" w:type="dxa"/>
            <w:tcBorders>
              <w:top w:val="single" w:color="000000" w:sz="4" w:space="0"/>
              <w:left w:val="single" w:color="000000" w:sz="4" w:space="0"/>
              <w:bottom w:val="single" w:color="000000" w:sz="4" w:space="0"/>
              <w:right w:val="single" w:color="000000" w:sz="4" w:space="0"/>
            </w:tcBorders>
          </w:tcPr>
          <w:p w14:paraId="400CABD8">
            <w:pPr>
              <w:widowControl/>
              <w:jc w:val="center"/>
              <w:textAlignment w:val="center"/>
              <w:rPr>
                <w:rFonts w:ascii="Times New Roman" w:hAnsi="Times New Roman" w:eastAsia="仿宋"/>
                <w:sz w:val="18"/>
                <w:szCs w:val="18"/>
              </w:rPr>
            </w:pPr>
            <w:r>
              <w:rPr>
                <w:rFonts w:hint="eastAsia" w:ascii="Times New Roman" w:hAnsi="Times New Roman" w:eastAsia="仿宋"/>
                <w:sz w:val="18"/>
                <w:szCs w:val="18"/>
              </w:rPr>
              <w:t>2</w:t>
            </w:r>
            <w:r>
              <w:rPr>
                <w:rFonts w:ascii="Times New Roman" w:hAnsi="Times New Roman" w:eastAsia="仿宋"/>
                <w:sz w:val="18"/>
                <w:szCs w:val="18"/>
              </w:rPr>
              <w:t>.77</w:t>
            </w:r>
          </w:p>
        </w:tc>
      </w:tr>
      <w:tr w14:paraId="1CC92810">
        <w:tblPrEx>
          <w:tblCellMar>
            <w:top w:w="0" w:type="dxa"/>
            <w:left w:w="108" w:type="dxa"/>
            <w:bottom w:w="0" w:type="dxa"/>
            <w:right w:w="108" w:type="dxa"/>
          </w:tblCellMar>
        </w:tblPrEx>
        <w:trPr>
          <w:trHeight w:val="243" w:hRule="atLeast"/>
          <w:jc w:val="center"/>
        </w:trPr>
        <w:tc>
          <w:tcPr>
            <w:tcW w:w="704" w:type="dxa"/>
            <w:tcBorders>
              <w:top w:val="single" w:color="000000" w:sz="4" w:space="0"/>
              <w:left w:val="single" w:color="000000" w:sz="4" w:space="0"/>
              <w:bottom w:val="single" w:color="000000" w:sz="4" w:space="0"/>
              <w:right w:val="single" w:color="auto" w:sz="4" w:space="0"/>
            </w:tcBorders>
            <w:shd w:val="clear" w:color="auto" w:fill="auto"/>
            <w:vAlign w:val="center"/>
          </w:tcPr>
          <w:p w14:paraId="5AC46D9B">
            <w:pPr>
              <w:widowControl/>
              <w:jc w:val="center"/>
              <w:textAlignment w:val="center"/>
              <w:rPr>
                <w:rFonts w:ascii="Times New Roman" w:hAnsi="Times New Roman" w:eastAsia="仿宋"/>
                <w:sz w:val="18"/>
                <w:szCs w:val="18"/>
              </w:rPr>
            </w:pPr>
            <w:r>
              <w:rPr>
                <w:rFonts w:ascii="Times New Roman" w:hAnsi="Times New Roman" w:eastAsia="仿宋"/>
                <w:sz w:val="18"/>
                <w:szCs w:val="18"/>
              </w:rPr>
              <w:t>Day3</w:t>
            </w:r>
          </w:p>
        </w:tc>
        <w:tc>
          <w:tcPr>
            <w:tcW w:w="992" w:type="dxa"/>
            <w:vMerge w:val="continue"/>
            <w:tcBorders>
              <w:top w:val="single" w:color="auto" w:sz="4" w:space="0"/>
              <w:left w:val="single" w:color="auto" w:sz="4" w:space="0"/>
              <w:bottom w:val="single" w:color="auto" w:sz="4" w:space="0"/>
              <w:right w:val="single" w:color="auto" w:sz="4" w:space="0"/>
            </w:tcBorders>
          </w:tcPr>
          <w:p w14:paraId="1BA92FBA">
            <w:pPr>
              <w:widowControl/>
              <w:jc w:val="center"/>
              <w:textAlignment w:val="center"/>
              <w:rPr>
                <w:rFonts w:ascii="Times New Roman" w:hAnsi="Times New Roman" w:eastAsia="仿宋"/>
                <w:sz w:val="18"/>
                <w:szCs w:val="18"/>
              </w:rPr>
            </w:pPr>
          </w:p>
        </w:tc>
        <w:tc>
          <w:tcPr>
            <w:tcW w:w="875" w:type="dxa"/>
            <w:tcBorders>
              <w:top w:val="single" w:color="000000" w:sz="4" w:space="0"/>
              <w:left w:val="single" w:color="auto" w:sz="4" w:space="0"/>
              <w:bottom w:val="single" w:color="auto" w:sz="4" w:space="0"/>
              <w:right w:val="single" w:color="000000" w:sz="4" w:space="0"/>
            </w:tcBorders>
            <w:shd w:val="clear" w:color="auto" w:fill="auto"/>
          </w:tcPr>
          <w:p w14:paraId="06553A0D">
            <w:pPr>
              <w:widowControl/>
              <w:jc w:val="center"/>
              <w:textAlignment w:val="center"/>
              <w:rPr>
                <w:rFonts w:ascii="Times New Roman" w:hAnsi="Times New Roman" w:eastAsia="仿宋"/>
                <w:sz w:val="18"/>
                <w:szCs w:val="18"/>
              </w:rPr>
            </w:pPr>
            <w:r>
              <w:rPr>
                <w:rFonts w:ascii="Times New Roman" w:hAnsi="Times New Roman" w:eastAsia="仿宋"/>
                <w:sz w:val="18"/>
                <w:szCs w:val="18"/>
              </w:rPr>
              <w:t>490.60</w:t>
            </w:r>
          </w:p>
        </w:tc>
        <w:tc>
          <w:tcPr>
            <w:tcW w:w="850" w:type="dxa"/>
            <w:tcBorders>
              <w:top w:val="single" w:color="000000" w:sz="4" w:space="0"/>
              <w:left w:val="single" w:color="000000" w:sz="4" w:space="0"/>
              <w:bottom w:val="single" w:color="000000" w:sz="4" w:space="0"/>
              <w:right w:val="single" w:color="000000" w:sz="4" w:space="0"/>
            </w:tcBorders>
            <w:shd w:val="clear" w:color="auto" w:fill="auto"/>
          </w:tcPr>
          <w:p w14:paraId="3D548BDE">
            <w:pPr>
              <w:widowControl/>
              <w:jc w:val="center"/>
              <w:textAlignment w:val="center"/>
              <w:rPr>
                <w:rFonts w:ascii="Times New Roman" w:hAnsi="Times New Roman" w:eastAsia="仿宋"/>
                <w:sz w:val="18"/>
                <w:szCs w:val="18"/>
              </w:rPr>
            </w:pPr>
            <w:r>
              <w:rPr>
                <w:rFonts w:ascii="Times New Roman" w:hAnsi="Times New Roman" w:eastAsia="仿宋"/>
                <w:sz w:val="18"/>
                <w:szCs w:val="18"/>
              </w:rPr>
              <w:t>21.05</w:t>
            </w:r>
          </w:p>
        </w:tc>
        <w:tc>
          <w:tcPr>
            <w:tcW w:w="851" w:type="dxa"/>
            <w:tcBorders>
              <w:top w:val="single" w:color="000000" w:sz="4" w:space="0"/>
              <w:left w:val="single" w:color="000000" w:sz="4" w:space="0"/>
              <w:bottom w:val="single" w:color="000000" w:sz="4" w:space="0"/>
              <w:right w:val="single" w:color="000000" w:sz="4" w:space="0"/>
            </w:tcBorders>
          </w:tcPr>
          <w:p w14:paraId="2BE0F41B">
            <w:pPr>
              <w:widowControl/>
              <w:jc w:val="center"/>
              <w:textAlignment w:val="center"/>
              <w:rPr>
                <w:rFonts w:ascii="Times New Roman" w:hAnsi="Times New Roman" w:eastAsia="仿宋"/>
                <w:sz w:val="18"/>
                <w:szCs w:val="18"/>
              </w:rPr>
            </w:pPr>
            <w:r>
              <w:rPr>
                <w:rFonts w:ascii="Times New Roman" w:hAnsi="Times New Roman" w:eastAsia="仿宋"/>
                <w:sz w:val="18"/>
                <w:szCs w:val="18"/>
              </w:rPr>
              <w:t>4.29</w:t>
            </w:r>
          </w:p>
        </w:tc>
        <w:tc>
          <w:tcPr>
            <w:tcW w:w="836" w:type="dxa"/>
            <w:tcBorders>
              <w:top w:val="single" w:color="000000" w:sz="4" w:space="0"/>
              <w:left w:val="single" w:color="000000" w:sz="4" w:space="0"/>
              <w:bottom w:val="single" w:color="000000" w:sz="4" w:space="0"/>
              <w:right w:val="single" w:color="000000" w:sz="4" w:space="0"/>
            </w:tcBorders>
            <w:shd w:val="clear" w:color="auto" w:fill="auto"/>
          </w:tcPr>
          <w:p w14:paraId="63E4D34C">
            <w:pPr>
              <w:widowControl/>
              <w:jc w:val="center"/>
              <w:textAlignment w:val="center"/>
              <w:rPr>
                <w:rFonts w:ascii="Times New Roman" w:hAnsi="Times New Roman" w:eastAsia="仿宋"/>
                <w:sz w:val="18"/>
                <w:szCs w:val="18"/>
              </w:rPr>
            </w:pPr>
            <w:r>
              <w:rPr>
                <w:rFonts w:ascii="Times New Roman" w:hAnsi="Times New Roman" w:eastAsia="仿宋"/>
                <w:sz w:val="18"/>
                <w:szCs w:val="18"/>
              </w:rPr>
              <w:t>581.32</w:t>
            </w:r>
          </w:p>
        </w:tc>
        <w:tc>
          <w:tcPr>
            <w:tcW w:w="850" w:type="dxa"/>
            <w:tcBorders>
              <w:top w:val="single" w:color="000000" w:sz="4" w:space="0"/>
              <w:left w:val="single" w:color="000000" w:sz="4" w:space="0"/>
              <w:bottom w:val="single" w:color="000000" w:sz="4" w:space="0"/>
              <w:right w:val="single" w:color="000000" w:sz="4" w:space="0"/>
            </w:tcBorders>
            <w:shd w:val="clear" w:color="auto" w:fill="auto"/>
          </w:tcPr>
          <w:p w14:paraId="6C783619">
            <w:pPr>
              <w:widowControl/>
              <w:jc w:val="center"/>
              <w:textAlignment w:val="center"/>
              <w:rPr>
                <w:rFonts w:ascii="Times New Roman" w:hAnsi="Times New Roman" w:eastAsia="仿宋"/>
                <w:sz w:val="18"/>
                <w:szCs w:val="18"/>
              </w:rPr>
            </w:pPr>
            <w:r>
              <w:rPr>
                <w:rFonts w:ascii="Times New Roman" w:hAnsi="Times New Roman" w:eastAsia="仿宋"/>
                <w:sz w:val="18"/>
                <w:szCs w:val="18"/>
              </w:rPr>
              <w:t>13.65</w:t>
            </w:r>
          </w:p>
        </w:tc>
        <w:tc>
          <w:tcPr>
            <w:tcW w:w="851" w:type="dxa"/>
            <w:tcBorders>
              <w:top w:val="single" w:color="000000" w:sz="4" w:space="0"/>
              <w:left w:val="single" w:color="000000" w:sz="4" w:space="0"/>
              <w:bottom w:val="single" w:color="000000" w:sz="4" w:space="0"/>
              <w:right w:val="single" w:color="000000" w:sz="4" w:space="0"/>
            </w:tcBorders>
          </w:tcPr>
          <w:p w14:paraId="47D7EEFE">
            <w:pPr>
              <w:widowControl/>
              <w:jc w:val="center"/>
              <w:textAlignment w:val="center"/>
              <w:rPr>
                <w:rFonts w:ascii="Times New Roman" w:hAnsi="Times New Roman" w:eastAsia="仿宋"/>
                <w:sz w:val="18"/>
                <w:szCs w:val="18"/>
              </w:rPr>
            </w:pPr>
            <w:r>
              <w:rPr>
                <w:rFonts w:ascii="Times New Roman" w:hAnsi="Times New Roman" w:eastAsia="仿宋"/>
                <w:sz w:val="18"/>
                <w:szCs w:val="18"/>
              </w:rPr>
              <w:t>1.92</w:t>
            </w:r>
          </w:p>
        </w:tc>
        <w:tc>
          <w:tcPr>
            <w:tcW w:w="850" w:type="dxa"/>
            <w:tcBorders>
              <w:top w:val="single" w:color="000000" w:sz="4" w:space="0"/>
              <w:left w:val="single" w:color="000000" w:sz="4" w:space="0"/>
              <w:bottom w:val="single" w:color="000000" w:sz="4" w:space="0"/>
              <w:right w:val="single" w:color="000000" w:sz="4" w:space="0"/>
            </w:tcBorders>
            <w:shd w:val="clear" w:color="auto" w:fill="auto"/>
          </w:tcPr>
          <w:p w14:paraId="7993A873">
            <w:pPr>
              <w:jc w:val="center"/>
              <w:rPr>
                <w:rFonts w:ascii="Times New Roman" w:hAnsi="Times New Roman" w:eastAsia="仿宋"/>
                <w:sz w:val="18"/>
                <w:szCs w:val="18"/>
              </w:rPr>
            </w:pPr>
            <w:r>
              <w:rPr>
                <w:rFonts w:ascii="Times New Roman" w:hAnsi="Times New Roman" w:eastAsia="仿宋"/>
                <w:sz w:val="18"/>
                <w:szCs w:val="18"/>
              </w:rPr>
              <w:t>503.59</w:t>
            </w:r>
          </w:p>
        </w:tc>
        <w:tc>
          <w:tcPr>
            <w:tcW w:w="851" w:type="dxa"/>
            <w:tcBorders>
              <w:top w:val="single" w:color="000000" w:sz="4" w:space="0"/>
              <w:left w:val="single" w:color="000000" w:sz="4" w:space="0"/>
              <w:bottom w:val="single" w:color="000000" w:sz="4" w:space="0"/>
              <w:right w:val="single" w:color="000000" w:sz="4" w:space="0"/>
            </w:tcBorders>
            <w:shd w:val="clear" w:color="auto" w:fill="auto"/>
          </w:tcPr>
          <w:p w14:paraId="3BFFB116">
            <w:pPr>
              <w:jc w:val="center"/>
              <w:rPr>
                <w:rFonts w:ascii="Times New Roman" w:hAnsi="Times New Roman" w:eastAsia="仿宋"/>
                <w:sz w:val="18"/>
                <w:szCs w:val="18"/>
              </w:rPr>
            </w:pPr>
            <w:r>
              <w:rPr>
                <w:rFonts w:ascii="Times New Roman" w:hAnsi="Times New Roman" w:eastAsia="仿宋"/>
                <w:sz w:val="18"/>
                <w:szCs w:val="18"/>
              </w:rPr>
              <w:t>29.91</w:t>
            </w:r>
          </w:p>
        </w:tc>
        <w:tc>
          <w:tcPr>
            <w:tcW w:w="850" w:type="dxa"/>
            <w:tcBorders>
              <w:top w:val="single" w:color="000000" w:sz="4" w:space="0"/>
              <w:left w:val="single" w:color="000000" w:sz="4" w:space="0"/>
              <w:bottom w:val="single" w:color="000000" w:sz="4" w:space="0"/>
              <w:right w:val="single" w:color="000000" w:sz="4" w:space="0"/>
            </w:tcBorders>
          </w:tcPr>
          <w:p w14:paraId="2649FC1F">
            <w:pPr>
              <w:widowControl/>
              <w:jc w:val="center"/>
              <w:textAlignment w:val="center"/>
              <w:rPr>
                <w:rFonts w:ascii="Times New Roman" w:hAnsi="Times New Roman" w:eastAsia="仿宋"/>
                <w:sz w:val="18"/>
                <w:szCs w:val="18"/>
              </w:rPr>
            </w:pPr>
            <w:r>
              <w:rPr>
                <w:rFonts w:hint="eastAsia" w:ascii="Times New Roman" w:hAnsi="Times New Roman" w:eastAsia="仿宋"/>
                <w:sz w:val="18"/>
                <w:szCs w:val="18"/>
              </w:rPr>
              <w:t>2</w:t>
            </w:r>
            <w:r>
              <w:rPr>
                <w:rFonts w:ascii="Times New Roman" w:hAnsi="Times New Roman" w:eastAsia="仿宋"/>
                <w:sz w:val="18"/>
                <w:szCs w:val="18"/>
              </w:rPr>
              <w:t>.34</w:t>
            </w:r>
          </w:p>
        </w:tc>
      </w:tr>
      <w:tr w14:paraId="779CC215">
        <w:tblPrEx>
          <w:tblCellMar>
            <w:top w:w="0" w:type="dxa"/>
            <w:left w:w="108" w:type="dxa"/>
            <w:bottom w:w="0" w:type="dxa"/>
            <w:right w:w="108" w:type="dxa"/>
          </w:tblCellMar>
        </w:tblPrEx>
        <w:trPr>
          <w:trHeight w:val="243" w:hRule="atLeast"/>
          <w:jc w:val="center"/>
        </w:trPr>
        <w:tc>
          <w:tcPr>
            <w:tcW w:w="704" w:type="dxa"/>
            <w:tcBorders>
              <w:top w:val="single" w:color="000000" w:sz="4" w:space="0"/>
              <w:left w:val="single" w:color="000000" w:sz="4" w:space="0"/>
              <w:bottom w:val="single" w:color="000000" w:sz="4" w:space="0"/>
              <w:right w:val="single" w:color="auto" w:sz="4" w:space="0"/>
            </w:tcBorders>
            <w:shd w:val="clear" w:color="auto" w:fill="auto"/>
            <w:vAlign w:val="center"/>
          </w:tcPr>
          <w:p w14:paraId="40343D0C">
            <w:pPr>
              <w:widowControl/>
              <w:jc w:val="center"/>
              <w:textAlignment w:val="center"/>
              <w:rPr>
                <w:rFonts w:ascii="Times New Roman" w:hAnsi="Times New Roman" w:eastAsia="仿宋"/>
                <w:sz w:val="18"/>
                <w:szCs w:val="18"/>
              </w:rPr>
            </w:pPr>
            <w:r>
              <w:rPr>
                <w:rFonts w:ascii="Times New Roman" w:hAnsi="Times New Roman" w:eastAsia="仿宋"/>
                <w:sz w:val="18"/>
                <w:szCs w:val="18"/>
              </w:rPr>
              <w:t>Day5</w:t>
            </w:r>
          </w:p>
        </w:tc>
        <w:tc>
          <w:tcPr>
            <w:tcW w:w="992" w:type="dxa"/>
            <w:vMerge w:val="continue"/>
            <w:tcBorders>
              <w:top w:val="single" w:color="auto" w:sz="4" w:space="0"/>
              <w:left w:val="single" w:color="auto" w:sz="4" w:space="0"/>
              <w:bottom w:val="single" w:color="auto" w:sz="4" w:space="0"/>
              <w:right w:val="single" w:color="auto" w:sz="4" w:space="0"/>
            </w:tcBorders>
          </w:tcPr>
          <w:p w14:paraId="2DD13134">
            <w:pPr>
              <w:widowControl/>
              <w:jc w:val="center"/>
              <w:textAlignment w:val="center"/>
              <w:rPr>
                <w:rFonts w:ascii="Times New Roman" w:hAnsi="Times New Roman" w:eastAsia="仿宋"/>
                <w:sz w:val="18"/>
                <w:szCs w:val="18"/>
              </w:rPr>
            </w:pPr>
          </w:p>
        </w:tc>
        <w:tc>
          <w:tcPr>
            <w:tcW w:w="875" w:type="dxa"/>
            <w:tcBorders>
              <w:top w:val="single" w:color="auto" w:sz="4" w:space="0"/>
              <w:left w:val="single" w:color="auto" w:sz="4" w:space="0"/>
              <w:bottom w:val="single" w:color="auto" w:sz="4" w:space="0"/>
              <w:right w:val="single" w:color="auto" w:sz="4" w:space="0"/>
            </w:tcBorders>
            <w:shd w:val="clear" w:color="auto" w:fill="auto"/>
          </w:tcPr>
          <w:p w14:paraId="410C5F25">
            <w:pPr>
              <w:widowControl/>
              <w:jc w:val="center"/>
              <w:textAlignment w:val="center"/>
              <w:rPr>
                <w:rFonts w:ascii="Times New Roman" w:hAnsi="Times New Roman" w:eastAsia="仿宋"/>
                <w:sz w:val="18"/>
                <w:szCs w:val="18"/>
              </w:rPr>
            </w:pPr>
            <w:r>
              <w:rPr>
                <w:rFonts w:ascii="Times New Roman" w:hAnsi="Times New Roman" w:eastAsia="仿宋"/>
                <w:sz w:val="18"/>
                <w:szCs w:val="18"/>
              </w:rPr>
              <w:t>480.73</w:t>
            </w:r>
          </w:p>
        </w:tc>
        <w:tc>
          <w:tcPr>
            <w:tcW w:w="850" w:type="dxa"/>
            <w:tcBorders>
              <w:top w:val="single" w:color="000000" w:sz="4" w:space="0"/>
              <w:left w:val="single" w:color="auto" w:sz="4" w:space="0"/>
              <w:bottom w:val="single" w:color="000000" w:sz="4" w:space="0"/>
              <w:right w:val="single" w:color="000000" w:sz="4" w:space="0"/>
            </w:tcBorders>
            <w:shd w:val="clear" w:color="auto" w:fill="auto"/>
          </w:tcPr>
          <w:p w14:paraId="6C2C66E7">
            <w:pPr>
              <w:widowControl/>
              <w:jc w:val="center"/>
              <w:textAlignment w:val="center"/>
              <w:rPr>
                <w:rFonts w:ascii="Times New Roman" w:hAnsi="Times New Roman" w:eastAsia="仿宋"/>
                <w:sz w:val="18"/>
                <w:szCs w:val="18"/>
              </w:rPr>
            </w:pPr>
            <w:r>
              <w:rPr>
                <w:rFonts w:ascii="Times New Roman" w:hAnsi="Times New Roman" w:eastAsia="仿宋"/>
                <w:sz w:val="18"/>
                <w:szCs w:val="18"/>
              </w:rPr>
              <w:t>21.07</w:t>
            </w:r>
          </w:p>
        </w:tc>
        <w:tc>
          <w:tcPr>
            <w:tcW w:w="851" w:type="dxa"/>
            <w:tcBorders>
              <w:top w:val="single" w:color="000000" w:sz="4" w:space="0"/>
              <w:left w:val="single" w:color="000000" w:sz="4" w:space="0"/>
              <w:bottom w:val="single" w:color="000000" w:sz="4" w:space="0"/>
              <w:right w:val="single" w:color="000000" w:sz="4" w:space="0"/>
            </w:tcBorders>
          </w:tcPr>
          <w:p w14:paraId="49B5F2D2">
            <w:pPr>
              <w:widowControl/>
              <w:jc w:val="center"/>
              <w:textAlignment w:val="center"/>
              <w:rPr>
                <w:rFonts w:ascii="Times New Roman" w:hAnsi="Times New Roman" w:eastAsia="仿宋"/>
                <w:sz w:val="18"/>
                <w:szCs w:val="18"/>
              </w:rPr>
            </w:pPr>
            <w:r>
              <w:rPr>
                <w:rFonts w:ascii="Times New Roman" w:hAnsi="Times New Roman" w:eastAsia="仿宋"/>
                <w:sz w:val="18"/>
                <w:szCs w:val="18"/>
              </w:rPr>
              <w:t>4.38</w:t>
            </w:r>
          </w:p>
        </w:tc>
        <w:tc>
          <w:tcPr>
            <w:tcW w:w="836" w:type="dxa"/>
            <w:tcBorders>
              <w:top w:val="single" w:color="000000" w:sz="4" w:space="0"/>
              <w:left w:val="single" w:color="000000" w:sz="4" w:space="0"/>
              <w:bottom w:val="single" w:color="000000" w:sz="4" w:space="0"/>
              <w:right w:val="single" w:color="000000" w:sz="4" w:space="0"/>
            </w:tcBorders>
            <w:shd w:val="clear" w:color="auto" w:fill="auto"/>
          </w:tcPr>
          <w:p w14:paraId="4721551B">
            <w:pPr>
              <w:widowControl/>
              <w:jc w:val="center"/>
              <w:textAlignment w:val="center"/>
              <w:rPr>
                <w:rFonts w:ascii="Times New Roman" w:hAnsi="Times New Roman" w:eastAsia="仿宋"/>
                <w:sz w:val="18"/>
                <w:szCs w:val="18"/>
              </w:rPr>
            </w:pPr>
            <w:r>
              <w:rPr>
                <w:rFonts w:ascii="Times New Roman" w:hAnsi="Times New Roman" w:eastAsia="仿宋"/>
                <w:sz w:val="18"/>
                <w:szCs w:val="18"/>
              </w:rPr>
              <w:t>529.68</w:t>
            </w:r>
          </w:p>
        </w:tc>
        <w:tc>
          <w:tcPr>
            <w:tcW w:w="850" w:type="dxa"/>
            <w:tcBorders>
              <w:top w:val="single" w:color="000000" w:sz="4" w:space="0"/>
              <w:left w:val="single" w:color="000000" w:sz="4" w:space="0"/>
              <w:bottom w:val="single" w:color="000000" w:sz="4" w:space="0"/>
              <w:right w:val="single" w:color="000000" w:sz="4" w:space="0"/>
            </w:tcBorders>
            <w:shd w:val="clear" w:color="auto" w:fill="auto"/>
          </w:tcPr>
          <w:p w14:paraId="6A240A24">
            <w:pPr>
              <w:widowControl/>
              <w:jc w:val="center"/>
              <w:textAlignment w:val="center"/>
              <w:rPr>
                <w:rFonts w:ascii="Times New Roman" w:hAnsi="Times New Roman" w:eastAsia="仿宋"/>
                <w:sz w:val="18"/>
                <w:szCs w:val="18"/>
              </w:rPr>
            </w:pPr>
            <w:r>
              <w:rPr>
                <w:rFonts w:ascii="Times New Roman" w:hAnsi="Times New Roman" w:eastAsia="仿宋"/>
                <w:sz w:val="18"/>
                <w:szCs w:val="18"/>
              </w:rPr>
              <w:t>12.11</w:t>
            </w:r>
          </w:p>
        </w:tc>
        <w:tc>
          <w:tcPr>
            <w:tcW w:w="851" w:type="dxa"/>
            <w:tcBorders>
              <w:top w:val="single" w:color="000000" w:sz="4" w:space="0"/>
              <w:left w:val="single" w:color="000000" w:sz="4" w:space="0"/>
              <w:bottom w:val="single" w:color="000000" w:sz="4" w:space="0"/>
              <w:right w:val="single" w:color="000000" w:sz="4" w:space="0"/>
            </w:tcBorders>
          </w:tcPr>
          <w:p w14:paraId="4E452744">
            <w:pPr>
              <w:widowControl/>
              <w:jc w:val="center"/>
              <w:textAlignment w:val="center"/>
              <w:rPr>
                <w:rFonts w:ascii="Times New Roman" w:hAnsi="Times New Roman" w:eastAsia="仿宋"/>
                <w:sz w:val="18"/>
                <w:szCs w:val="18"/>
              </w:rPr>
            </w:pPr>
            <w:r>
              <w:rPr>
                <w:rFonts w:ascii="Times New Roman" w:hAnsi="Times New Roman" w:eastAsia="仿宋"/>
                <w:sz w:val="18"/>
                <w:szCs w:val="18"/>
              </w:rPr>
              <w:t>1.87</w:t>
            </w:r>
          </w:p>
        </w:tc>
        <w:tc>
          <w:tcPr>
            <w:tcW w:w="850" w:type="dxa"/>
            <w:tcBorders>
              <w:top w:val="single" w:color="000000" w:sz="4" w:space="0"/>
              <w:left w:val="single" w:color="000000" w:sz="4" w:space="0"/>
              <w:bottom w:val="single" w:color="000000" w:sz="4" w:space="0"/>
              <w:right w:val="single" w:color="000000" w:sz="4" w:space="0"/>
            </w:tcBorders>
            <w:shd w:val="clear" w:color="auto" w:fill="auto"/>
          </w:tcPr>
          <w:p w14:paraId="766D627B">
            <w:pPr>
              <w:jc w:val="center"/>
              <w:rPr>
                <w:rFonts w:ascii="Times New Roman" w:hAnsi="Times New Roman" w:eastAsia="仿宋"/>
                <w:sz w:val="18"/>
                <w:szCs w:val="18"/>
              </w:rPr>
            </w:pPr>
            <w:r>
              <w:rPr>
                <w:rFonts w:ascii="Times New Roman" w:hAnsi="Times New Roman" w:eastAsia="仿宋"/>
                <w:sz w:val="18"/>
                <w:szCs w:val="18"/>
              </w:rPr>
              <w:t>505.15</w:t>
            </w:r>
          </w:p>
        </w:tc>
        <w:tc>
          <w:tcPr>
            <w:tcW w:w="851" w:type="dxa"/>
            <w:tcBorders>
              <w:top w:val="single" w:color="000000" w:sz="4" w:space="0"/>
              <w:left w:val="single" w:color="000000" w:sz="4" w:space="0"/>
              <w:bottom w:val="single" w:color="000000" w:sz="4" w:space="0"/>
              <w:right w:val="single" w:color="000000" w:sz="4" w:space="0"/>
            </w:tcBorders>
            <w:shd w:val="clear" w:color="auto" w:fill="auto"/>
          </w:tcPr>
          <w:p w14:paraId="4D9EE21F">
            <w:pPr>
              <w:jc w:val="center"/>
              <w:rPr>
                <w:rFonts w:ascii="Times New Roman" w:hAnsi="Times New Roman" w:eastAsia="仿宋"/>
                <w:sz w:val="18"/>
                <w:szCs w:val="18"/>
              </w:rPr>
            </w:pPr>
            <w:r>
              <w:rPr>
                <w:rFonts w:ascii="Times New Roman" w:hAnsi="Times New Roman" w:eastAsia="仿宋"/>
                <w:sz w:val="18"/>
                <w:szCs w:val="18"/>
              </w:rPr>
              <w:t>28.65</w:t>
            </w:r>
          </w:p>
        </w:tc>
        <w:tc>
          <w:tcPr>
            <w:tcW w:w="850" w:type="dxa"/>
            <w:tcBorders>
              <w:top w:val="single" w:color="000000" w:sz="4" w:space="0"/>
              <w:left w:val="single" w:color="000000" w:sz="4" w:space="0"/>
              <w:bottom w:val="single" w:color="000000" w:sz="4" w:space="0"/>
              <w:right w:val="single" w:color="000000" w:sz="4" w:space="0"/>
            </w:tcBorders>
          </w:tcPr>
          <w:p w14:paraId="51C88DEA">
            <w:pPr>
              <w:widowControl/>
              <w:jc w:val="center"/>
              <w:textAlignment w:val="center"/>
              <w:rPr>
                <w:rFonts w:ascii="Times New Roman" w:hAnsi="Times New Roman" w:eastAsia="仿宋"/>
                <w:sz w:val="18"/>
                <w:szCs w:val="18"/>
              </w:rPr>
            </w:pPr>
            <w:r>
              <w:rPr>
                <w:rFonts w:hint="eastAsia" w:ascii="Times New Roman" w:hAnsi="Times New Roman" w:eastAsia="仿宋"/>
                <w:sz w:val="18"/>
                <w:szCs w:val="18"/>
              </w:rPr>
              <w:t>2</w:t>
            </w:r>
            <w:r>
              <w:rPr>
                <w:rFonts w:ascii="Times New Roman" w:hAnsi="Times New Roman" w:eastAsia="仿宋"/>
                <w:sz w:val="18"/>
                <w:szCs w:val="18"/>
              </w:rPr>
              <w:t>.36</w:t>
            </w:r>
          </w:p>
        </w:tc>
      </w:tr>
    </w:tbl>
    <w:p w14:paraId="60349AE2">
      <w:pPr>
        <w:spacing w:line="360" w:lineRule="auto"/>
        <w:rPr>
          <w:rFonts w:ascii="仿宋" w:hAnsi="仿宋" w:eastAsia="仿宋" w:cs="仿宋"/>
          <w:kern w:val="0"/>
          <w:szCs w:val="21"/>
        </w:rPr>
      </w:pPr>
      <w:r>
        <w:rPr>
          <w:rFonts w:ascii="仿宋" w:hAnsi="仿宋" w:eastAsia="仿宋" w:cs="仿宋"/>
          <w:kern w:val="0"/>
          <w:szCs w:val="21"/>
        </w:rPr>
        <w:tab/>
      </w:r>
      <w:r>
        <w:rPr>
          <w:rFonts w:hint="eastAsia" w:ascii="仿宋" w:hAnsi="仿宋" w:eastAsia="仿宋" w:cs="仿宋"/>
          <w:kern w:val="0"/>
          <w:szCs w:val="21"/>
        </w:rPr>
        <w:t>依据《儿童清洁化妆品开发中眼刺激性评估方法</w:t>
      </w:r>
      <w:r>
        <w:rPr>
          <w:rFonts w:ascii="仿宋" w:hAnsi="仿宋" w:eastAsia="仿宋" w:cs="仿宋"/>
          <w:kern w:val="0"/>
          <w:szCs w:val="21"/>
        </w:rPr>
        <w:t xml:space="preserve"> 红细胞溶血测试和重组人角膜上皮模型测试》</w:t>
      </w:r>
      <w:r>
        <w:rPr>
          <w:rFonts w:hint="eastAsia" w:ascii="仿宋" w:hAnsi="仿宋" w:eastAsia="仿宋" w:cs="仿宋"/>
          <w:kern w:val="0"/>
          <w:szCs w:val="21"/>
        </w:rPr>
        <w:t>团体标准中的红细胞溶血实验方法步骤，三家测试单位</w:t>
      </w:r>
      <w:r>
        <w:rPr>
          <w:rFonts w:ascii="仿宋" w:hAnsi="仿宋" w:eastAsia="仿宋" w:cs="仿宋"/>
          <w:kern w:val="0"/>
          <w:szCs w:val="21"/>
        </w:rPr>
        <w:t>日间</w:t>
      </w:r>
      <w:r>
        <w:rPr>
          <w:rFonts w:hint="eastAsia" w:ascii="仿宋" w:hAnsi="仿宋" w:eastAsia="仿宋" w:cs="仿宋"/>
          <w:kern w:val="0"/>
          <w:szCs w:val="21"/>
        </w:rPr>
        <w:t>测试三次实验结果相当，</w:t>
      </w:r>
      <w:r>
        <w:rPr>
          <w:rFonts w:ascii="仿宋" w:hAnsi="仿宋" w:eastAsia="仿宋" w:cs="仿宋"/>
          <w:kern w:val="0"/>
          <w:szCs w:val="21"/>
        </w:rPr>
        <w:t>样品</w:t>
      </w:r>
      <w:r>
        <w:rPr>
          <w:rFonts w:hint="eastAsia" w:ascii="仿宋" w:hAnsi="仿宋" w:eastAsia="仿宋" w:cs="仿宋"/>
          <w:kern w:val="0"/>
          <w:szCs w:val="21"/>
        </w:rPr>
        <w:t>椰油酰谷氨酸</w:t>
      </w:r>
      <w:r>
        <w:rPr>
          <w:rFonts w:ascii="仿宋" w:hAnsi="仿宋" w:eastAsia="仿宋" w:cs="仿宋"/>
          <w:kern w:val="0"/>
          <w:szCs w:val="21"/>
        </w:rPr>
        <w:t>TEA盐</w:t>
      </w:r>
      <w:r>
        <w:rPr>
          <w:rFonts w:hint="eastAsia" w:ascii="仿宋" w:hAnsi="仿宋" w:eastAsia="仿宋" w:cs="仿宋"/>
          <w:kern w:val="0"/>
          <w:szCs w:val="21"/>
        </w:rPr>
        <w:t>和月桂基羟基磺基甜菜碱</w:t>
      </w:r>
      <w:r>
        <w:rPr>
          <w:rFonts w:ascii="仿宋" w:hAnsi="仿宋" w:eastAsia="仿宋" w:cs="仿宋"/>
          <w:kern w:val="0"/>
          <w:szCs w:val="21"/>
        </w:rPr>
        <w:t>测试结果在误差范围内</w:t>
      </w:r>
      <w:r>
        <w:rPr>
          <w:rFonts w:hint="eastAsia" w:ascii="仿宋" w:hAnsi="仿宋" w:eastAsia="仿宋" w:cs="仿宋"/>
          <w:kern w:val="0"/>
          <w:szCs w:val="21"/>
        </w:rPr>
        <w:t>，</w:t>
      </w:r>
      <w:r>
        <w:rPr>
          <w:rFonts w:ascii="仿宋" w:hAnsi="仿宋" w:eastAsia="仿宋" w:cs="仿宋"/>
          <w:kern w:val="0"/>
          <w:szCs w:val="21"/>
        </w:rPr>
        <w:t>稳定性良好。</w:t>
      </w:r>
    </w:p>
    <w:p w14:paraId="0D012F65">
      <w:pPr>
        <w:pStyle w:val="31"/>
        <w:tabs>
          <w:tab w:val="left" w:pos="839"/>
        </w:tabs>
        <w:spacing w:line="360" w:lineRule="auto"/>
        <w:ind w:left="420" w:firstLine="0" w:firstLineChars="0"/>
        <w:jc w:val="center"/>
        <w:rPr>
          <w:rFonts w:ascii="仿宋" w:hAnsi="仿宋" w:eastAsia="仿宋" w:cs="仿宋"/>
          <w:szCs w:val="21"/>
          <w:lang w:val="zh-CN"/>
        </w:rPr>
      </w:pPr>
      <w:r>
        <w:rPr>
          <w:rFonts w:hint="eastAsia" w:ascii="仿宋" w:hAnsi="仿宋" w:eastAsia="仿宋" w:cs="仿宋"/>
          <w:szCs w:val="21"/>
          <w:lang w:val="zh-CN"/>
        </w:rPr>
        <w:t>表</w:t>
      </w:r>
      <w:r>
        <w:rPr>
          <w:rFonts w:ascii="仿宋" w:hAnsi="仿宋" w:eastAsia="仿宋" w:cs="仿宋"/>
          <w:szCs w:val="21"/>
        </w:rPr>
        <w:t>2</w:t>
      </w:r>
      <w:r>
        <w:rPr>
          <w:rFonts w:hint="eastAsia" w:ascii="仿宋" w:hAnsi="仿宋" w:eastAsia="仿宋" w:cs="仿宋"/>
          <w:szCs w:val="21"/>
          <w:lang w:val="zh-CN"/>
        </w:rPr>
        <w:t xml:space="preserve"> 三家实验室不同批次血液稳定性检测结果汇总</w:t>
      </w:r>
    </w:p>
    <w:tbl>
      <w:tblPr>
        <w:tblStyle w:val="11"/>
        <w:tblW w:w="9370" w:type="dxa"/>
        <w:jc w:val="center"/>
        <w:tblLayout w:type="fixed"/>
        <w:tblCellMar>
          <w:top w:w="0" w:type="dxa"/>
          <w:left w:w="108" w:type="dxa"/>
          <w:bottom w:w="0" w:type="dxa"/>
          <w:right w:w="108" w:type="dxa"/>
        </w:tblCellMar>
      </w:tblPr>
      <w:tblGrid>
        <w:gridCol w:w="714"/>
        <w:gridCol w:w="992"/>
        <w:gridCol w:w="875"/>
        <w:gridCol w:w="850"/>
        <w:gridCol w:w="851"/>
        <w:gridCol w:w="836"/>
        <w:gridCol w:w="850"/>
        <w:gridCol w:w="851"/>
        <w:gridCol w:w="850"/>
        <w:gridCol w:w="851"/>
        <w:gridCol w:w="850"/>
      </w:tblGrid>
      <w:tr w14:paraId="37497D78">
        <w:tblPrEx>
          <w:tblCellMar>
            <w:top w:w="0" w:type="dxa"/>
            <w:left w:w="108" w:type="dxa"/>
            <w:bottom w:w="0" w:type="dxa"/>
            <w:right w:w="108" w:type="dxa"/>
          </w:tblCellMar>
        </w:tblPrEx>
        <w:trPr>
          <w:trHeight w:val="266" w:hRule="atLeast"/>
          <w:jc w:val="center"/>
        </w:trPr>
        <w:tc>
          <w:tcPr>
            <w:tcW w:w="170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7EC3E556">
            <w:pPr>
              <w:widowControl/>
              <w:jc w:val="center"/>
              <w:textAlignment w:val="center"/>
              <w:rPr>
                <w:rFonts w:ascii="仿宋" w:hAnsi="仿宋" w:eastAsia="仿宋" w:cs="仿宋"/>
                <w:kern w:val="0"/>
                <w:sz w:val="18"/>
                <w:szCs w:val="18"/>
                <w:lang w:bidi="ar"/>
              </w:rPr>
            </w:pPr>
            <w:r>
              <w:rPr>
                <w:rFonts w:hint="eastAsia" w:ascii="仿宋" w:hAnsi="仿宋" w:eastAsia="仿宋" w:cs="仿宋"/>
                <w:kern w:val="0"/>
                <w:sz w:val="18"/>
                <w:szCs w:val="18"/>
                <w:lang w:bidi="ar"/>
              </w:rPr>
              <w:t>测试机构</w:t>
            </w:r>
          </w:p>
        </w:tc>
        <w:tc>
          <w:tcPr>
            <w:tcW w:w="2576"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2D45CDF">
            <w:pPr>
              <w:widowControl/>
              <w:jc w:val="center"/>
              <w:textAlignment w:val="center"/>
              <w:rPr>
                <w:rFonts w:ascii="Times New Roman" w:hAnsi="Times New Roman" w:eastAsia="仿宋"/>
                <w:sz w:val="18"/>
                <w:szCs w:val="18"/>
              </w:rPr>
            </w:pPr>
            <w:r>
              <w:rPr>
                <w:rFonts w:hint="eastAsia" w:ascii="仿宋" w:hAnsi="仿宋" w:eastAsia="仿宋" w:cs="仿宋"/>
                <w:kern w:val="0"/>
                <w:sz w:val="18"/>
                <w:szCs w:val="18"/>
                <w:lang w:bidi="ar"/>
              </w:rPr>
              <w:t>实验室1</w:t>
            </w:r>
          </w:p>
        </w:tc>
        <w:tc>
          <w:tcPr>
            <w:tcW w:w="253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31A5214">
            <w:pPr>
              <w:widowControl/>
              <w:jc w:val="center"/>
              <w:textAlignment w:val="center"/>
              <w:rPr>
                <w:rFonts w:ascii="Times New Roman" w:hAnsi="Times New Roman" w:eastAsia="仿宋"/>
                <w:sz w:val="18"/>
                <w:szCs w:val="18"/>
              </w:rPr>
            </w:pPr>
            <w:r>
              <w:rPr>
                <w:rFonts w:hint="eastAsia" w:ascii="仿宋" w:hAnsi="仿宋" w:eastAsia="仿宋" w:cs="仿宋"/>
                <w:kern w:val="0"/>
                <w:sz w:val="18"/>
                <w:szCs w:val="18"/>
                <w:lang w:bidi="ar"/>
              </w:rPr>
              <w:t>实验室2</w:t>
            </w:r>
          </w:p>
        </w:tc>
        <w:tc>
          <w:tcPr>
            <w:tcW w:w="2551"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C3A73B3">
            <w:pPr>
              <w:widowControl/>
              <w:jc w:val="center"/>
              <w:textAlignment w:val="center"/>
              <w:rPr>
                <w:rFonts w:ascii="Times New Roman" w:hAnsi="Times New Roman" w:eastAsia="仿宋"/>
                <w:sz w:val="18"/>
                <w:szCs w:val="18"/>
              </w:rPr>
            </w:pPr>
            <w:r>
              <w:rPr>
                <w:rFonts w:hint="eastAsia" w:ascii="仿宋" w:hAnsi="仿宋" w:eastAsia="仿宋" w:cs="仿宋"/>
                <w:kern w:val="0"/>
                <w:sz w:val="18"/>
                <w:szCs w:val="18"/>
                <w:lang w:bidi="ar"/>
              </w:rPr>
              <w:t>实验室3</w:t>
            </w:r>
          </w:p>
        </w:tc>
      </w:tr>
      <w:tr w14:paraId="114FA3E1">
        <w:tblPrEx>
          <w:tblCellMar>
            <w:top w:w="0" w:type="dxa"/>
            <w:left w:w="108" w:type="dxa"/>
            <w:bottom w:w="0" w:type="dxa"/>
            <w:right w:w="108" w:type="dxa"/>
          </w:tblCellMar>
        </w:tblPrEx>
        <w:trPr>
          <w:trHeight w:val="266" w:hRule="atLeast"/>
          <w:jc w:val="center"/>
        </w:trPr>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F346391">
            <w:pPr>
              <w:widowControl/>
              <w:jc w:val="center"/>
              <w:textAlignment w:val="center"/>
              <w:rPr>
                <w:rFonts w:ascii="Times New Roman" w:hAnsi="Times New Roman" w:eastAsia="仿宋"/>
                <w:sz w:val="18"/>
                <w:szCs w:val="18"/>
              </w:rPr>
            </w:pPr>
            <w:r>
              <w:rPr>
                <w:rFonts w:hint="eastAsia" w:ascii="Times New Roman" w:hAnsi="Times New Roman" w:eastAsia="仿宋"/>
                <w:sz w:val="18"/>
                <w:szCs w:val="18"/>
              </w:rPr>
              <w:t>批次</w:t>
            </w:r>
          </w:p>
        </w:tc>
        <w:tc>
          <w:tcPr>
            <w:tcW w:w="992" w:type="dxa"/>
            <w:tcBorders>
              <w:top w:val="single" w:color="000000" w:sz="4" w:space="0"/>
              <w:left w:val="single" w:color="000000" w:sz="4" w:space="0"/>
              <w:bottom w:val="single" w:color="auto" w:sz="4" w:space="0"/>
              <w:right w:val="single" w:color="000000" w:sz="4" w:space="0"/>
            </w:tcBorders>
          </w:tcPr>
          <w:p w14:paraId="3281ABF3">
            <w:pPr>
              <w:widowControl/>
              <w:jc w:val="left"/>
              <w:rPr>
                <w:rFonts w:ascii="仿宋" w:hAnsi="仿宋" w:eastAsia="仿宋" w:cs="仿宋"/>
                <w:kern w:val="0"/>
                <w:sz w:val="18"/>
                <w:szCs w:val="18"/>
                <w:lang w:bidi="ar"/>
              </w:rPr>
            </w:pPr>
            <w:r>
              <w:rPr>
                <w:rFonts w:hint="eastAsia" w:ascii="仿宋" w:hAnsi="仿宋" w:eastAsia="仿宋" w:cs="仿宋"/>
                <w:kern w:val="0"/>
                <w:sz w:val="18"/>
                <w:szCs w:val="18"/>
                <w:lang w:bidi="ar"/>
              </w:rPr>
              <w:t>测试原料</w:t>
            </w:r>
          </w:p>
        </w:tc>
        <w:tc>
          <w:tcPr>
            <w:tcW w:w="875"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ACC93AD">
            <w:pPr>
              <w:widowControl/>
              <w:jc w:val="left"/>
              <w:rPr>
                <w:rFonts w:ascii="宋体" w:hAnsi="宋体" w:eastAsia="宋体" w:cs="宋体"/>
                <w:kern w:val="0"/>
                <w:sz w:val="18"/>
                <w:szCs w:val="18"/>
              </w:rPr>
            </w:pPr>
            <w:r>
              <w:rPr>
                <w:rFonts w:hint="eastAsia" w:ascii="仿宋" w:hAnsi="仿宋" w:eastAsia="仿宋" w:cs="仿宋"/>
                <w:kern w:val="0"/>
                <w:sz w:val="18"/>
                <w:szCs w:val="18"/>
                <w:lang w:bidi="ar"/>
              </w:rPr>
              <w:t>平均值</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D5946C">
            <w:pPr>
              <w:widowControl/>
              <w:jc w:val="center"/>
              <w:textAlignment w:val="center"/>
              <w:rPr>
                <w:rFonts w:ascii="Times New Roman" w:hAnsi="Times New Roman" w:eastAsia="仿宋"/>
                <w:kern w:val="0"/>
                <w:sz w:val="18"/>
                <w:szCs w:val="18"/>
                <w:lang w:bidi="ar"/>
              </w:rPr>
            </w:pPr>
            <w:r>
              <w:rPr>
                <w:rFonts w:ascii="Times New Roman" w:hAnsi="Times New Roman" w:eastAsia="仿宋"/>
                <w:kern w:val="0"/>
                <w:sz w:val="18"/>
                <w:szCs w:val="18"/>
                <w:lang w:bidi="ar"/>
              </w:rPr>
              <w:t>SD</w:t>
            </w:r>
          </w:p>
        </w:tc>
        <w:tc>
          <w:tcPr>
            <w:tcW w:w="851" w:type="dxa"/>
            <w:tcBorders>
              <w:top w:val="single" w:color="000000" w:sz="4" w:space="0"/>
              <w:left w:val="single" w:color="000000" w:sz="4" w:space="0"/>
              <w:bottom w:val="single" w:color="000000" w:sz="4" w:space="0"/>
              <w:right w:val="single" w:color="000000" w:sz="4" w:space="0"/>
            </w:tcBorders>
            <w:vAlign w:val="center"/>
          </w:tcPr>
          <w:p w14:paraId="0060887D">
            <w:pPr>
              <w:pStyle w:val="17"/>
              <w:spacing w:line="240" w:lineRule="auto"/>
              <w:ind w:firstLine="0" w:firstLineChars="0"/>
              <w:jc w:val="center"/>
              <w:rPr>
                <w:rFonts w:eastAsia="仿宋"/>
                <w:kern w:val="0"/>
                <w:sz w:val="18"/>
                <w:szCs w:val="18"/>
                <w:lang w:bidi="ar"/>
              </w:rPr>
            </w:pPr>
            <w:r>
              <w:rPr>
                <w:rFonts w:eastAsia="仿宋"/>
                <w:kern w:val="0"/>
                <w:sz w:val="18"/>
                <w:szCs w:val="18"/>
                <w:lang w:bidi="ar"/>
              </w:rPr>
              <w:t>%RSD</w:t>
            </w:r>
          </w:p>
        </w:tc>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480645">
            <w:pPr>
              <w:widowControl/>
              <w:jc w:val="center"/>
              <w:rPr>
                <w:rFonts w:ascii="宋体" w:hAnsi="宋体" w:eastAsia="宋体" w:cs="宋体"/>
                <w:kern w:val="0"/>
                <w:sz w:val="18"/>
                <w:szCs w:val="18"/>
              </w:rPr>
            </w:pPr>
            <w:r>
              <w:rPr>
                <w:rFonts w:hint="eastAsia" w:ascii="仿宋" w:hAnsi="仿宋" w:eastAsia="仿宋" w:cs="仿宋"/>
                <w:kern w:val="0"/>
                <w:sz w:val="18"/>
                <w:szCs w:val="18"/>
                <w:lang w:bidi="ar"/>
              </w:rPr>
              <w:t>平均值</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F01102">
            <w:pPr>
              <w:widowControl/>
              <w:jc w:val="center"/>
              <w:textAlignment w:val="center"/>
              <w:rPr>
                <w:rFonts w:ascii="Times New Roman" w:hAnsi="Times New Roman" w:eastAsia="仿宋"/>
                <w:kern w:val="0"/>
                <w:sz w:val="18"/>
                <w:szCs w:val="18"/>
                <w:lang w:bidi="ar"/>
              </w:rPr>
            </w:pPr>
            <w:r>
              <w:rPr>
                <w:rFonts w:ascii="Times New Roman" w:hAnsi="Times New Roman" w:eastAsia="仿宋"/>
                <w:kern w:val="0"/>
                <w:sz w:val="18"/>
                <w:szCs w:val="18"/>
                <w:lang w:bidi="ar"/>
              </w:rPr>
              <w:t>SD</w:t>
            </w:r>
          </w:p>
        </w:tc>
        <w:tc>
          <w:tcPr>
            <w:tcW w:w="851" w:type="dxa"/>
            <w:tcBorders>
              <w:top w:val="single" w:color="000000" w:sz="4" w:space="0"/>
              <w:left w:val="single" w:color="000000" w:sz="4" w:space="0"/>
              <w:bottom w:val="single" w:color="000000" w:sz="4" w:space="0"/>
              <w:right w:val="single" w:color="000000" w:sz="4" w:space="0"/>
            </w:tcBorders>
            <w:vAlign w:val="center"/>
          </w:tcPr>
          <w:p w14:paraId="5C48E777">
            <w:pPr>
              <w:pStyle w:val="17"/>
              <w:spacing w:line="240" w:lineRule="auto"/>
              <w:ind w:firstLine="0" w:firstLineChars="0"/>
              <w:jc w:val="center"/>
              <w:rPr>
                <w:rFonts w:eastAsia="仿宋"/>
                <w:kern w:val="0"/>
                <w:sz w:val="18"/>
                <w:szCs w:val="18"/>
                <w:lang w:bidi="ar"/>
              </w:rPr>
            </w:pPr>
            <w:r>
              <w:rPr>
                <w:rFonts w:eastAsia="仿宋"/>
                <w:kern w:val="0"/>
                <w:sz w:val="18"/>
                <w:szCs w:val="18"/>
                <w:lang w:bidi="ar"/>
              </w:rPr>
              <w:t>%RSD</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3D6E2CA">
            <w:pPr>
              <w:widowControl/>
              <w:jc w:val="center"/>
              <w:rPr>
                <w:rFonts w:ascii="宋体" w:hAnsi="宋体" w:eastAsia="宋体" w:cs="宋体"/>
                <w:kern w:val="0"/>
                <w:sz w:val="18"/>
                <w:szCs w:val="18"/>
              </w:rPr>
            </w:pPr>
            <w:r>
              <w:rPr>
                <w:rFonts w:hint="eastAsia" w:ascii="仿宋" w:hAnsi="仿宋" w:eastAsia="仿宋" w:cs="仿宋"/>
                <w:kern w:val="0"/>
                <w:sz w:val="18"/>
                <w:szCs w:val="18"/>
                <w:lang w:bidi="ar"/>
              </w:rPr>
              <w:t>平均值</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6CFCD5A">
            <w:pPr>
              <w:widowControl/>
              <w:jc w:val="center"/>
              <w:textAlignment w:val="center"/>
              <w:rPr>
                <w:rFonts w:ascii="Times New Roman" w:hAnsi="Times New Roman" w:eastAsia="仿宋"/>
                <w:kern w:val="0"/>
                <w:sz w:val="18"/>
                <w:szCs w:val="18"/>
                <w:lang w:bidi="ar"/>
              </w:rPr>
            </w:pPr>
            <w:r>
              <w:rPr>
                <w:rFonts w:ascii="Times New Roman" w:hAnsi="Times New Roman" w:eastAsia="仿宋"/>
                <w:kern w:val="0"/>
                <w:sz w:val="18"/>
                <w:szCs w:val="18"/>
                <w:lang w:bidi="ar"/>
              </w:rPr>
              <w:t>SD</w:t>
            </w:r>
          </w:p>
        </w:tc>
        <w:tc>
          <w:tcPr>
            <w:tcW w:w="850" w:type="dxa"/>
            <w:tcBorders>
              <w:top w:val="single" w:color="000000" w:sz="4" w:space="0"/>
              <w:left w:val="single" w:color="000000" w:sz="4" w:space="0"/>
              <w:bottom w:val="single" w:color="000000" w:sz="4" w:space="0"/>
              <w:right w:val="single" w:color="000000" w:sz="4" w:space="0"/>
            </w:tcBorders>
            <w:vAlign w:val="center"/>
          </w:tcPr>
          <w:p w14:paraId="4595147F">
            <w:pPr>
              <w:pStyle w:val="17"/>
              <w:spacing w:line="240" w:lineRule="auto"/>
              <w:ind w:firstLine="0" w:firstLineChars="0"/>
              <w:jc w:val="center"/>
              <w:rPr>
                <w:rFonts w:eastAsia="仿宋"/>
                <w:kern w:val="0"/>
                <w:sz w:val="18"/>
                <w:szCs w:val="18"/>
                <w:lang w:bidi="ar"/>
              </w:rPr>
            </w:pPr>
            <w:r>
              <w:rPr>
                <w:rFonts w:eastAsia="仿宋"/>
                <w:kern w:val="0"/>
                <w:sz w:val="18"/>
                <w:szCs w:val="18"/>
                <w:lang w:bidi="ar"/>
              </w:rPr>
              <w:t>%RSD</w:t>
            </w:r>
          </w:p>
        </w:tc>
      </w:tr>
      <w:tr w14:paraId="63B64FD9">
        <w:tblPrEx>
          <w:tblCellMar>
            <w:top w:w="0" w:type="dxa"/>
            <w:left w:w="108" w:type="dxa"/>
            <w:bottom w:w="0" w:type="dxa"/>
            <w:right w:w="108" w:type="dxa"/>
          </w:tblCellMar>
        </w:tblPrEx>
        <w:trPr>
          <w:trHeight w:val="520" w:hRule="atLeast"/>
          <w:jc w:val="center"/>
        </w:trPr>
        <w:tc>
          <w:tcPr>
            <w:tcW w:w="714" w:type="dxa"/>
            <w:tcBorders>
              <w:top w:val="single" w:color="000000" w:sz="4" w:space="0"/>
              <w:left w:val="single" w:color="000000" w:sz="4" w:space="0"/>
              <w:bottom w:val="single" w:color="000000" w:sz="4" w:space="0"/>
              <w:right w:val="single" w:color="auto" w:sz="4" w:space="0"/>
            </w:tcBorders>
            <w:shd w:val="clear" w:color="auto" w:fill="auto"/>
            <w:vAlign w:val="center"/>
          </w:tcPr>
          <w:p w14:paraId="25A0D766">
            <w:pPr>
              <w:widowControl/>
              <w:jc w:val="center"/>
              <w:textAlignment w:val="center"/>
              <w:rPr>
                <w:rFonts w:ascii="Times New Roman" w:hAnsi="Times New Roman" w:eastAsia="仿宋"/>
                <w:sz w:val="18"/>
                <w:szCs w:val="18"/>
              </w:rPr>
            </w:pPr>
            <w:r>
              <w:rPr>
                <w:rFonts w:hint="eastAsia" w:ascii="Times New Roman" w:hAnsi="Times New Roman" w:eastAsia="仿宋"/>
                <w:sz w:val="18"/>
                <w:szCs w:val="18"/>
              </w:rPr>
              <w:t>批次1</w:t>
            </w:r>
          </w:p>
        </w:tc>
        <w:tc>
          <w:tcPr>
            <w:tcW w:w="992" w:type="dxa"/>
            <w:vMerge w:val="restart"/>
            <w:tcBorders>
              <w:top w:val="single" w:color="auto" w:sz="4" w:space="0"/>
              <w:left w:val="single" w:color="auto" w:sz="4" w:space="0"/>
              <w:bottom w:val="single" w:color="auto" w:sz="4" w:space="0"/>
              <w:right w:val="single" w:color="auto" w:sz="4" w:space="0"/>
            </w:tcBorders>
          </w:tcPr>
          <w:p w14:paraId="3DFD32CF">
            <w:pPr>
              <w:widowControl/>
              <w:jc w:val="center"/>
              <w:textAlignment w:val="center"/>
              <w:rPr>
                <w:rFonts w:ascii="Times New Roman" w:hAnsi="Times New Roman" w:eastAsia="仿宋"/>
                <w:sz w:val="18"/>
                <w:szCs w:val="18"/>
              </w:rPr>
            </w:pPr>
            <w:r>
              <w:rPr>
                <w:rFonts w:hint="eastAsia" w:ascii="Times New Roman" w:hAnsi="Times New Roman" w:eastAsia="仿宋"/>
                <w:sz w:val="18"/>
                <w:szCs w:val="18"/>
              </w:rPr>
              <w:t>椰油酰谷氨酸T</w:t>
            </w:r>
            <w:r>
              <w:rPr>
                <w:rFonts w:ascii="Times New Roman" w:hAnsi="Times New Roman" w:eastAsia="仿宋"/>
                <w:sz w:val="18"/>
                <w:szCs w:val="18"/>
              </w:rPr>
              <w:t>EA</w:t>
            </w:r>
            <w:r>
              <w:rPr>
                <w:rFonts w:hint="eastAsia" w:ascii="Times New Roman" w:hAnsi="Times New Roman" w:eastAsia="仿宋"/>
                <w:sz w:val="18"/>
                <w:szCs w:val="18"/>
              </w:rPr>
              <w:t>盐</w:t>
            </w:r>
          </w:p>
        </w:tc>
        <w:tc>
          <w:tcPr>
            <w:tcW w:w="875" w:type="dxa"/>
            <w:tcBorders>
              <w:top w:val="single" w:color="000000" w:sz="4" w:space="0"/>
              <w:left w:val="single" w:color="auto" w:sz="4" w:space="0"/>
              <w:bottom w:val="single" w:color="000000" w:sz="4" w:space="0"/>
              <w:right w:val="single" w:color="000000" w:sz="4" w:space="0"/>
            </w:tcBorders>
            <w:shd w:val="clear" w:color="auto" w:fill="auto"/>
            <w:vAlign w:val="center"/>
          </w:tcPr>
          <w:p w14:paraId="20DA7618">
            <w:pPr>
              <w:jc w:val="center"/>
              <w:rPr>
                <w:rFonts w:ascii="Times New Roman" w:hAnsi="Times New Roman" w:eastAsia="仿宋"/>
                <w:sz w:val="18"/>
                <w:szCs w:val="18"/>
              </w:rPr>
            </w:pPr>
            <w:r>
              <w:rPr>
                <w:rFonts w:ascii="Times New Roman" w:hAnsi="Times New Roman" w:eastAsia="仿宋"/>
                <w:sz w:val="18"/>
                <w:szCs w:val="18"/>
              </w:rPr>
              <w:t>1126.00</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89063C7">
            <w:pPr>
              <w:jc w:val="center"/>
              <w:rPr>
                <w:rFonts w:ascii="Times New Roman" w:hAnsi="Times New Roman" w:eastAsia="仿宋"/>
                <w:sz w:val="18"/>
                <w:szCs w:val="18"/>
              </w:rPr>
            </w:pPr>
            <w:r>
              <w:rPr>
                <w:rFonts w:ascii="Times New Roman" w:hAnsi="Times New Roman" w:eastAsia="仿宋"/>
                <w:sz w:val="18"/>
                <w:szCs w:val="18"/>
              </w:rPr>
              <w:t>50.71</w:t>
            </w:r>
          </w:p>
        </w:tc>
        <w:tc>
          <w:tcPr>
            <w:tcW w:w="851" w:type="dxa"/>
            <w:tcBorders>
              <w:top w:val="single" w:color="000000" w:sz="4" w:space="0"/>
              <w:left w:val="single" w:color="000000" w:sz="4" w:space="0"/>
              <w:bottom w:val="single" w:color="000000" w:sz="4" w:space="0"/>
              <w:right w:val="single" w:color="000000" w:sz="4" w:space="0"/>
            </w:tcBorders>
            <w:vAlign w:val="center"/>
          </w:tcPr>
          <w:p w14:paraId="755A168E">
            <w:pPr>
              <w:jc w:val="center"/>
              <w:rPr>
                <w:rFonts w:ascii="Times New Roman" w:hAnsi="Times New Roman" w:eastAsia="仿宋"/>
                <w:sz w:val="18"/>
                <w:szCs w:val="18"/>
              </w:rPr>
            </w:pPr>
            <w:r>
              <w:rPr>
                <w:rFonts w:ascii="Times New Roman" w:hAnsi="Times New Roman" w:eastAsia="仿宋"/>
                <w:sz w:val="18"/>
                <w:szCs w:val="18"/>
              </w:rPr>
              <w:t>4.50</w:t>
            </w:r>
          </w:p>
        </w:tc>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83C111">
            <w:pPr>
              <w:jc w:val="center"/>
              <w:rPr>
                <w:rFonts w:ascii="Times New Roman" w:hAnsi="Times New Roman" w:eastAsia="仿宋"/>
                <w:sz w:val="18"/>
                <w:szCs w:val="18"/>
              </w:rPr>
            </w:pPr>
            <w:r>
              <w:rPr>
                <w:rFonts w:ascii="Times New Roman" w:hAnsi="Times New Roman" w:eastAsia="仿宋"/>
                <w:sz w:val="18"/>
                <w:szCs w:val="18"/>
              </w:rPr>
              <w:t>1251.54</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46A387">
            <w:pPr>
              <w:jc w:val="center"/>
              <w:rPr>
                <w:rFonts w:ascii="Times New Roman" w:hAnsi="Times New Roman" w:eastAsia="仿宋"/>
                <w:sz w:val="18"/>
                <w:szCs w:val="18"/>
              </w:rPr>
            </w:pPr>
            <w:r>
              <w:rPr>
                <w:rFonts w:ascii="Times New Roman" w:hAnsi="Times New Roman" w:eastAsia="仿宋"/>
                <w:sz w:val="18"/>
                <w:szCs w:val="18"/>
              </w:rPr>
              <w:t>23.97</w:t>
            </w:r>
          </w:p>
        </w:tc>
        <w:tc>
          <w:tcPr>
            <w:tcW w:w="851" w:type="dxa"/>
            <w:tcBorders>
              <w:top w:val="single" w:color="000000" w:sz="4" w:space="0"/>
              <w:left w:val="single" w:color="000000" w:sz="4" w:space="0"/>
              <w:bottom w:val="single" w:color="000000" w:sz="4" w:space="0"/>
              <w:right w:val="single" w:color="000000" w:sz="4" w:space="0"/>
            </w:tcBorders>
            <w:vAlign w:val="center"/>
          </w:tcPr>
          <w:p w14:paraId="5502BB2E">
            <w:pPr>
              <w:widowControl/>
              <w:jc w:val="center"/>
              <w:textAlignment w:val="center"/>
              <w:rPr>
                <w:rFonts w:ascii="Times New Roman" w:hAnsi="Times New Roman" w:eastAsia="仿宋"/>
                <w:sz w:val="18"/>
                <w:szCs w:val="18"/>
              </w:rPr>
            </w:pPr>
            <w:r>
              <w:rPr>
                <w:rFonts w:ascii="Times New Roman" w:hAnsi="Times New Roman" w:eastAsia="仿宋"/>
                <w:sz w:val="18"/>
                <w:szCs w:val="18"/>
              </w:rPr>
              <w:t>1.56</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F7D2CFB">
            <w:pPr>
              <w:jc w:val="center"/>
              <w:rPr>
                <w:rFonts w:ascii="Times New Roman" w:hAnsi="Times New Roman" w:eastAsia="仿宋"/>
                <w:sz w:val="18"/>
                <w:szCs w:val="18"/>
              </w:rPr>
            </w:pPr>
            <w:r>
              <w:rPr>
                <w:rFonts w:ascii="Times New Roman" w:hAnsi="Times New Roman" w:eastAsia="仿宋"/>
                <w:sz w:val="18"/>
                <w:szCs w:val="18"/>
              </w:rPr>
              <w:t>1205.82</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54A4A88">
            <w:pPr>
              <w:jc w:val="center"/>
              <w:rPr>
                <w:rFonts w:ascii="Times New Roman" w:hAnsi="Times New Roman" w:eastAsia="仿宋"/>
                <w:sz w:val="18"/>
                <w:szCs w:val="18"/>
              </w:rPr>
            </w:pPr>
            <w:r>
              <w:rPr>
                <w:rFonts w:ascii="Times New Roman" w:hAnsi="Times New Roman" w:eastAsia="仿宋"/>
                <w:sz w:val="18"/>
                <w:szCs w:val="18"/>
              </w:rPr>
              <w:t>26.22</w:t>
            </w:r>
          </w:p>
        </w:tc>
        <w:tc>
          <w:tcPr>
            <w:tcW w:w="850" w:type="dxa"/>
            <w:tcBorders>
              <w:top w:val="single" w:color="000000" w:sz="4" w:space="0"/>
              <w:left w:val="single" w:color="000000" w:sz="4" w:space="0"/>
              <w:bottom w:val="single" w:color="000000" w:sz="4" w:space="0"/>
              <w:right w:val="single" w:color="000000" w:sz="4" w:space="0"/>
            </w:tcBorders>
            <w:vAlign w:val="center"/>
          </w:tcPr>
          <w:p w14:paraId="1C23A4D2">
            <w:pPr>
              <w:widowControl/>
              <w:jc w:val="center"/>
              <w:textAlignment w:val="center"/>
              <w:rPr>
                <w:rFonts w:ascii="Times New Roman" w:hAnsi="Times New Roman" w:eastAsia="仿宋"/>
                <w:sz w:val="18"/>
                <w:szCs w:val="18"/>
              </w:rPr>
            </w:pPr>
            <w:r>
              <w:rPr>
                <w:rFonts w:ascii="Times New Roman" w:hAnsi="Times New Roman" w:eastAsia="仿宋"/>
                <w:sz w:val="18"/>
                <w:szCs w:val="18"/>
              </w:rPr>
              <w:t>0.89</w:t>
            </w:r>
          </w:p>
        </w:tc>
      </w:tr>
      <w:tr w14:paraId="424CC5BF">
        <w:tblPrEx>
          <w:tblCellMar>
            <w:top w:w="0" w:type="dxa"/>
            <w:left w:w="108" w:type="dxa"/>
            <w:bottom w:w="0" w:type="dxa"/>
            <w:right w:w="108" w:type="dxa"/>
          </w:tblCellMar>
        </w:tblPrEx>
        <w:trPr>
          <w:trHeight w:val="243" w:hRule="atLeast"/>
          <w:jc w:val="center"/>
        </w:trPr>
        <w:tc>
          <w:tcPr>
            <w:tcW w:w="714" w:type="dxa"/>
            <w:tcBorders>
              <w:top w:val="single" w:color="000000" w:sz="4" w:space="0"/>
              <w:left w:val="single" w:color="000000" w:sz="4" w:space="0"/>
              <w:bottom w:val="single" w:color="000000" w:sz="4" w:space="0"/>
              <w:right w:val="single" w:color="auto" w:sz="4" w:space="0"/>
            </w:tcBorders>
            <w:shd w:val="clear" w:color="auto" w:fill="auto"/>
            <w:vAlign w:val="center"/>
          </w:tcPr>
          <w:p w14:paraId="2886452A">
            <w:pPr>
              <w:widowControl/>
              <w:jc w:val="center"/>
              <w:textAlignment w:val="center"/>
              <w:rPr>
                <w:rFonts w:ascii="Times New Roman" w:hAnsi="Times New Roman" w:eastAsia="仿宋"/>
                <w:sz w:val="18"/>
                <w:szCs w:val="18"/>
              </w:rPr>
            </w:pPr>
            <w:r>
              <w:rPr>
                <w:rFonts w:hint="eastAsia" w:ascii="Times New Roman" w:hAnsi="Times New Roman" w:eastAsia="仿宋"/>
                <w:sz w:val="18"/>
                <w:szCs w:val="18"/>
              </w:rPr>
              <w:t>批次</w:t>
            </w:r>
            <w:r>
              <w:rPr>
                <w:rFonts w:ascii="Times New Roman" w:hAnsi="Times New Roman" w:eastAsia="仿宋"/>
                <w:sz w:val="18"/>
                <w:szCs w:val="18"/>
              </w:rPr>
              <w:t>2</w:t>
            </w:r>
          </w:p>
        </w:tc>
        <w:tc>
          <w:tcPr>
            <w:tcW w:w="992" w:type="dxa"/>
            <w:vMerge w:val="continue"/>
            <w:tcBorders>
              <w:top w:val="single" w:color="auto" w:sz="4" w:space="0"/>
              <w:left w:val="single" w:color="auto" w:sz="4" w:space="0"/>
              <w:bottom w:val="single" w:color="auto" w:sz="4" w:space="0"/>
              <w:right w:val="single" w:color="auto" w:sz="4" w:space="0"/>
            </w:tcBorders>
          </w:tcPr>
          <w:p w14:paraId="253E872C">
            <w:pPr>
              <w:widowControl/>
              <w:jc w:val="center"/>
              <w:textAlignment w:val="center"/>
              <w:rPr>
                <w:rFonts w:ascii="Times New Roman" w:hAnsi="Times New Roman" w:eastAsia="仿宋"/>
                <w:sz w:val="18"/>
                <w:szCs w:val="18"/>
              </w:rPr>
            </w:pPr>
          </w:p>
        </w:tc>
        <w:tc>
          <w:tcPr>
            <w:tcW w:w="875" w:type="dxa"/>
            <w:tcBorders>
              <w:top w:val="single" w:color="000000" w:sz="4" w:space="0"/>
              <w:left w:val="single" w:color="auto" w:sz="4" w:space="0"/>
              <w:bottom w:val="single" w:color="000000" w:sz="4" w:space="0"/>
              <w:right w:val="single" w:color="000000" w:sz="4" w:space="0"/>
            </w:tcBorders>
            <w:shd w:val="clear" w:color="auto" w:fill="auto"/>
            <w:vAlign w:val="center"/>
          </w:tcPr>
          <w:p w14:paraId="64E1B2BA">
            <w:pPr>
              <w:jc w:val="center"/>
              <w:rPr>
                <w:rFonts w:ascii="Times New Roman" w:hAnsi="Times New Roman" w:eastAsia="仿宋"/>
                <w:sz w:val="18"/>
                <w:szCs w:val="18"/>
              </w:rPr>
            </w:pPr>
            <w:r>
              <w:rPr>
                <w:rFonts w:ascii="Times New Roman" w:hAnsi="Times New Roman" w:eastAsia="仿宋"/>
                <w:sz w:val="18"/>
                <w:szCs w:val="18"/>
              </w:rPr>
              <w:t>1124.67</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86E1E40">
            <w:pPr>
              <w:jc w:val="center"/>
              <w:rPr>
                <w:rFonts w:ascii="Times New Roman" w:hAnsi="Times New Roman" w:eastAsia="仿宋"/>
                <w:sz w:val="18"/>
                <w:szCs w:val="18"/>
              </w:rPr>
            </w:pPr>
            <w:r>
              <w:rPr>
                <w:rFonts w:ascii="Times New Roman" w:hAnsi="Times New Roman" w:eastAsia="仿宋"/>
                <w:sz w:val="18"/>
                <w:szCs w:val="18"/>
              </w:rPr>
              <w:t>50.50</w:t>
            </w:r>
          </w:p>
        </w:tc>
        <w:tc>
          <w:tcPr>
            <w:tcW w:w="851" w:type="dxa"/>
            <w:tcBorders>
              <w:top w:val="single" w:color="000000" w:sz="4" w:space="0"/>
              <w:left w:val="single" w:color="000000" w:sz="4" w:space="0"/>
              <w:bottom w:val="single" w:color="000000" w:sz="4" w:space="0"/>
              <w:right w:val="single" w:color="000000" w:sz="4" w:space="0"/>
            </w:tcBorders>
            <w:vAlign w:val="center"/>
          </w:tcPr>
          <w:p w14:paraId="53DE2FD7">
            <w:pPr>
              <w:jc w:val="center"/>
              <w:rPr>
                <w:rFonts w:ascii="Times New Roman" w:hAnsi="Times New Roman" w:eastAsia="仿宋"/>
                <w:sz w:val="18"/>
                <w:szCs w:val="18"/>
              </w:rPr>
            </w:pPr>
            <w:r>
              <w:rPr>
                <w:rFonts w:ascii="Times New Roman" w:hAnsi="Times New Roman" w:eastAsia="仿宋"/>
                <w:sz w:val="18"/>
                <w:szCs w:val="18"/>
              </w:rPr>
              <w:t>4.49</w:t>
            </w:r>
          </w:p>
        </w:tc>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9D76D96">
            <w:pPr>
              <w:jc w:val="center"/>
              <w:rPr>
                <w:rFonts w:ascii="Times New Roman" w:hAnsi="Times New Roman" w:eastAsia="仿宋"/>
                <w:sz w:val="18"/>
                <w:szCs w:val="18"/>
              </w:rPr>
            </w:pPr>
            <w:r>
              <w:rPr>
                <w:rFonts w:ascii="Times New Roman" w:hAnsi="Times New Roman" w:eastAsia="仿宋"/>
                <w:sz w:val="18"/>
                <w:szCs w:val="18"/>
              </w:rPr>
              <w:t>1361.46</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E9BEAAF">
            <w:pPr>
              <w:jc w:val="center"/>
              <w:rPr>
                <w:rFonts w:ascii="Times New Roman" w:hAnsi="Times New Roman" w:eastAsia="仿宋"/>
                <w:sz w:val="18"/>
                <w:szCs w:val="18"/>
              </w:rPr>
            </w:pPr>
            <w:r>
              <w:rPr>
                <w:rFonts w:ascii="Times New Roman" w:hAnsi="Times New Roman" w:eastAsia="仿宋"/>
                <w:sz w:val="18"/>
                <w:szCs w:val="18"/>
              </w:rPr>
              <w:t>38.17</w:t>
            </w:r>
          </w:p>
        </w:tc>
        <w:tc>
          <w:tcPr>
            <w:tcW w:w="851" w:type="dxa"/>
            <w:tcBorders>
              <w:top w:val="single" w:color="000000" w:sz="4" w:space="0"/>
              <w:left w:val="single" w:color="000000" w:sz="4" w:space="0"/>
              <w:bottom w:val="single" w:color="000000" w:sz="4" w:space="0"/>
              <w:right w:val="single" w:color="000000" w:sz="4" w:space="0"/>
            </w:tcBorders>
            <w:vAlign w:val="center"/>
          </w:tcPr>
          <w:p w14:paraId="268D8DEF">
            <w:pPr>
              <w:widowControl/>
              <w:jc w:val="center"/>
              <w:textAlignment w:val="center"/>
              <w:rPr>
                <w:rFonts w:ascii="Times New Roman" w:hAnsi="Times New Roman" w:eastAsia="仿宋"/>
                <w:sz w:val="18"/>
                <w:szCs w:val="18"/>
              </w:rPr>
            </w:pPr>
            <w:r>
              <w:rPr>
                <w:rFonts w:ascii="Times New Roman" w:hAnsi="Times New Roman" w:eastAsia="仿宋"/>
                <w:sz w:val="18"/>
                <w:szCs w:val="18"/>
              </w:rPr>
              <w:t>2.29</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232C977">
            <w:pPr>
              <w:jc w:val="center"/>
              <w:rPr>
                <w:rFonts w:ascii="Times New Roman" w:hAnsi="Times New Roman" w:eastAsia="仿宋"/>
                <w:sz w:val="18"/>
                <w:szCs w:val="18"/>
              </w:rPr>
            </w:pPr>
            <w:r>
              <w:rPr>
                <w:rFonts w:ascii="Times New Roman" w:hAnsi="Times New Roman" w:eastAsia="仿宋"/>
                <w:sz w:val="18"/>
                <w:szCs w:val="18"/>
              </w:rPr>
              <w:t>1221.77</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8EB1C2">
            <w:pPr>
              <w:jc w:val="center"/>
              <w:rPr>
                <w:rFonts w:ascii="Times New Roman" w:hAnsi="Times New Roman" w:eastAsia="仿宋"/>
                <w:sz w:val="18"/>
                <w:szCs w:val="18"/>
              </w:rPr>
            </w:pPr>
            <w:r>
              <w:rPr>
                <w:rFonts w:ascii="Times New Roman" w:hAnsi="Times New Roman" w:eastAsia="仿宋"/>
                <w:sz w:val="18"/>
                <w:szCs w:val="18"/>
              </w:rPr>
              <w:t>39.93</w:t>
            </w:r>
          </w:p>
        </w:tc>
        <w:tc>
          <w:tcPr>
            <w:tcW w:w="850" w:type="dxa"/>
            <w:tcBorders>
              <w:top w:val="single" w:color="000000" w:sz="4" w:space="0"/>
              <w:left w:val="single" w:color="000000" w:sz="4" w:space="0"/>
              <w:bottom w:val="single" w:color="000000" w:sz="4" w:space="0"/>
              <w:right w:val="single" w:color="000000" w:sz="4" w:space="0"/>
            </w:tcBorders>
            <w:vAlign w:val="center"/>
          </w:tcPr>
          <w:p w14:paraId="0D96BBBB">
            <w:pPr>
              <w:widowControl/>
              <w:jc w:val="center"/>
              <w:textAlignment w:val="center"/>
              <w:rPr>
                <w:rFonts w:ascii="Times New Roman" w:hAnsi="Times New Roman" w:eastAsia="仿宋"/>
                <w:sz w:val="18"/>
                <w:szCs w:val="18"/>
              </w:rPr>
            </w:pPr>
            <w:r>
              <w:rPr>
                <w:rFonts w:ascii="Times New Roman" w:hAnsi="Times New Roman" w:eastAsia="仿宋"/>
                <w:sz w:val="18"/>
                <w:szCs w:val="18"/>
              </w:rPr>
              <w:t>1.40</w:t>
            </w:r>
          </w:p>
        </w:tc>
      </w:tr>
      <w:tr w14:paraId="2A8DEACE">
        <w:tblPrEx>
          <w:tblCellMar>
            <w:top w:w="0" w:type="dxa"/>
            <w:left w:w="108" w:type="dxa"/>
            <w:bottom w:w="0" w:type="dxa"/>
            <w:right w:w="108" w:type="dxa"/>
          </w:tblCellMar>
        </w:tblPrEx>
        <w:trPr>
          <w:trHeight w:val="419" w:hRule="atLeast"/>
          <w:jc w:val="center"/>
        </w:trPr>
        <w:tc>
          <w:tcPr>
            <w:tcW w:w="714" w:type="dxa"/>
            <w:tcBorders>
              <w:top w:val="single" w:color="000000" w:sz="4" w:space="0"/>
              <w:left w:val="single" w:color="000000" w:sz="4" w:space="0"/>
              <w:bottom w:val="single" w:color="000000" w:sz="4" w:space="0"/>
              <w:right w:val="single" w:color="auto" w:sz="4" w:space="0"/>
            </w:tcBorders>
            <w:shd w:val="clear" w:color="auto" w:fill="auto"/>
            <w:vAlign w:val="center"/>
          </w:tcPr>
          <w:p w14:paraId="3FDAA08B">
            <w:pPr>
              <w:widowControl/>
              <w:jc w:val="center"/>
              <w:textAlignment w:val="center"/>
              <w:rPr>
                <w:rFonts w:ascii="Times New Roman" w:hAnsi="Times New Roman" w:eastAsia="仿宋"/>
                <w:sz w:val="18"/>
                <w:szCs w:val="18"/>
              </w:rPr>
            </w:pPr>
            <w:r>
              <w:rPr>
                <w:rFonts w:hint="eastAsia" w:ascii="Times New Roman" w:hAnsi="Times New Roman" w:eastAsia="仿宋"/>
                <w:sz w:val="18"/>
                <w:szCs w:val="18"/>
              </w:rPr>
              <w:t>批次1</w:t>
            </w:r>
          </w:p>
        </w:tc>
        <w:tc>
          <w:tcPr>
            <w:tcW w:w="992" w:type="dxa"/>
            <w:vMerge w:val="restart"/>
            <w:tcBorders>
              <w:top w:val="single" w:color="auto" w:sz="4" w:space="0"/>
              <w:left w:val="single" w:color="auto" w:sz="4" w:space="0"/>
              <w:bottom w:val="single" w:color="auto" w:sz="4" w:space="0"/>
              <w:right w:val="single" w:color="auto" w:sz="4" w:space="0"/>
            </w:tcBorders>
          </w:tcPr>
          <w:p w14:paraId="4B7D9A74">
            <w:pPr>
              <w:widowControl/>
              <w:jc w:val="center"/>
              <w:textAlignment w:val="center"/>
              <w:rPr>
                <w:rFonts w:ascii="Times New Roman" w:hAnsi="Times New Roman" w:eastAsia="仿宋"/>
                <w:sz w:val="18"/>
                <w:szCs w:val="18"/>
              </w:rPr>
            </w:pPr>
            <w:r>
              <w:rPr>
                <w:rFonts w:hint="eastAsia" w:ascii="Times New Roman" w:hAnsi="Times New Roman" w:eastAsia="仿宋"/>
                <w:sz w:val="18"/>
                <w:szCs w:val="18"/>
              </w:rPr>
              <w:t>月桂基羟基磺基甜菜碱</w:t>
            </w:r>
          </w:p>
        </w:tc>
        <w:tc>
          <w:tcPr>
            <w:tcW w:w="875" w:type="dxa"/>
            <w:tcBorders>
              <w:top w:val="single" w:color="000000" w:sz="4" w:space="0"/>
              <w:left w:val="single" w:color="auto" w:sz="4" w:space="0"/>
              <w:bottom w:val="single" w:color="auto" w:sz="4" w:space="0"/>
              <w:right w:val="single" w:color="000000" w:sz="4" w:space="0"/>
            </w:tcBorders>
            <w:shd w:val="clear" w:color="auto" w:fill="auto"/>
            <w:vAlign w:val="center"/>
          </w:tcPr>
          <w:p w14:paraId="4CE9017B">
            <w:pPr>
              <w:jc w:val="center"/>
              <w:rPr>
                <w:rFonts w:ascii="Times New Roman" w:hAnsi="Times New Roman" w:eastAsia="仿宋"/>
                <w:sz w:val="18"/>
                <w:szCs w:val="18"/>
              </w:rPr>
            </w:pPr>
            <w:r>
              <w:rPr>
                <w:rFonts w:ascii="Times New Roman" w:hAnsi="Times New Roman" w:eastAsia="仿宋"/>
                <w:sz w:val="18"/>
                <w:szCs w:val="18"/>
              </w:rPr>
              <w:t>480.53</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4E5F4DF">
            <w:pPr>
              <w:jc w:val="center"/>
              <w:rPr>
                <w:rFonts w:ascii="Times New Roman" w:hAnsi="Times New Roman" w:eastAsia="仿宋"/>
                <w:sz w:val="18"/>
                <w:szCs w:val="18"/>
              </w:rPr>
            </w:pPr>
            <w:r>
              <w:rPr>
                <w:rFonts w:ascii="Times New Roman" w:hAnsi="Times New Roman" w:eastAsia="仿宋"/>
                <w:sz w:val="18"/>
                <w:szCs w:val="18"/>
              </w:rPr>
              <w:t>20.52</w:t>
            </w:r>
          </w:p>
        </w:tc>
        <w:tc>
          <w:tcPr>
            <w:tcW w:w="851" w:type="dxa"/>
            <w:tcBorders>
              <w:top w:val="single" w:color="000000" w:sz="4" w:space="0"/>
              <w:left w:val="single" w:color="000000" w:sz="4" w:space="0"/>
              <w:bottom w:val="single" w:color="000000" w:sz="4" w:space="0"/>
              <w:right w:val="single" w:color="000000" w:sz="4" w:space="0"/>
            </w:tcBorders>
            <w:vAlign w:val="center"/>
          </w:tcPr>
          <w:p w14:paraId="035D0052">
            <w:pPr>
              <w:jc w:val="center"/>
              <w:rPr>
                <w:rFonts w:ascii="Times New Roman" w:hAnsi="Times New Roman" w:eastAsia="仿宋"/>
                <w:sz w:val="18"/>
                <w:szCs w:val="18"/>
              </w:rPr>
            </w:pPr>
            <w:r>
              <w:rPr>
                <w:rFonts w:ascii="Times New Roman" w:hAnsi="Times New Roman" w:eastAsia="仿宋"/>
                <w:sz w:val="18"/>
                <w:szCs w:val="18"/>
              </w:rPr>
              <w:t>4.27</w:t>
            </w:r>
          </w:p>
        </w:tc>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E2AAC0E">
            <w:pPr>
              <w:jc w:val="center"/>
              <w:rPr>
                <w:rFonts w:ascii="Times New Roman" w:hAnsi="Times New Roman" w:eastAsia="仿宋"/>
                <w:sz w:val="18"/>
                <w:szCs w:val="18"/>
              </w:rPr>
            </w:pPr>
            <w:r>
              <w:rPr>
                <w:rFonts w:ascii="Times New Roman" w:hAnsi="Times New Roman" w:eastAsia="仿宋"/>
                <w:sz w:val="18"/>
                <w:szCs w:val="18"/>
              </w:rPr>
              <w:t>581.13</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00FC8A5">
            <w:pPr>
              <w:jc w:val="center"/>
              <w:rPr>
                <w:rFonts w:ascii="Times New Roman" w:hAnsi="Times New Roman" w:eastAsia="仿宋"/>
                <w:sz w:val="18"/>
                <w:szCs w:val="18"/>
              </w:rPr>
            </w:pPr>
            <w:r>
              <w:rPr>
                <w:rFonts w:ascii="Times New Roman" w:hAnsi="Times New Roman" w:eastAsia="仿宋"/>
                <w:sz w:val="18"/>
                <w:szCs w:val="18"/>
              </w:rPr>
              <w:t>9.62</w:t>
            </w:r>
          </w:p>
        </w:tc>
        <w:tc>
          <w:tcPr>
            <w:tcW w:w="851" w:type="dxa"/>
            <w:tcBorders>
              <w:top w:val="single" w:color="000000" w:sz="4" w:space="0"/>
              <w:left w:val="single" w:color="000000" w:sz="4" w:space="0"/>
              <w:bottom w:val="single" w:color="000000" w:sz="4" w:space="0"/>
              <w:right w:val="single" w:color="000000" w:sz="4" w:space="0"/>
            </w:tcBorders>
            <w:vAlign w:val="center"/>
          </w:tcPr>
          <w:p w14:paraId="06B5C4B9">
            <w:pPr>
              <w:jc w:val="center"/>
              <w:rPr>
                <w:rFonts w:ascii="Times New Roman" w:hAnsi="Times New Roman" w:eastAsia="仿宋"/>
                <w:sz w:val="18"/>
                <w:szCs w:val="18"/>
              </w:rPr>
            </w:pPr>
            <w:r>
              <w:rPr>
                <w:rFonts w:ascii="Times New Roman" w:hAnsi="Times New Roman" w:eastAsia="仿宋"/>
                <w:sz w:val="18"/>
                <w:szCs w:val="18"/>
              </w:rPr>
              <w:t>1.35</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4738400">
            <w:pPr>
              <w:jc w:val="center"/>
              <w:rPr>
                <w:rFonts w:ascii="Times New Roman" w:hAnsi="Times New Roman" w:eastAsia="仿宋"/>
                <w:sz w:val="18"/>
                <w:szCs w:val="18"/>
              </w:rPr>
            </w:pPr>
            <w:r>
              <w:rPr>
                <w:rFonts w:ascii="Times New Roman" w:hAnsi="Times New Roman" w:eastAsia="仿宋"/>
                <w:sz w:val="18"/>
                <w:szCs w:val="18"/>
              </w:rPr>
              <w:t>505.91</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571645">
            <w:pPr>
              <w:jc w:val="center"/>
              <w:rPr>
                <w:rFonts w:ascii="Times New Roman" w:hAnsi="Times New Roman" w:eastAsia="仿宋"/>
                <w:sz w:val="18"/>
                <w:szCs w:val="18"/>
              </w:rPr>
            </w:pPr>
            <w:r>
              <w:rPr>
                <w:rFonts w:ascii="Times New Roman" w:hAnsi="Times New Roman" w:eastAsia="仿宋"/>
                <w:sz w:val="18"/>
                <w:szCs w:val="18"/>
              </w:rPr>
              <w:t>31.20</w:t>
            </w:r>
          </w:p>
        </w:tc>
        <w:tc>
          <w:tcPr>
            <w:tcW w:w="850" w:type="dxa"/>
            <w:tcBorders>
              <w:top w:val="single" w:color="000000" w:sz="4" w:space="0"/>
              <w:left w:val="single" w:color="000000" w:sz="4" w:space="0"/>
              <w:bottom w:val="single" w:color="000000" w:sz="4" w:space="0"/>
              <w:right w:val="single" w:color="000000" w:sz="4" w:space="0"/>
            </w:tcBorders>
            <w:vAlign w:val="center"/>
          </w:tcPr>
          <w:p w14:paraId="0F9E85AB">
            <w:pPr>
              <w:jc w:val="center"/>
              <w:rPr>
                <w:rFonts w:ascii="Times New Roman" w:hAnsi="Times New Roman" w:eastAsia="仿宋"/>
                <w:sz w:val="18"/>
                <w:szCs w:val="18"/>
              </w:rPr>
            </w:pPr>
            <w:r>
              <w:rPr>
                <w:rFonts w:ascii="Times New Roman" w:hAnsi="Times New Roman" w:eastAsia="仿宋"/>
                <w:sz w:val="18"/>
                <w:szCs w:val="18"/>
              </w:rPr>
              <w:t>2.53</w:t>
            </w:r>
          </w:p>
        </w:tc>
      </w:tr>
      <w:tr w14:paraId="0B32C971">
        <w:tblPrEx>
          <w:tblCellMar>
            <w:top w:w="0" w:type="dxa"/>
            <w:left w:w="108" w:type="dxa"/>
            <w:bottom w:w="0" w:type="dxa"/>
            <w:right w:w="108" w:type="dxa"/>
          </w:tblCellMar>
        </w:tblPrEx>
        <w:trPr>
          <w:trHeight w:val="425" w:hRule="atLeast"/>
          <w:jc w:val="center"/>
        </w:trPr>
        <w:tc>
          <w:tcPr>
            <w:tcW w:w="714" w:type="dxa"/>
            <w:tcBorders>
              <w:top w:val="single" w:color="000000" w:sz="4" w:space="0"/>
              <w:left w:val="single" w:color="000000" w:sz="4" w:space="0"/>
              <w:bottom w:val="single" w:color="000000" w:sz="4" w:space="0"/>
              <w:right w:val="single" w:color="auto" w:sz="4" w:space="0"/>
            </w:tcBorders>
            <w:shd w:val="clear" w:color="auto" w:fill="auto"/>
            <w:vAlign w:val="center"/>
          </w:tcPr>
          <w:p w14:paraId="2E591DFC">
            <w:pPr>
              <w:widowControl/>
              <w:jc w:val="center"/>
              <w:textAlignment w:val="center"/>
              <w:rPr>
                <w:rFonts w:ascii="Times New Roman" w:hAnsi="Times New Roman" w:eastAsia="仿宋"/>
                <w:sz w:val="18"/>
                <w:szCs w:val="18"/>
              </w:rPr>
            </w:pPr>
            <w:r>
              <w:rPr>
                <w:rFonts w:hint="eastAsia" w:ascii="Times New Roman" w:hAnsi="Times New Roman" w:eastAsia="仿宋"/>
                <w:sz w:val="18"/>
                <w:szCs w:val="18"/>
              </w:rPr>
              <w:t>批次</w:t>
            </w:r>
            <w:r>
              <w:rPr>
                <w:rFonts w:ascii="Times New Roman" w:hAnsi="Times New Roman" w:eastAsia="仿宋"/>
                <w:sz w:val="18"/>
                <w:szCs w:val="18"/>
              </w:rPr>
              <w:t>2</w:t>
            </w:r>
          </w:p>
        </w:tc>
        <w:tc>
          <w:tcPr>
            <w:tcW w:w="992" w:type="dxa"/>
            <w:vMerge w:val="continue"/>
            <w:tcBorders>
              <w:top w:val="single" w:color="auto" w:sz="4" w:space="0"/>
              <w:left w:val="single" w:color="auto" w:sz="4" w:space="0"/>
              <w:bottom w:val="single" w:color="auto" w:sz="4" w:space="0"/>
              <w:right w:val="single" w:color="auto" w:sz="4" w:space="0"/>
            </w:tcBorders>
          </w:tcPr>
          <w:p w14:paraId="753EAA45">
            <w:pPr>
              <w:widowControl/>
              <w:jc w:val="center"/>
              <w:textAlignment w:val="center"/>
              <w:rPr>
                <w:rFonts w:ascii="Times New Roman" w:hAnsi="Times New Roman" w:eastAsia="仿宋"/>
                <w:sz w:val="18"/>
                <w:szCs w:val="18"/>
              </w:rPr>
            </w:pPr>
          </w:p>
        </w:tc>
        <w:tc>
          <w:tcPr>
            <w:tcW w:w="875" w:type="dxa"/>
            <w:tcBorders>
              <w:top w:val="single" w:color="000000" w:sz="4" w:space="0"/>
              <w:left w:val="single" w:color="auto" w:sz="4" w:space="0"/>
              <w:bottom w:val="single" w:color="auto" w:sz="4" w:space="0"/>
              <w:right w:val="single" w:color="000000" w:sz="4" w:space="0"/>
            </w:tcBorders>
            <w:shd w:val="clear" w:color="auto" w:fill="auto"/>
            <w:vAlign w:val="center"/>
          </w:tcPr>
          <w:p w14:paraId="34C7D08D">
            <w:pPr>
              <w:jc w:val="center"/>
              <w:rPr>
                <w:rFonts w:ascii="Times New Roman" w:hAnsi="Times New Roman" w:eastAsia="仿宋"/>
                <w:sz w:val="18"/>
                <w:szCs w:val="18"/>
              </w:rPr>
            </w:pPr>
            <w:r>
              <w:rPr>
                <w:rFonts w:ascii="Times New Roman" w:hAnsi="Times New Roman" w:eastAsia="仿宋"/>
                <w:sz w:val="18"/>
                <w:szCs w:val="18"/>
              </w:rPr>
              <w:t>480.17</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71C69A8">
            <w:pPr>
              <w:jc w:val="center"/>
              <w:rPr>
                <w:rFonts w:ascii="Times New Roman" w:hAnsi="Times New Roman" w:eastAsia="仿宋"/>
                <w:sz w:val="18"/>
                <w:szCs w:val="18"/>
              </w:rPr>
            </w:pPr>
            <w:r>
              <w:rPr>
                <w:rFonts w:ascii="Times New Roman" w:hAnsi="Times New Roman" w:eastAsia="仿宋"/>
                <w:sz w:val="18"/>
                <w:szCs w:val="18"/>
              </w:rPr>
              <w:t>20.90</w:t>
            </w:r>
          </w:p>
        </w:tc>
        <w:tc>
          <w:tcPr>
            <w:tcW w:w="851" w:type="dxa"/>
            <w:tcBorders>
              <w:top w:val="single" w:color="000000" w:sz="4" w:space="0"/>
              <w:left w:val="single" w:color="000000" w:sz="4" w:space="0"/>
              <w:bottom w:val="single" w:color="000000" w:sz="4" w:space="0"/>
              <w:right w:val="single" w:color="000000" w:sz="4" w:space="0"/>
            </w:tcBorders>
            <w:vAlign w:val="center"/>
          </w:tcPr>
          <w:p w14:paraId="44137D09">
            <w:pPr>
              <w:jc w:val="center"/>
              <w:rPr>
                <w:rFonts w:ascii="Times New Roman" w:hAnsi="Times New Roman" w:eastAsia="仿宋"/>
                <w:sz w:val="18"/>
                <w:szCs w:val="18"/>
              </w:rPr>
            </w:pPr>
            <w:r>
              <w:rPr>
                <w:rFonts w:ascii="Times New Roman" w:hAnsi="Times New Roman" w:eastAsia="仿宋"/>
                <w:sz w:val="18"/>
                <w:szCs w:val="18"/>
              </w:rPr>
              <w:t>4.35</w:t>
            </w:r>
          </w:p>
        </w:tc>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210BCC7">
            <w:pPr>
              <w:jc w:val="center"/>
              <w:rPr>
                <w:rFonts w:ascii="Times New Roman" w:hAnsi="Times New Roman" w:eastAsia="仿宋"/>
                <w:sz w:val="18"/>
                <w:szCs w:val="18"/>
              </w:rPr>
            </w:pPr>
            <w:r>
              <w:rPr>
                <w:rFonts w:ascii="Times New Roman" w:hAnsi="Times New Roman" w:eastAsia="仿宋"/>
                <w:sz w:val="18"/>
                <w:szCs w:val="18"/>
              </w:rPr>
              <w:t>529.68</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17E63DD">
            <w:pPr>
              <w:jc w:val="center"/>
              <w:rPr>
                <w:rFonts w:ascii="Times New Roman" w:hAnsi="Times New Roman" w:eastAsia="仿宋"/>
                <w:sz w:val="18"/>
                <w:szCs w:val="18"/>
              </w:rPr>
            </w:pPr>
            <w:r>
              <w:rPr>
                <w:rFonts w:ascii="Times New Roman" w:hAnsi="Times New Roman" w:eastAsia="仿宋"/>
                <w:sz w:val="18"/>
                <w:szCs w:val="18"/>
              </w:rPr>
              <w:t>12.11</w:t>
            </w:r>
          </w:p>
        </w:tc>
        <w:tc>
          <w:tcPr>
            <w:tcW w:w="851" w:type="dxa"/>
            <w:tcBorders>
              <w:top w:val="single" w:color="000000" w:sz="4" w:space="0"/>
              <w:left w:val="single" w:color="000000" w:sz="4" w:space="0"/>
              <w:bottom w:val="single" w:color="000000" w:sz="4" w:space="0"/>
              <w:right w:val="single" w:color="000000" w:sz="4" w:space="0"/>
            </w:tcBorders>
            <w:vAlign w:val="center"/>
          </w:tcPr>
          <w:p w14:paraId="0B685A19">
            <w:pPr>
              <w:jc w:val="center"/>
              <w:rPr>
                <w:rFonts w:ascii="Times New Roman" w:hAnsi="Times New Roman" w:eastAsia="仿宋"/>
                <w:sz w:val="18"/>
                <w:szCs w:val="18"/>
              </w:rPr>
            </w:pPr>
            <w:r>
              <w:rPr>
                <w:rFonts w:ascii="Times New Roman" w:hAnsi="Times New Roman" w:eastAsia="仿宋"/>
                <w:sz w:val="18"/>
                <w:szCs w:val="18"/>
              </w:rPr>
              <w:t>1.87</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3A16750">
            <w:pPr>
              <w:jc w:val="center"/>
              <w:rPr>
                <w:rFonts w:ascii="Times New Roman" w:hAnsi="Times New Roman" w:eastAsia="仿宋"/>
                <w:sz w:val="18"/>
                <w:szCs w:val="18"/>
              </w:rPr>
            </w:pPr>
            <w:r>
              <w:rPr>
                <w:rFonts w:ascii="Times New Roman" w:hAnsi="Times New Roman" w:eastAsia="仿宋"/>
                <w:sz w:val="18"/>
                <w:szCs w:val="18"/>
              </w:rPr>
              <w:t>509.49</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B1A9211">
            <w:pPr>
              <w:jc w:val="center"/>
              <w:rPr>
                <w:rFonts w:ascii="Times New Roman" w:hAnsi="Times New Roman" w:eastAsia="仿宋"/>
                <w:sz w:val="18"/>
                <w:szCs w:val="18"/>
              </w:rPr>
            </w:pPr>
            <w:r>
              <w:rPr>
                <w:rFonts w:ascii="Times New Roman" w:hAnsi="Times New Roman" w:eastAsia="仿宋"/>
                <w:sz w:val="18"/>
                <w:szCs w:val="18"/>
              </w:rPr>
              <w:t>28.58</w:t>
            </w:r>
          </w:p>
        </w:tc>
        <w:tc>
          <w:tcPr>
            <w:tcW w:w="850" w:type="dxa"/>
            <w:tcBorders>
              <w:top w:val="single" w:color="000000" w:sz="4" w:space="0"/>
              <w:left w:val="single" w:color="000000" w:sz="4" w:space="0"/>
              <w:bottom w:val="single" w:color="000000" w:sz="4" w:space="0"/>
              <w:right w:val="single" w:color="000000" w:sz="4" w:space="0"/>
            </w:tcBorders>
            <w:vAlign w:val="center"/>
          </w:tcPr>
          <w:p w14:paraId="4FA4EE7E">
            <w:pPr>
              <w:jc w:val="center"/>
              <w:rPr>
                <w:rFonts w:ascii="Times New Roman" w:hAnsi="Times New Roman" w:eastAsia="仿宋"/>
                <w:sz w:val="18"/>
                <w:szCs w:val="18"/>
              </w:rPr>
            </w:pPr>
            <w:r>
              <w:rPr>
                <w:rFonts w:ascii="Times New Roman" w:hAnsi="Times New Roman" w:eastAsia="仿宋"/>
                <w:sz w:val="18"/>
                <w:szCs w:val="18"/>
              </w:rPr>
              <w:t>2.29</w:t>
            </w:r>
          </w:p>
        </w:tc>
      </w:tr>
    </w:tbl>
    <w:p w14:paraId="47916FE0">
      <w:pPr>
        <w:spacing w:line="360" w:lineRule="auto"/>
        <w:rPr>
          <w:rFonts w:ascii="仿宋" w:hAnsi="仿宋" w:eastAsia="仿宋" w:cs="仿宋"/>
          <w:kern w:val="0"/>
          <w:szCs w:val="21"/>
        </w:rPr>
      </w:pPr>
      <w:r>
        <w:rPr>
          <w:rFonts w:ascii="仿宋" w:hAnsi="仿宋" w:eastAsia="仿宋" w:cs="仿宋"/>
          <w:kern w:val="0"/>
          <w:szCs w:val="21"/>
        </w:rPr>
        <w:tab/>
      </w:r>
      <w:bookmarkStart w:id="1" w:name="_Hlk224034441"/>
      <w:r>
        <w:rPr>
          <w:rFonts w:hint="eastAsia" w:ascii="仿宋" w:hAnsi="仿宋" w:eastAsia="仿宋" w:cs="仿宋"/>
          <w:kern w:val="0"/>
          <w:szCs w:val="21"/>
        </w:rPr>
        <w:t>依据《儿童清洁化妆品开发中眼刺激性评估方法</w:t>
      </w:r>
      <w:r>
        <w:rPr>
          <w:rFonts w:ascii="仿宋" w:hAnsi="仿宋" w:eastAsia="仿宋" w:cs="仿宋"/>
          <w:kern w:val="0"/>
          <w:szCs w:val="21"/>
        </w:rPr>
        <w:t xml:space="preserve"> 红细胞溶血测试和重组人角膜上皮模型测试》</w:t>
      </w:r>
      <w:r>
        <w:rPr>
          <w:rFonts w:hint="eastAsia" w:ascii="仿宋" w:hAnsi="仿宋" w:eastAsia="仿宋" w:cs="仿宋"/>
          <w:kern w:val="0"/>
          <w:szCs w:val="21"/>
        </w:rPr>
        <w:t>团体标准中的红细胞溶血实验方法步骤，三家测试单位不同批次测试三次实验结果相当，</w:t>
      </w:r>
      <w:r>
        <w:rPr>
          <w:rFonts w:ascii="仿宋" w:hAnsi="仿宋" w:eastAsia="仿宋" w:cs="仿宋"/>
          <w:kern w:val="0"/>
          <w:szCs w:val="21"/>
        </w:rPr>
        <w:t>样品</w:t>
      </w:r>
      <w:r>
        <w:rPr>
          <w:rFonts w:hint="eastAsia" w:ascii="仿宋" w:hAnsi="仿宋" w:eastAsia="仿宋" w:cs="仿宋"/>
          <w:kern w:val="0"/>
          <w:szCs w:val="21"/>
        </w:rPr>
        <w:t>椰油酰谷氨酸</w:t>
      </w:r>
      <w:r>
        <w:rPr>
          <w:rFonts w:ascii="仿宋" w:hAnsi="仿宋" w:eastAsia="仿宋" w:cs="仿宋"/>
          <w:kern w:val="0"/>
          <w:szCs w:val="21"/>
        </w:rPr>
        <w:t>TEA盐</w:t>
      </w:r>
      <w:r>
        <w:rPr>
          <w:rFonts w:hint="eastAsia" w:ascii="仿宋" w:hAnsi="仿宋" w:eastAsia="仿宋" w:cs="仿宋"/>
          <w:kern w:val="0"/>
          <w:szCs w:val="21"/>
        </w:rPr>
        <w:t>和月桂基羟基磺基甜菜碱</w:t>
      </w:r>
      <w:r>
        <w:rPr>
          <w:rFonts w:ascii="仿宋" w:hAnsi="仿宋" w:eastAsia="仿宋" w:cs="仿宋"/>
          <w:kern w:val="0"/>
          <w:szCs w:val="21"/>
        </w:rPr>
        <w:t>测试结果在误差范围内</w:t>
      </w:r>
      <w:r>
        <w:rPr>
          <w:rFonts w:hint="eastAsia" w:ascii="仿宋" w:hAnsi="仿宋" w:eastAsia="仿宋" w:cs="仿宋"/>
          <w:kern w:val="0"/>
          <w:szCs w:val="21"/>
        </w:rPr>
        <w:t>，</w:t>
      </w:r>
      <w:r>
        <w:rPr>
          <w:rFonts w:ascii="仿宋" w:hAnsi="仿宋" w:eastAsia="仿宋" w:cs="仿宋"/>
          <w:kern w:val="0"/>
          <w:szCs w:val="21"/>
        </w:rPr>
        <w:t>稳定性良好。</w:t>
      </w:r>
    </w:p>
    <w:bookmarkEnd w:id="1"/>
    <w:p w14:paraId="79D3CC9F">
      <w:pPr>
        <w:pStyle w:val="17"/>
        <w:numPr>
          <w:ilvl w:val="255"/>
          <w:numId w:val="0"/>
        </w:numPr>
        <w:spacing w:line="360" w:lineRule="auto"/>
        <w:ind w:firstLine="420" w:firstLineChars="200"/>
        <w:jc w:val="both"/>
        <w:rPr>
          <w:rFonts w:ascii="仿宋" w:hAnsi="仿宋" w:eastAsia="仿宋" w:cs="仿宋"/>
          <w:kern w:val="0"/>
          <w:sz w:val="21"/>
          <w:szCs w:val="21"/>
          <w:lang w:val="en-US"/>
        </w:rPr>
      </w:pPr>
      <w:r>
        <w:rPr>
          <w:rFonts w:hint="eastAsia" w:ascii="仿宋" w:hAnsi="仿宋" w:eastAsia="仿宋" w:cs="仿宋"/>
          <w:bCs/>
          <w:kern w:val="0"/>
          <w:sz w:val="21"/>
          <w:szCs w:val="21"/>
          <w:lang w:val="en-US"/>
        </w:rPr>
        <w:t>重组人角膜上皮模型测试方法验证</w:t>
      </w:r>
      <w:r>
        <w:rPr>
          <w:rFonts w:hint="eastAsia" w:ascii="仿宋" w:hAnsi="仿宋" w:eastAsia="仿宋" w:cs="仿宋"/>
          <w:kern w:val="0"/>
          <w:sz w:val="21"/>
          <w:szCs w:val="21"/>
          <w:lang w:val="en-US"/>
        </w:rPr>
        <w:t>：</w:t>
      </w:r>
    </w:p>
    <w:p w14:paraId="75374D7B">
      <w:pPr>
        <w:pStyle w:val="17"/>
        <w:numPr>
          <w:ilvl w:val="255"/>
          <w:numId w:val="0"/>
        </w:numPr>
        <w:spacing w:line="360" w:lineRule="auto"/>
        <w:ind w:firstLine="420" w:firstLineChars="200"/>
        <w:jc w:val="both"/>
        <w:rPr>
          <w:rFonts w:ascii="仿宋" w:hAnsi="仿宋" w:eastAsia="仿宋" w:cs="仿宋"/>
          <w:bCs/>
          <w:kern w:val="0"/>
          <w:sz w:val="21"/>
          <w:szCs w:val="21"/>
          <w:lang w:val="en-US"/>
        </w:rPr>
      </w:pPr>
      <w:r>
        <w:rPr>
          <w:rFonts w:hint="eastAsia" w:ascii="仿宋" w:hAnsi="仿宋" w:eastAsia="仿宋" w:cs="仿宋"/>
          <w:bCs/>
          <w:kern w:val="0"/>
          <w:sz w:val="21"/>
          <w:szCs w:val="21"/>
          <w:lang w:val="en-US"/>
        </w:rPr>
        <w:t>为了更好的了解该方法在不同实验室、不同操作人员测试情况下，起草工作组制备了两款儿童洁面慕斯样品按照《儿童清洁化妆品开发中眼刺激性评估方法</w:t>
      </w:r>
      <w:r>
        <w:rPr>
          <w:rFonts w:ascii="仿宋" w:hAnsi="仿宋" w:eastAsia="仿宋" w:cs="仿宋"/>
          <w:bCs/>
          <w:kern w:val="0"/>
          <w:sz w:val="21"/>
          <w:szCs w:val="21"/>
          <w:lang w:val="en-US"/>
        </w:rPr>
        <w:t xml:space="preserve"> 红细胞溶血测试和重组人角膜上皮模型测试》</w:t>
      </w:r>
      <w:r>
        <w:rPr>
          <w:rFonts w:hint="eastAsia" w:ascii="仿宋" w:hAnsi="仿宋" w:eastAsia="仿宋" w:cs="仿宋"/>
          <w:bCs/>
          <w:kern w:val="0"/>
          <w:sz w:val="21"/>
          <w:szCs w:val="21"/>
          <w:lang w:val="en-US"/>
        </w:rPr>
        <w:t>团体标准中重组人角膜上皮模型测试方法</w:t>
      </w:r>
      <w:r>
        <w:rPr>
          <w:rFonts w:ascii="仿宋" w:hAnsi="仿宋" w:eastAsia="仿宋" w:cs="仿宋"/>
          <w:bCs/>
          <w:kern w:val="0"/>
          <w:sz w:val="21"/>
          <w:szCs w:val="21"/>
          <w:lang w:val="en-US"/>
        </w:rPr>
        <w:t>,</w:t>
      </w:r>
      <w:r>
        <w:rPr>
          <w:rFonts w:hint="eastAsia" w:ascii="仿宋" w:hAnsi="仿宋" w:eastAsia="仿宋" w:cs="仿宋"/>
          <w:bCs/>
          <w:kern w:val="0"/>
          <w:sz w:val="21"/>
          <w:szCs w:val="21"/>
          <w:lang w:val="en-US"/>
        </w:rPr>
        <w:t>陕西博溪通用检测科技有限公司</w:t>
      </w:r>
      <w:r>
        <w:rPr>
          <w:rFonts w:ascii="仿宋" w:hAnsi="仿宋" w:eastAsia="仿宋" w:cs="仿宋"/>
          <w:bCs/>
          <w:kern w:val="0"/>
          <w:sz w:val="21"/>
          <w:szCs w:val="21"/>
          <w:lang w:val="en-US"/>
        </w:rPr>
        <w:t>（实验室1），英狄士检测技术（长沙）有限公司（实验室2）、水羊化妆品制造有限公司（实验室3）三家实验室参加了对相关产品的检验工作，该实验由具体检测数据见下表。不用单位测试结果显示，实验数据在误差范围内，稳定性良好，方法可重复高。</w:t>
      </w:r>
    </w:p>
    <w:p w14:paraId="6F5652A2">
      <w:pPr>
        <w:pStyle w:val="31"/>
        <w:tabs>
          <w:tab w:val="left" w:pos="839"/>
        </w:tabs>
        <w:spacing w:line="360" w:lineRule="auto"/>
        <w:ind w:left="420" w:firstLine="0" w:firstLineChars="0"/>
        <w:jc w:val="center"/>
        <w:rPr>
          <w:rFonts w:ascii="仿宋" w:hAnsi="仿宋" w:eastAsia="仿宋" w:cs="仿宋"/>
          <w:szCs w:val="21"/>
          <w:lang w:val="zh-CN"/>
        </w:rPr>
      </w:pPr>
      <w:r>
        <w:rPr>
          <w:rFonts w:hint="eastAsia" w:ascii="仿宋" w:hAnsi="仿宋" w:eastAsia="仿宋" w:cs="仿宋"/>
          <w:szCs w:val="21"/>
          <w:lang w:val="zh-CN"/>
        </w:rPr>
        <w:t>表</w:t>
      </w:r>
      <w:r>
        <w:rPr>
          <w:rFonts w:ascii="仿宋" w:hAnsi="仿宋" w:eastAsia="仿宋" w:cs="仿宋"/>
          <w:szCs w:val="21"/>
        </w:rPr>
        <w:t>3</w:t>
      </w:r>
      <w:r>
        <w:rPr>
          <w:rFonts w:hint="eastAsia" w:ascii="仿宋" w:hAnsi="仿宋" w:eastAsia="仿宋" w:cs="仿宋"/>
          <w:szCs w:val="21"/>
          <w:lang w:val="zh-CN"/>
        </w:rPr>
        <w:t xml:space="preserve"> 三家实验室</w:t>
      </w:r>
      <w:r>
        <w:rPr>
          <w:rFonts w:hint="eastAsia" w:ascii="仿宋" w:hAnsi="仿宋" w:eastAsia="仿宋" w:cs="仿宋"/>
          <w:bCs/>
          <w:szCs w:val="21"/>
        </w:rPr>
        <w:t>重组人角膜上皮模型测试方法</w:t>
      </w:r>
      <w:r>
        <w:rPr>
          <w:rFonts w:hint="eastAsia" w:ascii="仿宋" w:hAnsi="仿宋" w:eastAsia="仿宋" w:cs="仿宋"/>
          <w:szCs w:val="21"/>
          <w:lang w:val="zh-CN"/>
        </w:rPr>
        <w:t>检测结果汇总</w:t>
      </w:r>
    </w:p>
    <w:tbl>
      <w:tblPr>
        <w:tblStyle w:val="11"/>
        <w:tblW w:w="9385" w:type="dxa"/>
        <w:jc w:val="center"/>
        <w:tblLayout w:type="fixed"/>
        <w:tblCellMar>
          <w:top w:w="0" w:type="dxa"/>
          <w:left w:w="108" w:type="dxa"/>
          <w:bottom w:w="0" w:type="dxa"/>
          <w:right w:w="108" w:type="dxa"/>
        </w:tblCellMar>
      </w:tblPr>
      <w:tblGrid>
        <w:gridCol w:w="729"/>
        <w:gridCol w:w="967"/>
        <w:gridCol w:w="900"/>
        <w:gridCol w:w="850"/>
        <w:gridCol w:w="851"/>
        <w:gridCol w:w="836"/>
        <w:gridCol w:w="850"/>
        <w:gridCol w:w="851"/>
        <w:gridCol w:w="850"/>
        <w:gridCol w:w="851"/>
        <w:gridCol w:w="850"/>
      </w:tblGrid>
      <w:tr w14:paraId="2A64E7CA">
        <w:tblPrEx>
          <w:tblCellMar>
            <w:top w:w="0" w:type="dxa"/>
            <w:left w:w="108" w:type="dxa"/>
            <w:bottom w:w="0" w:type="dxa"/>
            <w:right w:w="108" w:type="dxa"/>
          </w:tblCellMar>
        </w:tblPrEx>
        <w:trPr>
          <w:trHeight w:val="266" w:hRule="atLeast"/>
          <w:jc w:val="center"/>
        </w:trPr>
        <w:tc>
          <w:tcPr>
            <w:tcW w:w="1696"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14:paraId="5DAD0836">
            <w:pPr>
              <w:widowControl/>
              <w:jc w:val="center"/>
              <w:textAlignment w:val="center"/>
              <w:rPr>
                <w:rFonts w:ascii="仿宋" w:hAnsi="仿宋" w:eastAsia="仿宋" w:cs="仿宋"/>
                <w:kern w:val="0"/>
                <w:sz w:val="18"/>
                <w:szCs w:val="18"/>
                <w:lang w:bidi="ar"/>
              </w:rPr>
            </w:pPr>
            <w:r>
              <w:rPr>
                <w:rFonts w:hint="eastAsia" w:ascii="仿宋" w:hAnsi="仿宋" w:eastAsia="仿宋" w:cs="仿宋"/>
                <w:kern w:val="0"/>
                <w:sz w:val="18"/>
                <w:szCs w:val="18"/>
                <w:lang w:bidi="ar"/>
              </w:rPr>
              <w:t>测试机构</w:t>
            </w:r>
          </w:p>
        </w:tc>
        <w:tc>
          <w:tcPr>
            <w:tcW w:w="2601"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220E718">
            <w:pPr>
              <w:widowControl/>
              <w:jc w:val="center"/>
              <w:textAlignment w:val="center"/>
              <w:rPr>
                <w:rFonts w:ascii="Times New Roman" w:hAnsi="Times New Roman" w:eastAsia="仿宋"/>
                <w:sz w:val="18"/>
                <w:szCs w:val="18"/>
              </w:rPr>
            </w:pPr>
            <w:r>
              <w:rPr>
                <w:rFonts w:hint="eastAsia" w:ascii="仿宋" w:hAnsi="仿宋" w:eastAsia="仿宋" w:cs="仿宋"/>
                <w:kern w:val="0"/>
                <w:sz w:val="18"/>
                <w:szCs w:val="18"/>
                <w:lang w:bidi="ar"/>
              </w:rPr>
              <w:t>实验室1</w:t>
            </w:r>
          </w:p>
        </w:tc>
        <w:tc>
          <w:tcPr>
            <w:tcW w:w="253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534E57A3">
            <w:pPr>
              <w:widowControl/>
              <w:jc w:val="center"/>
              <w:textAlignment w:val="center"/>
              <w:rPr>
                <w:rFonts w:ascii="Times New Roman" w:hAnsi="Times New Roman" w:eastAsia="仿宋"/>
                <w:sz w:val="18"/>
                <w:szCs w:val="18"/>
              </w:rPr>
            </w:pPr>
            <w:r>
              <w:rPr>
                <w:rFonts w:hint="eastAsia" w:ascii="仿宋" w:hAnsi="仿宋" w:eastAsia="仿宋" w:cs="仿宋"/>
                <w:kern w:val="0"/>
                <w:sz w:val="18"/>
                <w:szCs w:val="18"/>
                <w:lang w:bidi="ar"/>
              </w:rPr>
              <w:t>实验室2</w:t>
            </w:r>
          </w:p>
        </w:tc>
        <w:tc>
          <w:tcPr>
            <w:tcW w:w="2551"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7F84F2D6">
            <w:pPr>
              <w:widowControl/>
              <w:jc w:val="center"/>
              <w:textAlignment w:val="center"/>
              <w:rPr>
                <w:rFonts w:ascii="Times New Roman" w:hAnsi="Times New Roman" w:eastAsia="仿宋"/>
                <w:sz w:val="18"/>
                <w:szCs w:val="18"/>
              </w:rPr>
            </w:pPr>
            <w:r>
              <w:rPr>
                <w:rFonts w:hint="eastAsia" w:ascii="仿宋" w:hAnsi="仿宋" w:eastAsia="仿宋" w:cs="仿宋"/>
                <w:kern w:val="0"/>
                <w:sz w:val="18"/>
                <w:szCs w:val="18"/>
                <w:lang w:bidi="ar"/>
              </w:rPr>
              <w:t>实验室3</w:t>
            </w:r>
          </w:p>
        </w:tc>
      </w:tr>
      <w:tr w14:paraId="7870E817">
        <w:tblPrEx>
          <w:tblCellMar>
            <w:top w:w="0" w:type="dxa"/>
            <w:left w:w="108" w:type="dxa"/>
            <w:bottom w:w="0" w:type="dxa"/>
            <w:right w:w="108" w:type="dxa"/>
          </w:tblCellMar>
        </w:tblPrEx>
        <w:trPr>
          <w:trHeight w:val="266" w:hRule="atLeast"/>
          <w:jc w:val="center"/>
        </w:trPr>
        <w:tc>
          <w:tcPr>
            <w:tcW w:w="72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C1D0785">
            <w:pPr>
              <w:widowControl/>
              <w:jc w:val="center"/>
              <w:textAlignment w:val="center"/>
              <w:rPr>
                <w:rFonts w:ascii="Times New Roman" w:hAnsi="Times New Roman" w:eastAsia="仿宋"/>
                <w:sz w:val="18"/>
                <w:szCs w:val="18"/>
              </w:rPr>
            </w:pPr>
            <w:r>
              <w:rPr>
                <w:rFonts w:hint="eastAsia" w:ascii="仿宋" w:hAnsi="仿宋" w:eastAsia="仿宋" w:cs="仿宋"/>
                <w:kern w:val="0"/>
                <w:sz w:val="18"/>
                <w:szCs w:val="18"/>
                <w:lang w:bidi="ar"/>
              </w:rPr>
              <w:t>测试样品</w:t>
            </w:r>
          </w:p>
        </w:tc>
        <w:tc>
          <w:tcPr>
            <w:tcW w:w="967" w:type="dxa"/>
            <w:tcBorders>
              <w:top w:val="single" w:color="000000" w:sz="4" w:space="0"/>
              <w:left w:val="single" w:color="000000" w:sz="4" w:space="0"/>
              <w:bottom w:val="single" w:color="auto" w:sz="4" w:space="0"/>
              <w:right w:val="single" w:color="000000" w:sz="4" w:space="0"/>
            </w:tcBorders>
            <w:vAlign w:val="center"/>
          </w:tcPr>
          <w:p w14:paraId="00B6830A">
            <w:pPr>
              <w:widowControl/>
              <w:jc w:val="center"/>
              <w:rPr>
                <w:rFonts w:ascii="仿宋" w:hAnsi="仿宋" w:eastAsia="仿宋" w:cs="仿宋"/>
                <w:kern w:val="0"/>
                <w:sz w:val="18"/>
                <w:szCs w:val="18"/>
                <w:lang w:bidi="ar"/>
              </w:rPr>
            </w:pPr>
            <w:r>
              <w:rPr>
                <w:rFonts w:hint="eastAsia" w:ascii="仿宋" w:hAnsi="仿宋" w:eastAsia="仿宋" w:cs="仿宋"/>
                <w:kern w:val="0"/>
                <w:sz w:val="18"/>
                <w:szCs w:val="18"/>
                <w:lang w:bidi="ar"/>
              </w:rPr>
              <w:t>时间</w:t>
            </w:r>
          </w:p>
        </w:tc>
        <w:tc>
          <w:tcPr>
            <w:tcW w:w="90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4CDC4B6">
            <w:pPr>
              <w:widowControl/>
              <w:jc w:val="center"/>
              <w:rPr>
                <w:rFonts w:ascii="宋体" w:hAnsi="宋体" w:eastAsia="宋体" w:cs="宋体"/>
                <w:kern w:val="0"/>
                <w:sz w:val="18"/>
                <w:szCs w:val="18"/>
              </w:rPr>
            </w:pPr>
            <w:r>
              <w:rPr>
                <w:rFonts w:hint="eastAsia" w:ascii="仿宋" w:hAnsi="仿宋" w:eastAsia="仿宋" w:cs="仿宋"/>
                <w:kern w:val="0"/>
                <w:sz w:val="18"/>
                <w:szCs w:val="18"/>
                <w:lang w:bidi="ar"/>
              </w:rPr>
              <w:t>平均值</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006F29">
            <w:pPr>
              <w:widowControl/>
              <w:jc w:val="center"/>
              <w:textAlignment w:val="center"/>
              <w:rPr>
                <w:rFonts w:ascii="Times New Roman" w:hAnsi="Times New Roman" w:eastAsia="仿宋"/>
                <w:kern w:val="0"/>
                <w:sz w:val="18"/>
                <w:szCs w:val="18"/>
                <w:lang w:bidi="ar"/>
              </w:rPr>
            </w:pPr>
            <w:r>
              <w:rPr>
                <w:rFonts w:ascii="Times New Roman" w:hAnsi="Times New Roman" w:eastAsia="仿宋"/>
                <w:kern w:val="0"/>
                <w:sz w:val="18"/>
                <w:szCs w:val="18"/>
                <w:lang w:bidi="ar"/>
              </w:rPr>
              <w:t>SD</w:t>
            </w:r>
          </w:p>
        </w:tc>
        <w:tc>
          <w:tcPr>
            <w:tcW w:w="851" w:type="dxa"/>
            <w:tcBorders>
              <w:top w:val="single" w:color="000000" w:sz="4" w:space="0"/>
              <w:left w:val="single" w:color="000000" w:sz="4" w:space="0"/>
              <w:bottom w:val="single" w:color="000000" w:sz="4" w:space="0"/>
              <w:right w:val="single" w:color="000000" w:sz="4" w:space="0"/>
            </w:tcBorders>
            <w:vAlign w:val="center"/>
          </w:tcPr>
          <w:p w14:paraId="4CB52C45">
            <w:pPr>
              <w:pStyle w:val="17"/>
              <w:spacing w:line="240" w:lineRule="auto"/>
              <w:ind w:firstLine="0" w:firstLineChars="0"/>
              <w:jc w:val="center"/>
              <w:rPr>
                <w:rFonts w:eastAsia="仿宋"/>
                <w:kern w:val="0"/>
                <w:sz w:val="18"/>
                <w:szCs w:val="18"/>
                <w:lang w:bidi="ar"/>
              </w:rPr>
            </w:pPr>
            <w:r>
              <w:rPr>
                <w:rFonts w:eastAsia="仿宋"/>
                <w:kern w:val="0"/>
                <w:sz w:val="18"/>
                <w:szCs w:val="18"/>
                <w:lang w:bidi="ar"/>
              </w:rPr>
              <w:t>%RSD</w:t>
            </w:r>
          </w:p>
        </w:tc>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D702BA1">
            <w:pPr>
              <w:widowControl/>
              <w:jc w:val="center"/>
              <w:rPr>
                <w:rFonts w:ascii="宋体" w:hAnsi="宋体" w:eastAsia="宋体" w:cs="宋体"/>
                <w:kern w:val="0"/>
                <w:sz w:val="18"/>
                <w:szCs w:val="18"/>
              </w:rPr>
            </w:pPr>
            <w:r>
              <w:rPr>
                <w:rFonts w:hint="eastAsia" w:ascii="仿宋" w:hAnsi="仿宋" w:eastAsia="仿宋" w:cs="仿宋"/>
                <w:kern w:val="0"/>
                <w:sz w:val="18"/>
                <w:szCs w:val="18"/>
                <w:lang w:bidi="ar"/>
              </w:rPr>
              <w:t>平均值</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46B427">
            <w:pPr>
              <w:widowControl/>
              <w:jc w:val="center"/>
              <w:textAlignment w:val="center"/>
              <w:rPr>
                <w:rFonts w:ascii="Times New Roman" w:hAnsi="Times New Roman" w:eastAsia="仿宋"/>
                <w:kern w:val="0"/>
                <w:sz w:val="18"/>
                <w:szCs w:val="18"/>
                <w:lang w:bidi="ar"/>
              </w:rPr>
            </w:pPr>
            <w:r>
              <w:rPr>
                <w:rFonts w:ascii="Times New Roman" w:hAnsi="Times New Roman" w:eastAsia="仿宋"/>
                <w:kern w:val="0"/>
                <w:sz w:val="18"/>
                <w:szCs w:val="18"/>
                <w:lang w:bidi="ar"/>
              </w:rPr>
              <w:t>SD</w:t>
            </w:r>
          </w:p>
        </w:tc>
        <w:tc>
          <w:tcPr>
            <w:tcW w:w="851" w:type="dxa"/>
            <w:tcBorders>
              <w:top w:val="single" w:color="000000" w:sz="4" w:space="0"/>
              <w:left w:val="single" w:color="000000" w:sz="4" w:space="0"/>
              <w:bottom w:val="single" w:color="000000" w:sz="4" w:space="0"/>
              <w:right w:val="single" w:color="000000" w:sz="4" w:space="0"/>
            </w:tcBorders>
            <w:vAlign w:val="center"/>
          </w:tcPr>
          <w:p w14:paraId="3A7A0EE4">
            <w:pPr>
              <w:pStyle w:val="17"/>
              <w:spacing w:line="240" w:lineRule="auto"/>
              <w:ind w:firstLine="0" w:firstLineChars="0"/>
              <w:jc w:val="center"/>
              <w:rPr>
                <w:rFonts w:eastAsia="仿宋"/>
                <w:kern w:val="0"/>
                <w:sz w:val="18"/>
                <w:szCs w:val="18"/>
                <w:lang w:bidi="ar"/>
              </w:rPr>
            </w:pPr>
            <w:r>
              <w:rPr>
                <w:rFonts w:eastAsia="仿宋"/>
                <w:kern w:val="0"/>
                <w:sz w:val="18"/>
                <w:szCs w:val="18"/>
                <w:lang w:bidi="ar"/>
              </w:rPr>
              <w:t>%RSD</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79A08AE">
            <w:pPr>
              <w:widowControl/>
              <w:jc w:val="center"/>
              <w:rPr>
                <w:rFonts w:ascii="宋体" w:hAnsi="宋体" w:eastAsia="宋体" w:cs="宋体"/>
                <w:kern w:val="0"/>
                <w:sz w:val="18"/>
                <w:szCs w:val="18"/>
              </w:rPr>
            </w:pPr>
            <w:r>
              <w:rPr>
                <w:rFonts w:hint="eastAsia" w:ascii="仿宋" w:hAnsi="仿宋" w:eastAsia="仿宋" w:cs="仿宋"/>
                <w:kern w:val="0"/>
                <w:sz w:val="18"/>
                <w:szCs w:val="18"/>
                <w:lang w:bidi="ar"/>
              </w:rPr>
              <w:t>平均值</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B4C02D4">
            <w:pPr>
              <w:widowControl/>
              <w:jc w:val="center"/>
              <w:textAlignment w:val="center"/>
              <w:rPr>
                <w:rFonts w:ascii="Times New Roman" w:hAnsi="Times New Roman" w:eastAsia="仿宋"/>
                <w:kern w:val="0"/>
                <w:sz w:val="18"/>
                <w:szCs w:val="18"/>
                <w:lang w:bidi="ar"/>
              </w:rPr>
            </w:pPr>
            <w:r>
              <w:rPr>
                <w:rFonts w:ascii="Times New Roman" w:hAnsi="Times New Roman" w:eastAsia="仿宋"/>
                <w:kern w:val="0"/>
                <w:sz w:val="18"/>
                <w:szCs w:val="18"/>
                <w:lang w:bidi="ar"/>
              </w:rPr>
              <w:t>SD</w:t>
            </w:r>
          </w:p>
        </w:tc>
        <w:tc>
          <w:tcPr>
            <w:tcW w:w="850" w:type="dxa"/>
            <w:tcBorders>
              <w:top w:val="single" w:color="000000" w:sz="4" w:space="0"/>
              <w:left w:val="single" w:color="000000" w:sz="4" w:space="0"/>
              <w:bottom w:val="single" w:color="000000" w:sz="4" w:space="0"/>
              <w:right w:val="single" w:color="000000" w:sz="4" w:space="0"/>
            </w:tcBorders>
            <w:vAlign w:val="center"/>
          </w:tcPr>
          <w:p w14:paraId="5E157686">
            <w:pPr>
              <w:pStyle w:val="17"/>
              <w:spacing w:line="240" w:lineRule="auto"/>
              <w:ind w:firstLine="0" w:firstLineChars="0"/>
              <w:jc w:val="center"/>
              <w:rPr>
                <w:rFonts w:eastAsia="仿宋"/>
                <w:kern w:val="0"/>
                <w:sz w:val="18"/>
                <w:szCs w:val="18"/>
                <w:lang w:bidi="ar"/>
              </w:rPr>
            </w:pPr>
            <w:r>
              <w:rPr>
                <w:rFonts w:eastAsia="仿宋"/>
                <w:kern w:val="0"/>
                <w:sz w:val="18"/>
                <w:szCs w:val="18"/>
                <w:lang w:bidi="ar"/>
              </w:rPr>
              <w:t>%RSD</w:t>
            </w:r>
          </w:p>
        </w:tc>
      </w:tr>
      <w:tr w14:paraId="6719E011">
        <w:tblPrEx>
          <w:tblCellMar>
            <w:top w:w="0" w:type="dxa"/>
            <w:left w:w="108" w:type="dxa"/>
            <w:bottom w:w="0" w:type="dxa"/>
            <w:right w:w="108" w:type="dxa"/>
          </w:tblCellMar>
        </w:tblPrEx>
        <w:trPr>
          <w:trHeight w:val="313" w:hRule="atLeast"/>
          <w:jc w:val="center"/>
        </w:trPr>
        <w:tc>
          <w:tcPr>
            <w:tcW w:w="729" w:type="dxa"/>
            <w:vMerge w:val="restart"/>
            <w:tcBorders>
              <w:top w:val="single" w:color="000000" w:sz="4" w:space="0"/>
              <w:left w:val="single" w:color="000000" w:sz="4" w:space="0"/>
              <w:right w:val="single" w:color="auto" w:sz="4" w:space="0"/>
            </w:tcBorders>
            <w:shd w:val="clear" w:color="auto" w:fill="auto"/>
            <w:vAlign w:val="center"/>
          </w:tcPr>
          <w:p w14:paraId="4F1C0FF7">
            <w:pPr>
              <w:widowControl/>
              <w:jc w:val="center"/>
              <w:textAlignment w:val="center"/>
              <w:rPr>
                <w:rFonts w:ascii="Times New Roman" w:hAnsi="Times New Roman" w:eastAsia="仿宋"/>
                <w:sz w:val="18"/>
                <w:szCs w:val="18"/>
              </w:rPr>
            </w:pPr>
            <w:r>
              <w:rPr>
                <w:rFonts w:hint="eastAsia" w:ascii="Times New Roman" w:hAnsi="Times New Roman" w:eastAsia="仿宋"/>
                <w:sz w:val="18"/>
                <w:szCs w:val="18"/>
              </w:rPr>
              <w:t>样品1</w:t>
            </w:r>
          </w:p>
          <w:p w14:paraId="1E84AC66">
            <w:pPr>
              <w:widowControl/>
              <w:jc w:val="center"/>
              <w:textAlignment w:val="center"/>
              <w:rPr>
                <w:rFonts w:ascii="Times New Roman" w:hAnsi="Times New Roman" w:eastAsia="仿宋"/>
                <w:sz w:val="18"/>
                <w:szCs w:val="18"/>
              </w:rPr>
            </w:pPr>
            <w:r>
              <w:rPr>
                <w:rFonts w:hint="eastAsia" w:ascii="Times New Roman" w:hAnsi="Times New Roman" w:eastAsia="仿宋"/>
                <w:sz w:val="18"/>
                <w:szCs w:val="18"/>
              </w:rPr>
              <w:t>(</w:t>
            </w:r>
            <w:r>
              <w:rPr>
                <w:rFonts w:ascii="Times New Roman" w:hAnsi="Times New Roman" w:eastAsia="仿宋"/>
                <w:sz w:val="18"/>
                <w:szCs w:val="18"/>
              </w:rPr>
              <w:t>1%)</w:t>
            </w:r>
          </w:p>
        </w:tc>
        <w:tc>
          <w:tcPr>
            <w:tcW w:w="967" w:type="dxa"/>
            <w:tcBorders>
              <w:top w:val="single" w:color="auto" w:sz="4" w:space="0"/>
              <w:left w:val="single" w:color="auto" w:sz="4" w:space="0"/>
              <w:bottom w:val="single" w:color="auto" w:sz="4" w:space="0"/>
              <w:right w:val="single" w:color="auto" w:sz="4" w:space="0"/>
            </w:tcBorders>
            <w:vAlign w:val="center"/>
          </w:tcPr>
          <w:p w14:paraId="62D68A36">
            <w:pPr>
              <w:widowControl/>
              <w:jc w:val="center"/>
              <w:textAlignment w:val="center"/>
              <w:rPr>
                <w:rFonts w:ascii="Times New Roman" w:hAnsi="Times New Roman" w:eastAsia="仿宋"/>
                <w:sz w:val="18"/>
                <w:szCs w:val="18"/>
              </w:rPr>
            </w:pPr>
            <w:r>
              <w:rPr>
                <w:rFonts w:hint="eastAsia" w:ascii="Times New Roman" w:hAnsi="Times New Roman" w:eastAsia="仿宋"/>
                <w:sz w:val="18"/>
                <w:szCs w:val="18"/>
              </w:rPr>
              <w:t>1</w:t>
            </w:r>
            <w:r>
              <w:rPr>
                <w:rFonts w:ascii="Times New Roman" w:hAnsi="Times New Roman" w:eastAsia="仿宋"/>
                <w:sz w:val="18"/>
                <w:szCs w:val="18"/>
              </w:rPr>
              <w:t>5</w:t>
            </w:r>
            <w:r>
              <w:rPr>
                <w:rFonts w:hint="eastAsia" w:ascii="Times New Roman" w:hAnsi="Times New Roman" w:eastAsia="仿宋"/>
                <w:sz w:val="18"/>
                <w:szCs w:val="18"/>
              </w:rPr>
              <w:t>min</w:t>
            </w:r>
          </w:p>
        </w:tc>
        <w:tc>
          <w:tcPr>
            <w:tcW w:w="900" w:type="dxa"/>
            <w:tcBorders>
              <w:top w:val="single" w:color="000000" w:sz="4" w:space="0"/>
              <w:left w:val="single" w:color="auto" w:sz="4" w:space="0"/>
              <w:bottom w:val="single" w:color="000000" w:sz="4" w:space="0"/>
              <w:right w:val="single" w:color="000000" w:sz="4" w:space="0"/>
            </w:tcBorders>
            <w:shd w:val="clear" w:color="auto" w:fill="auto"/>
            <w:vAlign w:val="center"/>
          </w:tcPr>
          <w:p w14:paraId="5B812C8E">
            <w:pPr>
              <w:widowControl/>
              <w:jc w:val="center"/>
              <w:textAlignment w:val="center"/>
              <w:rPr>
                <w:rFonts w:ascii="Times New Roman" w:hAnsi="Times New Roman" w:eastAsia="仿宋"/>
                <w:sz w:val="18"/>
                <w:szCs w:val="18"/>
              </w:rPr>
            </w:pPr>
            <w:r>
              <w:rPr>
                <w:rFonts w:ascii="Times New Roman" w:hAnsi="Times New Roman" w:eastAsia="仿宋"/>
                <w:sz w:val="18"/>
                <w:szCs w:val="18"/>
              </w:rPr>
              <w:t>97.26</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9735DB">
            <w:pPr>
              <w:widowControl/>
              <w:jc w:val="center"/>
              <w:textAlignment w:val="center"/>
              <w:rPr>
                <w:rFonts w:ascii="Times New Roman" w:hAnsi="Times New Roman" w:eastAsia="仿宋"/>
                <w:sz w:val="18"/>
                <w:szCs w:val="18"/>
              </w:rPr>
            </w:pPr>
            <w:r>
              <w:rPr>
                <w:rFonts w:ascii="Times New Roman" w:hAnsi="Times New Roman" w:eastAsia="仿宋"/>
                <w:sz w:val="18"/>
                <w:szCs w:val="18"/>
              </w:rPr>
              <w:t>4.29</w:t>
            </w:r>
          </w:p>
        </w:tc>
        <w:tc>
          <w:tcPr>
            <w:tcW w:w="851" w:type="dxa"/>
            <w:tcBorders>
              <w:top w:val="single" w:color="000000" w:sz="4" w:space="0"/>
              <w:left w:val="single" w:color="000000" w:sz="4" w:space="0"/>
              <w:bottom w:val="single" w:color="000000" w:sz="4" w:space="0"/>
              <w:right w:val="single" w:color="000000" w:sz="4" w:space="0"/>
            </w:tcBorders>
            <w:vAlign w:val="center"/>
          </w:tcPr>
          <w:p w14:paraId="14F9C61D">
            <w:pPr>
              <w:widowControl/>
              <w:jc w:val="center"/>
              <w:textAlignment w:val="center"/>
              <w:rPr>
                <w:rFonts w:ascii="Times New Roman" w:hAnsi="Times New Roman" w:eastAsia="仿宋"/>
                <w:sz w:val="18"/>
                <w:szCs w:val="18"/>
              </w:rPr>
            </w:pPr>
            <w:r>
              <w:rPr>
                <w:rFonts w:ascii="Times New Roman" w:hAnsi="Times New Roman" w:eastAsia="仿宋"/>
                <w:sz w:val="18"/>
                <w:szCs w:val="18"/>
              </w:rPr>
              <w:t>4.41</w:t>
            </w:r>
          </w:p>
        </w:tc>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D31F8D0">
            <w:pPr>
              <w:widowControl/>
              <w:jc w:val="center"/>
              <w:textAlignment w:val="center"/>
              <w:rPr>
                <w:rFonts w:ascii="Times New Roman" w:hAnsi="Times New Roman" w:eastAsia="仿宋"/>
                <w:sz w:val="18"/>
                <w:szCs w:val="18"/>
              </w:rPr>
            </w:pPr>
            <w:r>
              <w:rPr>
                <w:rFonts w:ascii="Times New Roman" w:hAnsi="Times New Roman" w:eastAsia="仿宋"/>
                <w:sz w:val="18"/>
                <w:szCs w:val="18"/>
              </w:rPr>
              <w:t>93.48</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12318D6">
            <w:pPr>
              <w:widowControl/>
              <w:jc w:val="center"/>
              <w:textAlignment w:val="center"/>
              <w:rPr>
                <w:rFonts w:ascii="Times New Roman" w:hAnsi="Times New Roman" w:eastAsia="仿宋"/>
                <w:sz w:val="18"/>
                <w:szCs w:val="18"/>
              </w:rPr>
            </w:pPr>
            <w:r>
              <w:rPr>
                <w:rFonts w:ascii="Times New Roman" w:hAnsi="Times New Roman" w:eastAsia="仿宋"/>
                <w:sz w:val="18"/>
                <w:szCs w:val="18"/>
              </w:rPr>
              <w:t>6.34</w:t>
            </w:r>
          </w:p>
        </w:tc>
        <w:tc>
          <w:tcPr>
            <w:tcW w:w="851" w:type="dxa"/>
            <w:tcBorders>
              <w:top w:val="single" w:color="000000" w:sz="4" w:space="0"/>
              <w:left w:val="single" w:color="000000" w:sz="4" w:space="0"/>
              <w:bottom w:val="single" w:color="000000" w:sz="4" w:space="0"/>
              <w:right w:val="single" w:color="000000" w:sz="4" w:space="0"/>
            </w:tcBorders>
            <w:vAlign w:val="center"/>
          </w:tcPr>
          <w:p w14:paraId="0A7C71FB">
            <w:pPr>
              <w:widowControl/>
              <w:jc w:val="center"/>
              <w:textAlignment w:val="center"/>
              <w:rPr>
                <w:rFonts w:ascii="Times New Roman" w:hAnsi="Times New Roman" w:eastAsia="仿宋"/>
                <w:sz w:val="18"/>
                <w:szCs w:val="18"/>
              </w:rPr>
            </w:pPr>
            <w:r>
              <w:rPr>
                <w:rFonts w:ascii="Times New Roman" w:hAnsi="Times New Roman" w:eastAsia="仿宋"/>
                <w:sz w:val="18"/>
                <w:szCs w:val="18"/>
              </w:rPr>
              <w:t>3.91</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32D726A">
            <w:pPr>
              <w:widowControl/>
              <w:jc w:val="center"/>
              <w:textAlignment w:val="center"/>
              <w:rPr>
                <w:rFonts w:ascii="Times New Roman" w:hAnsi="Times New Roman" w:eastAsia="仿宋"/>
                <w:sz w:val="18"/>
                <w:szCs w:val="18"/>
              </w:rPr>
            </w:pPr>
            <w:r>
              <w:rPr>
                <w:rFonts w:ascii="Times New Roman" w:hAnsi="Times New Roman" w:eastAsia="仿宋"/>
                <w:sz w:val="18"/>
                <w:szCs w:val="18"/>
              </w:rPr>
              <w:t>91.96</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18B2A3E">
            <w:pPr>
              <w:widowControl/>
              <w:jc w:val="center"/>
              <w:textAlignment w:val="center"/>
              <w:rPr>
                <w:rFonts w:ascii="Times New Roman" w:hAnsi="Times New Roman" w:eastAsia="仿宋"/>
                <w:sz w:val="18"/>
                <w:szCs w:val="18"/>
              </w:rPr>
            </w:pPr>
            <w:r>
              <w:rPr>
                <w:rFonts w:ascii="Times New Roman" w:hAnsi="Times New Roman" w:eastAsia="仿宋"/>
                <w:sz w:val="18"/>
                <w:szCs w:val="18"/>
              </w:rPr>
              <w:t>6.72</w:t>
            </w:r>
          </w:p>
        </w:tc>
        <w:tc>
          <w:tcPr>
            <w:tcW w:w="850" w:type="dxa"/>
            <w:tcBorders>
              <w:top w:val="single" w:color="000000" w:sz="4" w:space="0"/>
              <w:left w:val="single" w:color="000000" w:sz="4" w:space="0"/>
              <w:bottom w:val="single" w:color="000000" w:sz="4" w:space="0"/>
              <w:right w:val="single" w:color="000000" w:sz="4" w:space="0"/>
            </w:tcBorders>
            <w:vAlign w:val="center"/>
          </w:tcPr>
          <w:p w14:paraId="32E06F48">
            <w:pPr>
              <w:widowControl/>
              <w:jc w:val="center"/>
              <w:textAlignment w:val="center"/>
              <w:rPr>
                <w:rFonts w:ascii="Times New Roman" w:hAnsi="Times New Roman" w:eastAsia="仿宋"/>
                <w:sz w:val="18"/>
                <w:szCs w:val="18"/>
              </w:rPr>
            </w:pPr>
            <w:r>
              <w:rPr>
                <w:rFonts w:ascii="Times New Roman" w:hAnsi="Times New Roman" w:eastAsia="仿宋"/>
                <w:sz w:val="18"/>
                <w:szCs w:val="18"/>
              </w:rPr>
              <w:t>2.98</w:t>
            </w:r>
          </w:p>
        </w:tc>
      </w:tr>
      <w:tr w14:paraId="79B46066">
        <w:tblPrEx>
          <w:tblCellMar>
            <w:top w:w="0" w:type="dxa"/>
            <w:left w:w="108" w:type="dxa"/>
            <w:bottom w:w="0" w:type="dxa"/>
            <w:right w:w="108" w:type="dxa"/>
          </w:tblCellMar>
        </w:tblPrEx>
        <w:trPr>
          <w:trHeight w:val="378" w:hRule="atLeast"/>
          <w:jc w:val="center"/>
        </w:trPr>
        <w:tc>
          <w:tcPr>
            <w:tcW w:w="729" w:type="dxa"/>
            <w:vMerge w:val="continue"/>
            <w:tcBorders>
              <w:left w:val="single" w:color="000000" w:sz="4" w:space="0"/>
              <w:right w:val="single" w:color="auto" w:sz="4" w:space="0"/>
            </w:tcBorders>
            <w:shd w:val="clear" w:color="auto" w:fill="auto"/>
            <w:vAlign w:val="center"/>
          </w:tcPr>
          <w:p w14:paraId="6DA7B7C4">
            <w:pPr>
              <w:widowControl/>
              <w:jc w:val="center"/>
              <w:textAlignment w:val="center"/>
              <w:rPr>
                <w:rFonts w:ascii="Times New Roman" w:hAnsi="Times New Roman" w:eastAsia="仿宋"/>
                <w:sz w:val="18"/>
                <w:szCs w:val="18"/>
              </w:rPr>
            </w:pPr>
          </w:p>
        </w:tc>
        <w:tc>
          <w:tcPr>
            <w:tcW w:w="967" w:type="dxa"/>
            <w:tcBorders>
              <w:top w:val="single" w:color="auto" w:sz="4" w:space="0"/>
              <w:left w:val="single" w:color="auto" w:sz="4" w:space="0"/>
              <w:bottom w:val="single" w:color="auto" w:sz="4" w:space="0"/>
              <w:right w:val="single" w:color="auto" w:sz="4" w:space="0"/>
            </w:tcBorders>
            <w:vAlign w:val="center"/>
          </w:tcPr>
          <w:p w14:paraId="5641D948">
            <w:pPr>
              <w:widowControl/>
              <w:jc w:val="center"/>
              <w:textAlignment w:val="center"/>
              <w:rPr>
                <w:rFonts w:ascii="Times New Roman" w:hAnsi="Times New Roman" w:eastAsia="仿宋"/>
                <w:sz w:val="18"/>
                <w:szCs w:val="18"/>
              </w:rPr>
            </w:pPr>
            <w:r>
              <w:rPr>
                <w:rFonts w:hint="eastAsia" w:ascii="Times New Roman" w:hAnsi="Times New Roman" w:eastAsia="仿宋"/>
                <w:sz w:val="18"/>
                <w:szCs w:val="18"/>
              </w:rPr>
              <w:t>4</w:t>
            </w:r>
            <w:r>
              <w:rPr>
                <w:rFonts w:ascii="Times New Roman" w:hAnsi="Times New Roman" w:eastAsia="仿宋"/>
                <w:sz w:val="18"/>
                <w:szCs w:val="18"/>
              </w:rPr>
              <w:t>5min</w:t>
            </w:r>
          </w:p>
        </w:tc>
        <w:tc>
          <w:tcPr>
            <w:tcW w:w="900" w:type="dxa"/>
            <w:tcBorders>
              <w:top w:val="single" w:color="000000" w:sz="4" w:space="0"/>
              <w:left w:val="single" w:color="auto" w:sz="4" w:space="0"/>
              <w:bottom w:val="single" w:color="000000" w:sz="4" w:space="0"/>
              <w:right w:val="single" w:color="000000" w:sz="4" w:space="0"/>
            </w:tcBorders>
            <w:shd w:val="clear" w:color="auto" w:fill="auto"/>
            <w:vAlign w:val="center"/>
          </w:tcPr>
          <w:p w14:paraId="37397B65">
            <w:pPr>
              <w:widowControl/>
              <w:jc w:val="center"/>
              <w:textAlignment w:val="center"/>
              <w:rPr>
                <w:rFonts w:ascii="Times New Roman" w:hAnsi="Times New Roman" w:eastAsia="仿宋"/>
                <w:sz w:val="18"/>
                <w:szCs w:val="18"/>
              </w:rPr>
            </w:pPr>
            <w:r>
              <w:rPr>
                <w:rFonts w:ascii="Times New Roman" w:hAnsi="Times New Roman" w:eastAsia="仿宋"/>
                <w:sz w:val="18"/>
                <w:szCs w:val="18"/>
              </w:rPr>
              <w:t>76.21</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3F9C2C">
            <w:pPr>
              <w:widowControl/>
              <w:jc w:val="center"/>
              <w:textAlignment w:val="center"/>
              <w:rPr>
                <w:rFonts w:ascii="Times New Roman" w:hAnsi="Times New Roman" w:eastAsia="仿宋"/>
                <w:sz w:val="18"/>
                <w:szCs w:val="18"/>
              </w:rPr>
            </w:pPr>
            <w:r>
              <w:rPr>
                <w:rFonts w:ascii="Times New Roman" w:hAnsi="Times New Roman" w:eastAsia="仿宋"/>
                <w:sz w:val="18"/>
                <w:szCs w:val="18"/>
              </w:rPr>
              <w:t>6.06</w:t>
            </w:r>
          </w:p>
        </w:tc>
        <w:tc>
          <w:tcPr>
            <w:tcW w:w="851" w:type="dxa"/>
            <w:tcBorders>
              <w:top w:val="single" w:color="000000" w:sz="4" w:space="0"/>
              <w:left w:val="single" w:color="000000" w:sz="4" w:space="0"/>
              <w:bottom w:val="single" w:color="000000" w:sz="4" w:space="0"/>
              <w:right w:val="single" w:color="000000" w:sz="4" w:space="0"/>
            </w:tcBorders>
            <w:vAlign w:val="center"/>
          </w:tcPr>
          <w:p w14:paraId="2A570C97">
            <w:pPr>
              <w:widowControl/>
              <w:jc w:val="center"/>
              <w:textAlignment w:val="center"/>
              <w:rPr>
                <w:rFonts w:ascii="Times New Roman" w:hAnsi="Times New Roman" w:eastAsia="仿宋"/>
                <w:sz w:val="18"/>
                <w:szCs w:val="18"/>
              </w:rPr>
            </w:pPr>
            <w:r>
              <w:rPr>
                <w:rFonts w:ascii="Times New Roman" w:hAnsi="Times New Roman" w:eastAsia="仿宋"/>
                <w:sz w:val="18"/>
                <w:szCs w:val="18"/>
              </w:rPr>
              <w:t>7.95</w:t>
            </w:r>
          </w:p>
        </w:tc>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88AD711">
            <w:pPr>
              <w:widowControl/>
              <w:jc w:val="center"/>
              <w:textAlignment w:val="center"/>
              <w:rPr>
                <w:rFonts w:ascii="Times New Roman" w:hAnsi="Times New Roman" w:eastAsia="仿宋"/>
                <w:sz w:val="18"/>
                <w:szCs w:val="18"/>
              </w:rPr>
            </w:pPr>
            <w:r>
              <w:rPr>
                <w:rFonts w:ascii="Times New Roman" w:hAnsi="Times New Roman" w:eastAsia="仿宋"/>
                <w:sz w:val="18"/>
                <w:szCs w:val="18"/>
              </w:rPr>
              <w:t>75.45</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1699BB1">
            <w:pPr>
              <w:widowControl/>
              <w:jc w:val="center"/>
              <w:textAlignment w:val="center"/>
              <w:rPr>
                <w:rFonts w:ascii="Times New Roman" w:hAnsi="Times New Roman" w:eastAsia="仿宋"/>
                <w:sz w:val="18"/>
                <w:szCs w:val="18"/>
              </w:rPr>
            </w:pPr>
            <w:r>
              <w:rPr>
                <w:rFonts w:ascii="Times New Roman" w:hAnsi="Times New Roman" w:eastAsia="仿宋"/>
                <w:sz w:val="18"/>
                <w:szCs w:val="18"/>
              </w:rPr>
              <w:t>9.01</w:t>
            </w:r>
          </w:p>
        </w:tc>
        <w:tc>
          <w:tcPr>
            <w:tcW w:w="851" w:type="dxa"/>
            <w:tcBorders>
              <w:top w:val="single" w:color="000000" w:sz="4" w:space="0"/>
              <w:left w:val="single" w:color="000000" w:sz="4" w:space="0"/>
              <w:bottom w:val="single" w:color="000000" w:sz="4" w:space="0"/>
              <w:right w:val="single" w:color="000000" w:sz="4" w:space="0"/>
            </w:tcBorders>
            <w:vAlign w:val="center"/>
          </w:tcPr>
          <w:p w14:paraId="3B869A16">
            <w:pPr>
              <w:widowControl/>
              <w:jc w:val="center"/>
              <w:textAlignment w:val="center"/>
              <w:rPr>
                <w:rFonts w:ascii="Times New Roman" w:hAnsi="Times New Roman" w:eastAsia="仿宋"/>
                <w:sz w:val="18"/>
                <w:szCs w:val="18"/>
              </w:rPr>
            </w:pPr>
            <w:r>
              <w:rPr>
                <w:rFonts w:ascii="Times New Roman" w:hAnsi="Times New Roman" w:eastAsia="仿宋"/>
                <w:sz w:val="18"/>
                <w:szCs w:val="18"/>
              </w:rPr>
              <w:t>5.12</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5D20E17">
            <w:pPr>
              <w:widowControl/>
              <w:jc w:val="center"/>
              <w:textAlignment w:val="center"/>
              <w:rPr>
                <w:rFonts w:ascii="Times New Roman" w:hAnsi="Times New Roman" w:eastAsia="仿宋"/>
                <w:sz w:val="18"/>
                <w:szCs w:val="18"/>
              </w:rPr>
            </w:pPr>
            <w:r>
              <w:rPr>
                <w:rFonts w:ascii="Times New Roman" w:hAnsi="Times New Roman" w:eastAsia="仿宋"/>
                <w:sz w:val="18"/>
                <w:szCs w:val="18"/>
              </w:rPr>
              <w:t>76.09</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67368DD">
            <w:pPr>
              <w:widowControl/>
              <w:jc w:val="center"/>
              <w:textAlignment w:val="center"/>
              <w:rPr>
                <w:rFonts w:ascii="Times New Roman" w:hAnsi="Times New Roman" w:eastAsia="仿宋"/>
                <w:sz w:val="18"/>
                <w:szCs w:val="18"/>
              </w:rPr>
            </w:pPr>
            <w:r>
              <w:rPr>
                <w:rFonts w:ascii="Times New Roman" w:hAnsi="Times New Roman" w:eastAsia="仿宋"/>
                <w:sz w:val="18"/>
                <w:szCs w:val="18"/>
              </w:rPr>
              <w:t>6.49</w:t>
            </w:r>
          </w:p>
        </w:tc>
        <w:tc>
          <w:tcPr>
            <w:tcW w:w="850" w:type="dxa"/>
            <w:tcBorders>
              <w:top w:val="single" w:color="000000" w:sz="4" w:space="0"/>
              <w:left w:val="single" w:color="000000" w:sz="4" w:space="0"/>
              <w:bottom w:val="single" w:color="000000" w:sz="4" w:space="0"/>
              <w:right w:val="single" w:color="000000" w:sz="4" w:space="0"/>
            </w:tcBorders>
            <w:vAlign w:val="center"/>
          </w:tcPr>
          <w:p w14:paraId="248ABE54">
            <w:pPr>
              <w:widowControl/>
              <w:jc w:val="center"/>
              <w:textAlignment w:val="center"/>
              <w:rPr>
                <w:rFonts w:ascii="Times New Roman" w:hAnsi="Times New Roman" w:eastAsia="仿宋"/>
                <w:sz w:val="18"/>
                <w:szCs w:val="18"/>
              </w:rPr>
            </w:pPr>
            <w:r>
              <w:rPr>
                <w:rFonts w:ascii="Times New Roman" w:hAnsi="Times New Roman" w:eastAsia="仿宋"/>
                <w:sz w:val="18"/>
                <w:szCs w:val="18"/>
              </w:rPr>
              <w:t>3.56</w:t>
            </w:r>
          </w:p>
        </w:tc>
      </w:tr>
      <w:tr w14:paraId="25B9FB8E">
        <w:tblPrEx>
          <w:tblCellMar>
            <w:top w:w="0" w:type="dxa"/>
            <w:left w:w="108" w:type="dxa"/>
            <w:bottom w:w="0" w:type="dxa"/>
            <w:right w:w="108" w:type="dxa"/>
          </w:tblCellMar>
        </w:tblPrEx>
        <w:trPr>
          <w:trHeight w:val="413" w:hRule="atLeast"/>
          <w:jc w:val="center"/>
        </w:trPr>
        <w:tc>
          <w:tcPr>
            <w:tcW w:w="729" w:type="dxa"/>
            <w:vMerge w:val="continue"/>
            <w:tcBorders>
              <w:left w:val="single" w:color="000000" w:sz="4" w:space="0"/>
              <w:bottom w:val="single" w:color="000000" w:sz="4" w:space="0"/>
              <w:right w:val="single" w:color="auto" w:sz="4" w:space="0"/>
            </w:tcBorders>
            <w:shd w:val="clear" w:color="auto" w:fill="auto"/>
            <w:vAlign w:val="center"/>
          </w:tcPr>
          <w:p w14:paraId="66B5CDE1">
            <w:pPr>
              <w:widowControl/>
              <w:jc w:val="center"/>
              <w:textAlignment w:val="center"/>
              <w:rPr>
                <w:rFonts w:ascii="Times New Roman" w:hAnsi="Times New Roman" w:eastAsia="仿宋"/>
                <w:sz w:val="18"/>
                <w:szCs w:val="18"/>
              </w:rPr>
            </w:pPr>
          </w:p>
        </w:tc>
        <w:tc>
          <w:tcPr>
            <w:tcW w:w="967" w:type="dxa"/>
            <w:tcBorders>
              <w:top w:val="single" w:color="auto" w:sz="4" w:space="0"/>
              <w:left w:val="single" w:color="auto" w:sz="4" w:space="0"/>
              <w:bottom w:val="single" w:color="auto" w:sz="4" w:space="0"/>
              <w:right w:val="single" w:color="auto" w:sz="4" w:space="0"/>
            </w:tcBorders>
            <w:vAlign w:val="center"/>
          </w:tcPr>
          <w:p w14:paraId="67A82B8B">
            <w:pPr>
              <w:widowControl/>
              <w:jc w:val="center"/>
              <w:textAlignment w:val="center"/>
              <w:rPr>
                <w:rFonts w:ascii="Times New Roman" w:hAnsi="Times New Roman" w:eastAsia="仿宋"/>
                <w:sz w:val="18"/>
                <w:szCs w:val="18"/>
              </w:rPr>
            </w:pPr>
            <w:r>
              <w:rPr>
                <w:rFonts w:ascii="Times New Roman" w:hAnsi="Times New Roman" w:eastAsia="仿宋"/>
                <w:sz w:val="18"/>
                <w:szCs w:val="18"/>
              </w:rPr>
              <w:t>90min</w:t>
            </w:r>
          </w:p>
        </w:tc>
        <w:tc>
          <w:tcPr>
            <w:tcW w:w="900" w:type="dxa"/>
            <w:tcBorders>
              <w:top w:val="single" w:color="000000" w:sz="4" w:space="0"/>
              <w:left w:val="single" w:color="auto" w:sz="4" w:space="0"/>
              <w:bottom w:val="single" w:color="000000" w:sz="4" w:space="0"/>
              <w:right w:val="single" w:color="000000" w:sz="4" w:space="0"/>
            </w:tcBorders>
            <w:shd w:val="clear" w:color="auto" w:fill="auto"/>
            <w:vAlign w:val="center"/>
          </w:tcPr>
          <w:p w14:paraId="399B6889">
            <w:pPr>
              <w:widowControl/>
              <w:jc w:val="center"/>
              <w:textAlignment w:val="center"/>
              <w:rPr>
                <w:rFonts w:ascii="Times New Roman" w:hAnsi="Times New Roman" w:eastAsia="仿宋"/>
                <w:sz w:val="18"/>
                <w:szCs w:val="18"/>
              </w:rPr>
            </w:pPr>
            <w:r>
              <w:rPr>
                <w:rFonts w:ascii="Times New Roman" w:hAnsi="Times New Roman" w:eastAsia="仿宋"/>
                <w:sz w:val="18"/>
                <w:szCs w:val="18"/>
              </w:rPr>
              <w:t>62.87</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A061EF9">
            <w:pPr>
              <w:widowControl/>
              <w:jc w:val="center"/>
              <w:textAlignment w:val="center"/>
              <w:rPr>
                <w:rFonts w:ascii="Times New Roman" w:hAnsi="Times New Roman" w:eastAsia="仿宋"/>
                <w:sz w:val="18"/>
                <w:szCs w:val="18"/>
              </w:rPr>
            </w:pPr>
            <w:r>
              <w:rPr>
                <w:rFonts w:ascii="Times New Roman" w:hAnsi="Times New Roman" w:eastAsia="仿宋"/>
                <w:sz w:val="18"/>
                <w:szCs w:val="18"/>
              </w:rPr>
              <w:t>6.30</w:t>
            </w:r>
          </w:p>
        </w:tc>
        <w:tc>
          <w:tcPr>
            <w:tcW w:w="851" w:type="dxa"/>
            <w:tcBorders>
              <w:top w:val="single" w:color="000000" w:sz="4" w:space="0"/>
              <w:left w:val="single" w:color="000000" w:sz="4" w:space="0"/>
              <w:bottom w:val="single" w:color="000000" w:sz="4" w:space="0"/>
              <w:right w:val="single" w:color="000000" w:sz="4" w:space="0"/>
            </w:tcBorders>
            <w:vAlign w:val="center"/>
          </w:tcPr>
          <w:p w14:paraId="77DEE9B4">
            <w:pPr>
              <w:widowControl/>
              <w:jc w:val="center"/>
              <w:textAlignment w:val="center"/>
              <w:rPr>
                <w:rFonts w:ascii="Times New Roman" w:hAnsi="Times New Roman" w:eastAsia="仿宋"/>
                <w:sz w:val="18"/>
                <w:szCs w:val="18"/>
              </w:rPr>
            </w:pPr>
            <w:r>
              <w:rPr>
                <w:rFonts w:ascii="Times New Roman" w:hAnsi="Times New Roman" w:eastAsia="仿宋"/>
                <w:sz w:val="18"/>
                <w:szCs w:val="18"/>
              </w:rPr>
              <w:t>10.03</w:t>
            </w:r>
          </w:p>
        </w:tc>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B8A7E2">
            <w:pPr>
              <w:widowControl/>
              <w:jc w:val="center"/>
              <w:textAlignment w:val="center"/>
              <w:rPr>
                <w:rFonts w:ascii="Times New Roman" w:hAnsi="Times New Roman" w:eastAsia="仿宋"/>
                <w:sz w:val="18"/>
                <w:szCs w:val="18"/>
              </w:rPr>
            </w:pPr>
            <w:r>
              <w:rPr>
                <w:rFonts w:ascii="Times New Roman" w:hAnsi="Times New Roman" w:eastAsia="仿宋"/>
                <w:sz w:val="18"/>
                <w:szCs w:val="18"/>
              </w:rPr>
              <w:t>61.29</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00D6EED">
            <w:pPr>
              <w:widowControl/>
              <w:jc w:val="center"/>
              <w:textAlignment w:val="center"/>
              <w:rPr>
                <w:rFonts w:ascii="Times New Roman" w:hAnsi="Times New Roman" w:eastAsia="仿宋"/>
                <w:sz w:val="18"/>
                <w:szCs w:val="18"/>
              </w:rPr>
            </w:pPr>
            <w:r>
              <w:rPr>
                <w:rFonts w:ascii="Times New Roman" w:hAnsi="Times New Roman" w:eastAsia="仿宋"/>
                <w:sz w:val="18"/>
                <w:szCs w:val="18"/>
              </w:rPr>
              <w:t>11.67</w:t>
            </w:r>
          </w:p>
        </w:tc>
        <w:tc>
          <w:tcPr>
            <w:tcW w:w="851" w:type="dxa"/>
            <w:tcBorders>
              <w:top w:val="single" w:color="000000" w:sz="4" w:space="0"/>
              <w:left w:val="single" w:color="000000" w:sz="4" w:space="0"/>
              <w:bottom w:val="single" w:color="000000" w:sz="4" w:space="0"/>
              <w:right w:val="single" w:color="000000" w:sz="4" w:space="0"/>
            </w:tcBorders>
            <w:vAlign w:val="center"/>
          </w:tcPr>
          <w:p w14:paraId="4E657488">
            <w:pPr>
              <w:widowControl/>
              <w:jc w:val="center"/>
              <w:textAlignment w:val="center"/>
              <w:rPr>
                <w:rFonts w:ascii="Times New Roman" w:hAnsi="Times New Roman" w:eastAsia="仿宋"/>
                <w:sz w:val="18"/>
                <w:szCs w:val="18"/>
              </w:rPr>
            </w:pPr>
            <w:r>
              <w:rPr>
                <w:rFonts w:ascii="Times New Roman" w:hAnsi="Times New Roman" w:eastAsia="仿宋"/>
                <w:sz w:val="18"/>
                <w:szCs w:val="18"/>
              </w:rPr>
              <w:t>8.18</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53457C1">
            <w:pPr>
              <w:widowControl/>
              <w:jc w:val="center"/>
              <w:textAlignment w:val="center"/>
              <w:rPr>
                <w:rFonts w:ascii="Times New Roman" w:hAnsi="Times New Roman" w:eastAsia="仿宋"/>
                <w:sz w:val="18"/>
                <w:szCs w:val="18"/>
              </w:rPr>
            </w:pPr>
            <w:r>
              <w:rPr>
                <w:rFonts w:ascii="Times New Roman" w:hAnsi="Times New Roman" w:eastAsia="仿宋"/>
                <w:sz w:val="18"/>
                <w:szCs w:val="18"/>
              </w:rPr>
              <w:t>59.29</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417527D">
            <w:pPr>
              <w:widowControl/>
              <w:jc w:val="center"/>
              <w:textAlignment w:val="center"/>
              <w:rPr>
                <w:rFonts w:ascii="Times New Roman" w:hAnsi="Times New Roman" w:eastAsia="仿宋"/>
                <w:sz w:val="18"/>
                <w:szCs w:val="18"/>
              </w:rPr>
            </w:pPr>
            <w:r>
              <w:rPr>
                <w:rFonts w:ascii="Times New Roman" w:hAnsi="Times New Roman" w:eastAsia="仿宋"/>
                <w:sz w:val="18"/>
                <w:szCs w:val="18"/>
              </w:rPr>
              <w:t>5.15</w:t>
            </w:r>
          </w:p>
        </w:tc>
        <w:tc>
          <w:tcPr>
            <w:tcW w:w="850" w:type="dxa"/>
            <w:tcBorders>
              <w:top w:val="single" w:color="000000" w:sz="4" w:space="0"/>
              <w:left w:val="single" w:color="000000" w:sz="4" w:space="0"/>
              <w:bottom w:val="single" w:color="000000" w:sz="4" w:space="0"/>
              <w:right w:val="single" w:color="000000" w:sz="4" w:space="0"/>
            </w:tcBorders>
            <w:vAlign w:val="center"/>
          </w:tcPr>
          <w:p w14:paraId="6DC47B45">
            <w:pPr>
              <w:widowControl/>
              <w:jc w:val="center"/>
              <w:textAlignment w:val="center"/>
              <w:rPr>
                <w:rFonts w:ascii="Times New Roman" w:hAnsi="Times New Roman" w:eastAsia="仿宋"/>
                <w:sz w:val="18"/>
                <w:szCs w:val="18"/>
              </w:rPr>
            </w:pPr>
            <w:r>
              <w:rPr>
                <w:rFonts w:ascii="Times New Roman" w:hAnsi="Times New Roman" w:eastAsia="仿宋"/>
                <w:sz w:val="18"/>
                <w:szCs w:val="18"/>
              </w:rPr>
              <w:t>3.86</w:t>
            </w:r>
          </w:p>
        </w:tc>
      </w:tr>
      <w:tr w14:paraId="315AEE99">
        <w:tblPrEx>
          <w:tblCellMar>
            <w:top w:w="0" w:type="dxa"/>
            <w:left w:w="108" w:type="dxa"/>
            <w:bottom w:w="0" w:type="dxa"/>
            <w:right w:w="108" w:type="dxa"/>
          </w:tblCellMar>
        </w:tblPrEx>
        <w:trPr>
          <w:trHeight w:val="419" w:hRule="atLeast"/>
          <w:jc w:val="center"/>
        </w:trPr>
        <w:tc>
          <w:tcPr>
            <w:tcW w:w="729" w:type="dxa"/>
            <w:vMerge w:val="restart"/>
            <w:tcBorders>
              <w:top w:val="single" w:color="000000" w:sz="4" w:space="0"/>
              <w:left w:val="single" w:color="000000" w:sz="4" w:space="0"/>
              <w:right w:val="single" w:color="auto" w:sz="4" w:space="0"/>
            </w:tcBorders>
            <w:shd w:val="clear" w:color="auto" w:fill="auto"/>
            <w:vAlign w:val="center"/>
          </w:tcPr>
          <w:p w14:paraId="1B0C685B">
            <w:pPr>
              <w:widowControl/>
              <w:jc w:val="center"/>
              <w:textAlignment w:val="center"/>
              <w:rPr>
                <w:rFonts w:ascii="Times New Roman" w:hAnsi="Times New Roman" w:eastAsia="仿宋"/>
                <w:sz w:val="18"/>
                <w:szCs w:val="18"/>
              </w:rPr>
            </w:pPr>
            <w:r>
              <w:rPr>
                <w:rFonts w:hint="eastAsia" w:ascii="Times New Roman" w:hAnsi="Times New Roman" w:eastAsia="仿宋"/>
                <w:sz w:val="18"/>
                <w:szCs w:val="18"/>
              </w:rPr>
              <w:t>样品</w:t>
            </w:r>
            <w:r>
              <w:rPr>
                <w:rFonts w:ascii="Times New Roman" w:hAnsi="Times New Roman" w:eastAsia="仿宋"/>
                <w:sz w:val="18"/>
                <w:szCs w:val="18"/>
              </w:rPr>
              <w:t>2</w:t>
            </w:r>
          </w:p>
          <w:p w14:paraId="6AF4493B">
            <w:pPr>
              <w:widowControl/>
              <w:jc w:val="center"/>
              <w:textAlignment w:val="center"/>
              <w:rPr>
                <w:rFonts w:ascii="Times New Roman" w:hAnsi="Times New Roman" w:eastAsia="仿宋"/>
                <w:sz w:val="18"/>
                <w:szCs w:val="18"/>
              </w:rPr>
            </w:pPr>
            <w:r>
              <w:rPr>
                <w:rFonts w:hint="eastAsia" w:ascii="Times New Roman" w:hAnsi="Times New Roman" w:eastAsia="仿宋"/>
                <w:sz w:val="18"/>
                <w:szCs w:val="18"/>
              </w:rPr>
              <w:t>(</w:t>
            </w:r>
            <w:r>
              <w:rPr>
                <w:rFonts w:ascii="Times New Roman" w:hAnsi="Times New Roman" w:eastAsia="仿宋"/>
                <w:sz w:val="18"/>
                <w:szCs w:val="18"/>
              </w:rPr>
              <w:t>1%)</w:t>
            </w:r>
          </w:p>
        </w:tc>
        <w:tc>
          <w:tcPr>
            <w:tcW w:w="967" w:type="dxa"/>
            <w:tcBorders>
              <w:top w:val="single" w:color="auto" w:sz="4" w:space="0"/>
              <w:left w:val="single" w:color="auto" w:sz="4" w:space="0"/>
              <w:bottom w:val="single" w:color="auto" w:sz="4" w:space="0"/>
              <w:right w:val="single" w:color="auto" w:sz="4" w:space="0"/>
            </w:tcBorders>
            <w:vAlign w:val="center"/>
          </w:tcPr>
          <w:p w14:paraId="38AA43B0">
            <w:pPr>
              <w:widowControl/>
              <w:jc w:val="center"/>
              <w:textAlignment w:val="center"/>
              <w:rPr>
                <w:rFonts w:ascii="Times New Roman" w:hAnsi="Times New Roman" w:eastAsia="仿宋"/>
                <w:sz w:val="18"/>
                <w:szCs w:val="18"/>
              </w:rPr>
            </w:pPr>
            <w:r>
              <w:rPr>
                <w:rFonts w:hint="eastAsia" w:ascii="Times New Roman" w:hAnsi="Times New Roman" w:eastAsia="仿宋"/>
                <w:sz w:val="18"/>
                <w:szCs w:val="18"/>
              </w:rPr>
              <w:t>1</w:t>
            </w:r>
            <w:r>
              <w:rPr>
                <w:rFonts w:ascii="Times New Roman" w:hAnsi="Times New Roman" w:eastAsia="仿宋"/>
                <w:sz w:val="18"/>
                <w:szCs w:val="18"/>
              </w:rPr>
              <w:t>5</w:t>
            </w:r>
            <w:r>
              <w:rPr>
                <w:rFonts w:hint="eastAsia" w:ascii="Times New Roman" w:hAnsi="Times New Roman" w:eastAsia="仿宋"/>
                <w:sz w:val="18"/>
                <w:szCs w:val="18"/>
              </w:rPr>
              <w:t>min</w:t>
            </w:r>
          </w:p>
        </w:tc>
        <w:tc>
          <w:tcPr>
            <w:tcW w:w="900" w:type="dxa"/>
            <w:tcBorders>
              <w:top w:val="single" w:color="000000" w:sz="4" w:space="0"/>
              <w:left w:val="single" w:color="auto" w:sz="4" w:space="0"/>
              <w:bottom w:val="single" w:color="auto" w:sz="4" w:space="0"/>
              <w:right w:val="single" w:color="000000" w:sz="4" w:space="0"/>
            </w:tcBorders>
            <w:shd w:val="clear" w:color="auto" w:fill="auto"/>
            <w:vAlign w:val="center"/>
          </w:tcPr>
          <w:p w14:paraId="76F37619">
            <w:pPr>
              <w:widowControl/>
              <w:jc w:val="center"/>
              <w:textAlignment w:val="center"/>
              <w:rPr>
                <w:rFonts w:ascii="Times New Roman" w:hAnsi="Times New Roman" w:eastAsia="仿宋"/>
                <w:sz w:val="18"/>
                <w:szCs w:val="18"/>
              </w:rPr>
            </w:pPr>
            <w:r>
              <w:rPr>
                <w:rFonts w:ascii="Times New Roman" w:hAnsi="Times New Roman" w:eastAsia="仿宋"/>
                <w:sz w:val="18"/>
                <w:szCs w:val="18"/>
              </w:rPr>
              <w:t>35.56</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506A200">
            <w:pPr>
              <w:widowControl/>
              <w:jc w:val="center"/>
              <w:textAlignment w:val="center"/>
              <w:rPr>
                <w:rFonts w:ascii="Times New Roman" w:hAnsi="Times New Roman" w:eastAsia="仿宋"/>
                <w:sz w:val="18"/>
                <w:szCs w:val="18"/>
              </w:rPr>
            </w:pPr>
            <w:r>
              <w:rPr>
                <w:rFonts w:ascii="Times New Roman" w:hAnsi="Times New Roman" w:eastAsia="仿宋"/>
                <w:sz w:val="18"/>
                <w:szCs w:val="18"/>
              </w:rPr>
              <w:t>2.78</w:t>
            </w:r>
          </w:p>
        </w:tc>
        <w:tc>
          <w:tcPr>
            <w:tcW w:w="851" w:type="dxa"/>
            <w:tcBorders>
              <w:top w:val="single" w:color="000000" w:sz="4" w:space="0"/>
              <w:left w:val="single" w:color="000000" w:sz="4" w:space="0"/>
              <w:bottom w:val="single" w:color="000000" w:sz="4" w:space="0"/>
              <w:right w:val="single" w:color="000000" w:sz="4" w:space="0"/>
            </w:tcBorders>
            <w:vAlign w:val="center"/>
          </w:tcPr>
          <w:p w14:paraId="1A81E332">
            <w:pPr>
              <w:widowControl/>
              <w:jc w:val="center"/>
              <w:textAlignment w:val="center"/>
              <w:rPr>
                <w:rFonts w:ascii="Times New Roman" w:hAnsi="Times New Roman" w:eastAsia="仿宋"/>
                <w:sz w:val="18"/>
                <w:szCs w:val="18"/>
              </w:rPr>
            </w:pPr>
            <w:r>
              <w:rPr>
                <w:rFonts w:ascii="Times New Roman" w:hAnsi="Times New Roman" w:eastAsia="仿宋"/>
                <w:sz w:val="18"/>
                <w:szCs w:val="18"/>
              </w:rPr>
              <w:t>7.83</w:t>
            </w:r>
          </w:p>
        </w:tc>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3F5BF1F">
            <w:pPr>
              <w:widowControl/>
              <w:jc w:val="center"/>
              <w:textAlignment w:val="center"/>
              <w:rPr>
                <w:rFonts w:ascii="Times New Roman" w:hAnsi="Times New Roman" w:eastAsia="仿宋"/>
                <w:sz w:val="18"/>
                <w:szCs w:val="18"/>
              </w:rPr>
            </w:pPr>
            <w:r>
              <w:rPr>
                <w:rFonts w:ascii="Times New Roman" w:hAnsi="Times New Roman" w:eastAsia="仿宋"/>
                <w:sz w:val="18"/>
                <w:szCs w:val="18"/>
              </w:rPr>
              <w:t>31.44</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5B1C675">
            <w:pPr>
              <w:widowControl/>
              <w:jc w:val="center"/>
              <w:textAlignment w:val="center"/>
              <w:rPr>
                <w:rFonts w:ascii="Times New Roman" w:hAnsi="Times New Roman" w:eastAsia="仿宋"/>
                <w:sz w:val="18"/>
                <w:szCs w:val="18"/>
              </w:rPr>
            </w:pPr>
            <w:r>
              <w:rPr>
                <w:rFonts w:ascii="Times New Roman" w:hAnsi="Times New Roman" w:eastAsia="仿宋"/>
                <w:sz w:val="18"/>
                <w:szCs w:val="18"/>
              </w:rPr>
              <w:t>6.37</w:t>
            </w:r>
          </w:p>
        </w:tc>
        <w:tc>
          <w:tcPr>
            <w:tcW w:w="851" w:type="dxa"/>
            <w:tcBorders>
              <w:top w:val="single" w:color="000000" w:sz="4" w:space="0"/>
              <w:left w:val="single" w:color="000000" w:sz="4" w:space="0"/>
              <w:bottom w:val="single" w:color="000000" w:sz="4" w:space="0"/>
              <w:right w:val="single" w:color="000000" w:sz="4" w:space="0"/>
            </w:tcBorders>
            <w:vAlign w:val="center"/>
          </w:tcPr>
          <w:p w14:paraId="101720D7">
            <w:pPr>
              <w:widowControl/>
              <w:jc w:val="center"/>
              <w:textAlignment w:val="center"/>
              <w:rPr>
                <w:rFonts w:ascii="Times New Roman" w:hAnsi="Times New Roman" w:eastAsia="仿宋"/>
                <w:sz w:val="18"/>
                <w:szCs w:val="18"/>
              </w:rPr>
            </w:pPr>
            <w:r>
              <w:rPr>
                <w:rFonts w:ascii="Times New Roman" w:hAnsi="Times New Roman" w:eastAsia="仿宋"/>
                <w:sz w:val="18"/>
                <w:szCs w:val="18"/>
              </w:rPr>
              <w:t>8.28</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6253A3A2">
            <w:pPr>
              <w:widowControl/>
              <w:jc w:val="center"/>
              <w:textAlignment w:val="center"/>
              <w:rPr>
                <w:rFonts w:ascii="Times New Roman" w:hAnsi="Times New Roman" w:eastAsia="仿宋"/>
                <w:sz w:val="18"/>
                <w:szCs w:val="18"/>
              </w:rPr>
            </w:pPr>
            <w:r>
              <w:rPr>
                <w:rFonts w:ascii="Times New Roman" w:hAnsi="Times New Roman" w:eastAsia="仿宋"/>
                <w:sz w:val="18"/>
                <w:szCs w:val="18"/>
              </w:rPr>
              <w:t>28.47</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DB95B4A">
            <w:pPr>
              <w:widowControl/>
              <w:jc w:val="center"/>
              <w:textAlignment w:val="center"/>
              <w:rPr>
                <w:rFonts w:ascii="Times New Roman" w:hAnsi="Times New Roman" w:eastAsia="仿宋"/>
                <w:sz w:val="18"/>
                <w:szCs w:val="18"/>
              </w:rPr>
            </w:pPr>
            <w:r>
              <w:rPr>
                <w:rFonts w:ascii="Times New Roman" w:hAnsi="Times New Roman" w:eastAsia="仿宋"/>
                <w:sz w:val="18"/>
                <w:szCs w:val="18"/>
              </w:rPr>
              <w:t>1.63</w:t>
            </w:r>
          </w:p>
        </w:tc>
        <w:tc>
          <w:tcPr>
            <w:tcW w:w="850" w:type="dxa"/>
            <w:tcBorders>
              <w:top w:val="single" w:color="000000" w:sz="4" w:space="0"/>
              <w:left w:val="single" w:color="000000" w:sz="4" w:space="0"/>
              <w:bottom w:val="single" w:color="000000" w:sz="4" w:space="0"/>
              <w:right w:val="single" w:color="000000" w:sz="4" w:space="0"/>
            </w:tcBorders>
            <w:vAlign w:val="center"/>
          </w:tcPr>
          <w:p w14:paraId="0AEFECC5">
            <w:pPr>
              <w:widowControl/>
              <w:jc w:val="center"/>
              <w:textAlignment w:val="center"/>
              <w:rPr>
                <w:rFonts w:ascii="Times New Roman" w:hAnsi="Times New Roman" w:eastAsia="仿宋"/>
                <w:sz w:val="18"/>
                <w:szCs w:val="18"/>
              </w:rPr>
            </w:pPr>
            <w:r>
              <w:rPr>
                <w:rFonts w:ascii="Times New Roman" w:hAnsi="Times New Roman" w:eastAsia="仿宋"/>
                <w:sz w:val="18"/>
                <w:szCs w:val="18"/>
              </w:rPr>
              <w:t>2.34</w:t>
            </w:r>
          </w:p>
        </w:tc>
      </w:tr>
      <w:tr w14:paraId="2B9F9D99">
        <w:tblPrEx>
          <w:tblCellMar>
            <w:top w:w="0" w:type="dxa"/>
            <w:left w:w="108" w:type="dxa"/>
            <w:bottom w:w="0" w:type="dxa"/>
            <w:right w:w="108" w:type="dxa"/>
          </w:tblCellMar>
        </w:tblPrEx>
        <w:trPr>
          <w:trHeight w:val="419" w:hRule="atLeast"/>
          <w:jc w:val="center"/>
        </w:trPr>
        <w:tc>
          <w:tcPr>
            <w:tcW w:w="729" w:type="dxa"/>
            <w:vMerge w:val="continue"/>
            <w:tcBorders>
              <w:left w:val="single" w:color="000000" w:sz="4" w:space="0"/>
              <w:right w:val="single" w:color="auto" w:sz="4" w:space="0"/>
            </w:tcBorders>
            <w:shd w:val="clear" w:color="auto" w:fill="auto"/>
            <w:vAlign w:val="center"/>
          </w:tcPr>
          <w:p w14:paraId="2DE864C6">
            <w:pPr>
              <w:widowControl/>
              <w:jc w:val="center"/>
              <w:textAlignment w:val="center"/>
              <w:rPr>
                <w:rFonts w:ascii="Times New Roman" w:hAnsi="Times New Roman" w:eastAsia="仿宋"/>
                <w:sz w:val="18"/>
                <w:szCs w:val="18"/>
              </w:rPr>
            </w:pPr>
          </w:p>
        </w:tc>
        <w:tc>
          <w:tcPr>
            <w:tcW w:w="967" w:type="dxa"/>
            <w:tcBorders>
              <w:top w:val="single" w:color="auto" w:sz="4" w:space="0"/>
              <w:left w:val="single" w:color="auto" w:sz="4" w:space="0"/>
              <w:bottom w:val="single" w:color="auto" w:sz="4" w:space="0"/>
              <w:right w:val="single" w:color="auto" w:sz="4" w:space="0"/>
            </w:tcBorders>
            <w:vAlign w:val="center"/>
          </w:tcPr>
          <w:p w14:paraId="476EC3F7">
            <w:pPr>
              <w:widowControl/>
              <w:jc w:val="center"/>
              <w:textAlignment w:val="center"/>
              <w:rPr>
                <w:rFonts w:ascii="Times New Roman" w:hAnsi="Times New Roman" w:eastAsia="仿宋"/>
                <w:sz w:val="18"/>
                <w:szCs w:val="18"/>
              </w:rPr>
            </w:pPr>
            <w:r>
              <w:rPr>
                <w:rFonts w:hint="eastAsia" w:ascii="Times New Roman" w:hAnsi="Times New Roman" w:eastAsia="仿宋"/>
                <w:sz w:val="18"/>
                <w:szCs w:val="18"/>
              </w:rPr>
              <w:t>4</w:t>
            </w:r>
            <w:r>
              <w:rPr>
                <w:rFonts w:ascii="Times New Roman" w:hAnsi="Times New Roman" w:eastAsia="仿宋"/>
                <w:sz w:val="18"/>
                <w:szCs w:val="18"/>
              </w:rPr>
              <w:t>5min</w:t>
            </w:r>
          </w:p>
        </w:tc>
        <w:tc>
          <w:tcPr>
            <w:tcW w:w="900" w:type="dxa"/>
            <w:tcBorders>
              <w:top w:val="single" w:color="000000" w:sz="4" w:space="0"/>
              <w:left w:val="single" w:color="auto" w:sz="4" w:space="0"/>
              <w:bottom w:val="single" w:color="auto" w:sz="4" w:space="0"/>
              <w:right w:val="single" w:color="000000" w:sz="4" w:space="0"/>
            </w:tcBorders>
            <w:shd w:val="clear" w:color="auto" w:fill="auto"/>
            <w:vAlign w:val="center"/>
          </w:tcPr>
          <w:p w14:paraId="7F60B1DE">
            <w:pPr>
              <w:widowControl/>
              <w:jc w:val="center"/>
              <w:textAlignment w:val="center"/>
              <w:rPr>
                <w:rFonts w:ascii="Times New Roman" w:hAnsi="Times New Roman" w:eastAsia="仿宋"/>
                <w:sz w:val="18"/>
                <w:szCs w:val="18"/>
              </w:rPr>
            </w:pPr>
            <w:r>
              <w:rPr>
                <w:rFonts w:ascii="Times New Roman" w:hAnsi="Times New Roman" w:eastAsia="仿宋"/>
                <w:sz w:val="18"/>
                <w:szCs w:val="18"/>
              </w:rPr>
              <w:t>4.60</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B949B5E">
            <w:pPr>
              <w:widowControl/>
              <w:jc w:val="center"/>
              <w:textAlignment w:val="center"/>
              <w:rPr>
                <w:rFonts w:ascii="Times New Roman" w:hAnsi="Times New Roman" w:eastAsia="仿宋"/>
                <w:sz w:val="18"/>
                <w:szCs w:val="18"/>
              </w:rPr>
            </w:pPr>
            <w:r>
              <w:rPr>
                <w:rFonts w:ascii="Times New Roman" w:hAnsi="Times New Roman" w:eastAsia="仿宋"/>
                <w:sz w:val="18"/>
                <w:szCs w:val="18"/>
              </w:rPr>
              <w:t>0.25</w:t>
            </w:r>
          </w:p>
        </w:tc>
        <w:tc>
          <w:tcPr>
            <w:tcW w:w="851" w:type="dxa"/>
            <w:tcBorders>
              <w:top w:val="single" w:color="000000" w:sz="4" w:space="0"/>
              <w:left w:val="single" w:color="000000" w:sz="4" w:space="0"/>
              <w:bottom w:val="single" w:color="000000" w:sz="4" w:space="0"/>
              <w:right w:val="single" w:color="000000" w:sz="4" w:space="0"/>
            </w:tcBorders>
            <w:vAlign w:val="center"/>
          </w:tcPr>
          <w:p w14:paraId="4F193998">
            <w:pPr>
              <w:widowControl/>
              <w:jc w:val="center"/>
              <w:textAlignment w:val="center"/>
              <w:rPr>
                <w:rFonts w:ascii="Times New Roman" w:hAnsi="Times New Roman" w:eastAsia="仿宋"/>
                <w:sz w:val="18"/>
                <w:szCs w:val="18"/>
              </w:rPr>
            </w:pPr>
            <w:r>
              <w:rPr>
                <w:rFonts w:ascii="Times New Roman" w:hAnsi="Times New Roman" w:eastAsia="仿宋"/>
                <w:sz w:val="18"/>
                <w:szCs w:val="18"/>
              </w:rPr>
              <w:t>5</w:t>
            </w:r>
            <w:r>
              <w:rPr>
                <w:rFonts w:hint="eastAsia" w:ascii="Times New Roman" w:hAnsi="Times New Roman" w:eastAsia="仿宋"/>
                <w:sz w:val="18"/>
                <w:szCs w:val="18"/>
              </w:rPr>
              <w:t>.</w:t>
            </w:r>
            <w:r>
              <w:rPr>
                <w:rFonts w:ascii="Times New Roman" w:hAnsi="Times New Roman" w:eastAsia="仿宋"/>
                <w:sz w:val="18"/>
                <w:szCs w:val="18"/>
              </w:rPr>
              <w:t>44</w:t>
            </w:r>
          </w:p>
        </w:tc>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C34AE5">
            <w:pPr>
              <w:widowControl/>
              <w:jc w:val="center"/>
              <w:textAlignment w:val="center"/>
              <w:rPr>
                <w:rFonts w:ascii="Times New Roman" w:hAnsi="Times New Roman" w:eastAsia="仿宋"/>
                <w:sz w:val="18"/>
                <w:szCs w:val="18"/>
              </w:rPr>
            </w:pPr>
            <w:r>
              <w:rPr>
                <w:rFonts w:ascii="Times New Roman" w:hAnsi="Times New Roman" w:eastAsia="仿宋"/>
                <w:sz w:val="18"/>
                <w:szCs w:val="18"/>
              </w:rPr>
              <w:t>3.92</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01D0265">
            <w:pPr>
              <w:widowControl/>
              <w:jc w:val="center"/>
              <w:textAlignment w:val="center"/>
              <w:rPr>
                <w:rFonts w:ascii="Times New Roman" w:hAnsi="Times New Roman" w:eastAsia="仿宋"/>
                <w:sz w:val="18"/>
                <w:szCs w:val="18"/>
              </w:rPr>
            </w:pPr>
            <w:r>
              <w:rPr>
                <w:rFonts w:ascii="Times New Roman" w:hAnsi="Times New Roman" w:eastAsia="仿宋"/>
                <w:sz w:val="18"/>
                <w:szCs w:val="18"/>
              </w:rPr>
              <w:t>0.24</w:t>
            </w:r>
          </w:p>
        </w:tc>
        <w:tc>
          <w:tcPr>
            <w:tcW w:w="851" w:type="dxa"/>
            <w:tcBorders>
              <w:top w:val="single" w:color="000000" w:sz="4" w:space="0"/>
              <w:left w:val="single" w:color="000000" w:sz="4" w:space="0"/>
              <w:bottom w:val="single" w:color="000000" w:sz="4" w:space="0"/>
              <w:right w:val="single" w:color="000000" w:sz="4" w:space="0"/>
            </w:tcBorders>
            <w:vAlign w:val="center"/>
          </w:tcPr>
          <w:p w14:paraId="73F18FF1">
            <w:pPr>
              <w:widowControl/>
              <w:jc w:val="center"/>
              <w:textAlignment w:val="center"/>
              <w:rPr>
                <w:rFonts w:ascii="Times New Roman" w:hAnsi="Times New Roman" w:eastAsia="仿宋"/>
                <w:sz w:val="18"/>
                <w:szCs w:val="18"/>
              </w:rPr>
            </w:pPr>
            <w:r>
              <w:rPr>
                <w:rFonts w:ascii="Times New Roman" w:hAnsi="Times New Roman" w:eastAsia="仿宋"/>
                <w:sz w:val="18"/>
                <w:szCs w:val="18"/>
              </w:rPr>
              <w:t>2.72</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52BF3AF">
            <w:pPr>
              <w:widowControl/>
              <w:jc w:val="center"/>
              <w:textAlignment w:val="center"/>
              <w:rPr>
                <w:rFonts w:ascii="Times New Roman" w:hAnsi="Times New Roman" w:eastAsia="仿宋"/>
                <w:sz w:val="18"/>
                <w:szCs w:val="18"/>
              </w:rPr>
            </w:pPr>
            <w:r>
              <w:rPr>
                <w:rFonts w:ascii="Times New Roman" w:hAnsi="Times New Roman" w:eastAsia="仿宋"/>
                <w:sz w:val="18"/>
                <w:szCs w:val="18"/>
              </w:rPr>
              <w:t>3.67</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2304E6D">
            <w:pPr>
              <w:widowControl/>
              <w:jc w:val="center"/>
              <w:textAlignment w:val="center"/>
              <w:rPr>
                <w:rFonts w:ascii="Times New Roman" w:hAnsi="Times New Roman" w:eastAsia="仿宋"/>
                <w:sz w:val="18"/>
                <w:szCs w:val="18"/>
              </w:rPr>
            </w:pPr>
            <w:r>
              <w:rPr>
                <w:rFonts w:ascii="Times New Roman" w:hAnsi="Times New Roman" w:eastAsia="仿宋"/>
                <w:sz w:val="18"/>
                <w:szCs w:val="18"/>
              </w:rPr>
              <w:t>0.47</w:t>
            </w:r>
          </w:p>
        </w:tc>
        <w:tc>
          <w:tcPr>
            <w:tcW w:w="850" w:type="dxa"/>
            <w:tcBorders>
              <w:top w:val="single" w:color="000000" w:sz="4" w:space="0"/>
              <w:left w:val="single" w:color="000000" w:sz="4" w:space="0"/>
              <w:bottom w:val="single" w:color="000000" w:sz="4" w:space="0"/>
              <w:right w:val="single" w:color="000000" w:sz="4" w:space="0"/>
            </w:tcBorders>
            <w:vAlign w:val="center"/>
          </w:tcPr>
          <w:p w14:paraId="223D7AE0">
            <w:pPr>
              <w:widowControl/>
              <w:jc w:val="center"/>
              <w:textAlignment w:val="center"/>
              <w:rPr>
                <w:rFonts w:ascii="Times New Roman" w:hAnsi="Times New Roman" w:eastAsia="仿宋"/>
                <w:sz w:val="18"/>
                <w:szCs w:val="18"/>
              </w:rPr>
            </w:pPr>
            <w:r>
              <w:rPr>
                <w:rFonts w:ascii="Times New Roman" w:hAnsi="Times New Roman" w:eastAsia="仿宋"/>
                <w:sz w:val="18"/>
                <w:szCs w:val="18"/>
              </w:rPr>
              <w:t>5.59</w:t>
            </w:r>
          </w:p>
        </w:tc>
      </w:tr>
      <w:tr w14:paraId="4D6817CC">
        <w:tblPrEx>
          <w:tblCellMar>
            <w:top w:w="0" w:type="dxa"/>
            <w:left w:w="108" w:type="dxa"/>
            <w:bottom w:w="0" w:type="dxa"/>
            <w:right w:w="108" w:type="dxa"/>
          </w:tblCellMar>
        </w:tblPrEx>
        <w:trPr>
          <w:trHeight w:val="425" w:hRule="atLeast"/>
          <w:jc w:val="center"/>
        </w:trPr>
        <w:tc>
          <w:tcPr>
            <w:tcW w:w="729" w:type="dxa"/>
            <w:vMerge w:val="continue"/>
            <w:tcBorders>
              <w:left w:val="single" w:color="000000" w:sz="4" w:space="0"/>
              <w:bottom w:val="single" w:color="000000" w:sz="4" w:space="0"/>
              <w:right w:val="single" w:color="auto" w:sz="4" w:space="0"/>
            </w:tcBorders>
            <w:shd w:val="clear" w:color="auto" w:fill="auto"/>
            <w:vAlign w:val="center"/>
          </w:tcPr>
          <w:p w14:paraId="088043CB">
            <w:pPr>
              <w:widowControl/>
              <w:jc w:val="center"/>
              <w:textAlignment w:val="center"/>
              <w:rPr>
                <w:rFonts w:ascii="Times New Roman" w:hAnsi="Times New Roman" w:eastAsia="仿宋"/>
                <w:sz w:val="18"/>
                <w:szCs w:val="18"/>
              </w:rPr>
            </w:pPr>
          </w:p>
        </w:tc>
        <w:tc>
          <w:tcPr>
            <w:tcW w:w="967" w:type="dxa"/>
            <w:tcBorders>
              <w:top w:val="single" w:color="auto" w:sz="4" w:space="0"/>
              <w:left w:val="single" w:color="auto" w:sz="4" w:space="0"/>
              <w:bottom w:val="single" w:color="auto" w:sz="4" w:space="0"/>
              <w:right w:val="single" w:color="auto" w:sz="4" w:space="0"/>
            </w:tcBorders>
            <w:vAlign w:val="center"/>
          </w:tcPr>
          <w:p w14:paraId="3BB57EEA">
            <w:pPr>
              <w:widowControl/>
              <w:jc w:val="center"/>
              <w:textAlignment w:val="center"/>
              <w:rPr>
                <w:rFonts w:ascii="Times New Roman" w:hAnsi="Times New Roman" w:eastAsia="仿宋"/>
                <w:sz w:val="18"/>
                <w:szCs w:val="18"/>
              </w:rPr>
            </w:pPr>
            <w:r>
              <w:rPr>
                <w:rFonts w:ascii="Times New Roman" w:hAnsi="Times New Roman" w:eastAsia="仿宋"/>
                <w:sz w:val="18"/>
                <w:szCs w:val="18"/>
              </w:rPr>
              <w:t>90min</w:t>
            </w:r>
          </w:p>
        </w:tc>
        <w:tc>
          <w:tcPr>
            <w:tcW w:w="900" w:type="dxa"/>
            <w:tcBorders>
              <w:top w:val="single" w:color="000000" w:sz="4" w:space="0"/>
              <w:left w:val="single" w:color="auto" w:sz="4" w:space="0"/>
              <w:bottom w:val="single" w:color="auto" w:sz="4" w:space="0"/>
              <w:right w:val="single" w:color="000000" w:sz="4" w:space="0"/>
            </w:tcBorders>
            <w:shd w:val="clear" w:color="auto" w:fill="auto"/>
            <w:vAlign w:val="center"/>
          </w:tcPr>
          <w:p w14:paraId="3CD2AB61">
            <w:pPr>
              <w:widowControl/>
              <w:jc w:val="center"/>
              <w:textAlignment w:val="center"/>
              <w:rPr>
                <w:rFonts w:ascii="Times New Roman" w:hAnsi="Times New Roman" w:eastAsia="仿宋"/>
                <w:sz w:val="18"/>
                <w:szCs w:val="18"/>
              </w:rPr>
            </w:pPr>
            <w:r>
              <w:rPr>
                <w:rFonts w:ascii="Times New Roman" w:hAnsi="Times New Roman" w:eastAsia="仿宋"/>
                <w:sz w:val="18"/>
                <w:szCs w:val="18"/>
              </w:rPr>
              <w:t>1.58</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9056FF1">
            <w:pPr>
              <w:widowControl/>
              <w:jc w:val="center"/>
              <w:textAlignment w:val="center"/>
              <w:rPr>
                <w:rFonts w:ascii="Times New Roman" w:hAnsi="Times New Roman" w:eastAsia="仿宋"/>
                <w:sz w:val="18"/>
                <w:szCs w:val="18"/>
              </w:rPr>
            </w:pPr>
            <w:r>
              <w:rPr>
                <w:rFonts w:ascii="Times New Roman" w:hAnsi="Times New Roman" w:eastAsia="仿宋"/>
                <w:sz w:val="18"/>
                <w:szCs w:val="18"/>
              </w:rPr>
              <w:t>0.31</w:t>
            </w:r>
          </w:p>
        </w:tc>
        <w:tc>
          <w:tcPr>
            <w:tcW w:w="851" w:type="dxa"/>
            <w:tcBorders>
              <w:top w:val="single" w:color="000000" w:sz="4" w:space="0"/>
              <w:left w:val="single" w:color="000000" w:sz="4" w:space="0"/>
              <w:bottom w:val="single" w:color="000000" w:sz="4" w:space="0"/>
              <w:right w:val="single" w:color="000000" w:sz="4" w:space="0"/>
            </w:tcBorders>
            <w:vAlign w:val="center"/>
          </w:tcPr>
          <w:p w14:paraId="60A46A3C">
            <w:pPr>
              <w:widowControl/>
              <w:jc w:val="center"/>
              <w:textAlignment w:val="center"/>
              <w:rPr>
                <w:rFonts w:ascii="Times New Roman" w:hAnsi="Times New Roman" w:eastAsia="仿宋"/>
                <w:sz w:val="18"/>
                <w:szCs w:val="18"/>
              </w:rPr>
            </w:pPr>
            <w:r>
              <w:rPr>
                <w:rFonts w:ascii="Times New Roman" w:hAnsi="Times New Roman" w:eastAsia="仿宋"/>
                <w:sz w:val="18"/>
                <w:szCs w:val="18"/>
              </w:rPr>
              <w:t>19.47</w:t>
            </w:r>
          </w:p>
        </w:tc>
        <w:tc>
          <w:tcPr>
            <w:tcW w:w="83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E8C590A">
            <w:pPr>
              <w:widowControl/>
              <w:jc w:val="center"/>
              <w:textAlignment w:val="center"/>
              <w:rPr>
                <w:rFonts w:ascii="Times New Roman" w:hAnsi="Times New Roman" w:eastAsia="仿宋"/>
                <w:sz w:val="18"/>
                <w:szCs w:val="18"/>
              </w:rPr>
            </w:pPr>
            <w:r>
              <w:rPr>
                <w:rFonts w:ascii="Times New Roman" w:hAnsi="Times New Roman" w:eastAsia="仿宋"/>
                <w:sz w:val="18"/>
                <w:szCs w:val="18"/>
              </w:rPr>
              <w:t>1.93</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94094ED">
            <w:pPr>
              <w:widowControl/>
              <w:jc w:val="center"/>
              <w:textAlignment w:val="center"/>
              <w:rPr>
                <w:rFonts w:ascii="Times New Roman" w:hAnsi="Times New Roman" w:eastAsia="仿宋"/>
                <w:sz w:val="18"/>
                <w:szCs w:val="18"/>
              </w:rPr>
            </w:pPr>
            <w:r>
              <w:rPr>
                <w:rFonts w:ascii="Times New Roman" w:hAnsi="Times New Roman" w:eastAsia="仿宋"/>
                <w:sz w:val="18"/>
                <w:szCs w:val="18"/>
              </w:rPr>
              <w:t>0.38</w:t>
            </w:r>
          </w:p>
        </w:tc>
        <w:tc>
          <w:tcPr>
            <w:tcW w:w="851" w:type="dxa"/>
            <w:tcBorders>
              <w:top w:val="single" w:color="000000" w:sz="4" w:space="0"/>
              <w:left w:val="single" w:color="000000" w:sz="4" w:space="0"/>
              <w:bottom w:val="single" w:color="000000" w:sz="4" w:space="0"/>
              <w:right w:val="single" w:color="000000" w:sz="4" w:space="0"/>
            </w:tcBorders>
            <w:vAlign w:val="center"/>
          </w:tcPr>
          <w:p w14:paraId="0D9DF5BB">
            <w:pPr>
              <w:widowControl/>
              <w:jc w:val="center"/>
              <w:textAlignment w:val="center"/>
              <w:rPr>
                <w:rFonts w:ascii="Times New Roman" w:hAnsi="Times New Roman" w:eastAsia="仿宋"/>
                <w:sz w:val="18"/>
                <w:szCs w:val="18"/>
              </w:rPr>
            </w:pPr>
            <w:r>
              <w:rPr>
                <w:rFonts w:ascii="Times New Roman" w:hAnsi="Times New Roman" w:eastAsia="仿宋"/>
                <w:sz w:val="18"/>
                <w:szCs w:val="18"/>
              </w:rPr>
              <w:t>10.54</w:t>
            </w:r>
          </w:p>
        </w:tc>
        <w:tc>
          <w:tcPr>
            <w:tcW w:w="850" w:type="dxa"/>
            <w:tcBorders>
              <w:top w:val="single" w:color="000000" w:sz="4" w:space="0"/>
              <w:left w:val="single" w:color="000000" w:sz="4" w:space="0"/>
              <w:bottom w:val="single" w:color="000000" w:sz="4" w:space="0"/>
              <w:right w:val="single" w:color="000000" w:sz="4" w:space="0"/>
            </w:tcBorders>
            <w:shd w:val="clear" w:color="auto" w:fill="auto"/>
            <w:vAlign w:val="center"/>
          </w:tcPr>
          <w:p w14:paraId="7FE8D228">
            <w:pPr>
              <w:widowControl/>
              <w:jc w:val="center"/>
              <w:textAlignment w:val="center"/>
              <w:rPr>
                <w:rFonts w:ascii="Times New Roman" w:hAnsi="Times New Roman" w:eastAsia="仿宋"/>
                <w:sz w:val="18"/>
                <w:szCs w:val="18"/>
              </w:rPr>
            </w:pPr>
            <w:r>
              <w:rPr>
                <w:rFonts w:ascii="Times New Roman" w:hAnsi="Times New Roman" w:eastAsia="仿宋"/>
                <w:sz w:val="18"/>
                <w:szCs w:val="18"/>
              </w:rPr>
              <w:t>1.90</w:t>
            </w:r>
          </w:p>
        </w:tc>
        <w:tc>
          <w:tcPr>
            <w:tcW w:w="851"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1D356D2">
            <w:pPr>
              <w:widowControl/>
              <w:jc w:val="center"/>
              <w:textAlignment w:val="center"/>
              <w:rPr>
                <w:rFonts w:ascii="Times New Roman" w:hAnsi="Times New Roman" w:eastAsia="仿宋"/>
                <w:sz w:val="18"/>
                <w:szCs w:val="18"/>
              </w:rPr>
            </w:pPr>
            <w:r>
              <w:rPr>
                <w:rFonts w:ascii="Times New Roman" w:hAnsi="Times New Roman" w:eastAsia="仿宋"/>
                <w:sz w:val="18"/>
                <w:szCs w:val="18"/>
              </w:rPr>
              <w:t>0.26</w:t>
            </w:r>
          </w:p>
        </w:tc>
        <w:tc>
          <w:tcPr>
            <w:tcW w:w="850" w:type="dxa"/>
            <w:tcBorders>
              <w:top w:val="single" w:color="000000" w:sz="4" w:space="0"/>
              <w:left w:val="single" w:color="000000" w:sz="4" w:space="0"/>
              <w:bottom w:val="single" w:color="000000" w:sz="4" w:space="0"/>
              <w:right w:val="single" w:color="000000" w:sz="4" w:space="0"/>
            </w:tcBorders>
            <w:vAlign w:val="center"/>
          </w:tcPr>
          <w:p w14:paraId="43B68DBB">
            <w:pPr>
              <w:widowControl/>
              <w:jc w:val="center"/>
              <w:textAlignment w:val="center"/>
              <w:rPr>
                <w:rFonts w:ascii="Times New Roman" w:hAnsi="Times New Roman" w:eastAsia="仿宋"/>
                <w:sz w:val="18"/>
                <w:szCs w:val="18"/>
              </w:rPr>
            </w:pPr>
            <w:r>
              <w:rPr>
                <w:rFonts w:ascii="Times New Roman" w:hAnsi="Times New Roman" w:eastAsia="仿宋"/>
                <w:sz w:val="18"/>
                <w:szCs w:val="18"/>
              </w:rPr>
              <w:t>5.60</w:t>
            </w:r>
          </w:p>
        </w:tc>
      </w:tr>
    </w:tbl>
    <w:p w14:paraId="4AE53616">
      <w:pPr>
        <w:pStyle w:val="17"/>
        <w:ind w:firstLine="420"/>
        <w:rPr>
          <w:rFonts w:ascii="仿宋" w:hAnsi="仿宋" w:eastAsia="仿宋" w:cs="仿宋"/>
          <w:bCs/>
          <w:kern w:val="0"/>
          <w:sz w:val="21"/>
          <w:szCs w:val="21"/>
          <w:lang w:val="en-US"/>
        </w:rPr>
      </w:pPr>
      <w:r>
        <w:rPr>
          <w:rFonts w:hint="eastAsia" w:ascii="仿宋" w:hAnsi="仿宋" w:eastAsia="仿宋" w:cs="仿宋"/>
          <w:bCs/>
          <w:kern w:val="0"/>
          <w:sz w:val="21"/>
          <w:szCs w:val="21"/>
          <w:lang w:val="en-US"/>
        </w:rPr>
        <w:t>依据《儿童清洁化妆品开发中眼刺激性评估方法</w:t>
      </w:r>
      <w:r>
        <w:rPr>
          <w:rFonts w:ascii="仿宋" w:hAnsi="仿宋" w:eastAsia="仿宋" w:cs="仿宋"/>
          <w:bCs/>
          <w:kern w:val="0"/>
          <w:sz w:val="21"/>
          <w:szCs w:val="21"/>
          <w:lang w:val="en-US"/>
        </w:rPr>
        <w:t xml:space="preserve"> 红细胞溶血测试和重组人角膜上皮模型测试》</w:t>
      </w:r>
      <w:r>
        <w:rPr>
          <w:rFonts w:hint="eastAsia" w:ascii="仿宋" w:hAnsi="仿宋" w:eastAsia="仿宋" w:cs="仿宋"/>
          <w:bCs/>
          <w:kern w:val="0"/>
          <w:sz w:val="21"/>
          <w:szCs w:val="21"/>
          <w:lang w:val="en-US"/>
        </w:rPr>
        <w:t>团体标准中的重组人角膜上皮模型测试方法步骤，三家测试单位不同批次测试三次实验结果相当，儿童慕斯样品1和样品2检测</w:t>
      </w:r>
      <w:r>
        <w:rPr>
          <w:rFonts w:ascii="仿宋" w:hAnsi="仿宋" w:eastAsia="仿宋" w:cs="仿宋"/>
          <w:bCs/>
          <w:kern w:val="0"/>
          <w:sz w:val="21"/>
          <w:szCs w:val="21"/>
          <w:lang w:val="en-US"/>
        </w:rPr>
        <w:t>结果在误差范围内，稳定性良好。</w:t>
      </w:r>
    </w:p>
    <w:p w14:paraId="4B8534C5">
      <w:pPr>
        <w:pStyle w:val="17"/>
        <w:numPr>
          <w:ilvl w:val="255"/>
          <w:numId w:val="0"/>
        </w:numPr>
        <w:spacing w:line="360" w:lineRule="auto"/>
        <w:ind w:firstLine="420" w:firstLineChars="200"/>
        <w:jc w:val="both"/>
        <w:rPr>
          <w:rFonts w:ascii="仿宋" w:hAnsi="仿宋" w:eastAsia="仿宋" w:cs="仿宋"/>
          <w:bCs/>
          <w:kern w:val="0"/>
          <w:sz w:val="21"/>
          <w:szCs w:val="21"/>
          <w:lang w:val="en-US"/>
        </w:rPr>
      </w:pPr>
      <w:r>
        <w:rPr>
          <w:rFonts w:hint="eastAsia" w:ascii="仿宋" w:hAnsi="仿宋" w:eastAsia="仿宋" w:cs="仿宋"/>
          <w:bCs/>
          <w:kern w:val="0"/>
          <w:sz w:val="21"/>
          <w:szCs w:val="21"/>
          <w:lang w:val="en-US"/>
        </w:rPr>
        <w:t>红细胞溶血实验与动物实验相关性验证：</w:t>
      </w:r>
    </w:p>
    <w:tbl>
      <w:tblPr>
        <w:tblStyle w:val="11"/>
        <w:tblW w:w="8642" w:type="dxa"/>
        <w:jc w:val="center"/>
        <w:tblLayout w:type="fixed"/>
        <w:tblCellMar>
          <w:top w:w="0" w:type="dxa"/>
          <w:left w:w="108" w:type="dxa"/>
          <w:bottom w:w="0" w:type="dxa"/>
          <w:right w:w="108" w:type="dxa"/>
        </w:tblCellMar>
      </w:tblPr>
      <w:tblGrid>
        <w:gridCol w:w="2977"/>
        <w:gridCol w:w="1134"/>
        <w:gridCol w:w="993"/>
        <w:gridCol w:w="1270"/>
        <w:gridCol w:w="2268"/>
      </w:tblGrid>
      <w:tr w14:paraId="3F017865">
        <w:tblPrEx>
          <w:tblCellMar>
            <w:top w:w="0" w:type="dxa"/>
            <w:left w:w="108" w:type="dxa"/>
            <w:bottom w:w="0" w:type="dxa"/>
            <w:right w:w="108" w:type="dxa"/>
          </w:tblCellMar>
        </w:tblPrEx>
        <w:trPr>
          <w:trHeight w:val="266" w:hRule="atLeast"/>
          <w:jc w:val="center"/>
        </w:trPr>
        <w:tc>
          <w:tcPr>
            <w:tcW w:w="29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293F210">
            <w:pPr>
              <w:widowControl/>
              <w:jc w:val="center"/>
              <w:textAlignment w:val="center"/>
              <w:rPr>
                <w:rFonts w:ascii="仿宋" w:hAnsi="仿宋" w:eastAsia="仿宋" w:cs="仿宋"/>
                <w:kern w:val="0"/>
                <w:sz w:val="18"/>
                <w:szCs w:val="18"/>
                <w:lang w:bidi="ar"/>
              </w:rPr>
            </w:pPr>
            <w:r>
              <w:rPr>
                <w:rFonts w:hint="eastAsia" w:ascii="仿宋" w:hAnsi="仿宋" w:eastAsia="仿宋" w:cs="仿宋"/>
                <w:kern w:val="0"/>
                <w:sz w:val="18"/>
                <w:szCs w:val="18"/>
                <w:lang w:bidi="ar"/>
              </w:rPr>
              <w:t>测试方法</w:t>
            </w:r>
          </w:p>
        </w:tc>
        <w:tc>
          <w:tcPr>
            <w:tcW w:w="3397" w:type="dxa"/>
            <w:gridSpan w:val="3"/>
            <w:tcBorders>
              <w:top w:val="single" w:color="000000" w:sz="4" w:space="0"/>
              <w:left w:val="single" w:color="000000" w:sz="4" w:space="0"/>
              <w:bottom w:val="single" w:color="000000" w:sz="4" w:space="0"/>
              <w:right w:val="single" w:color="000000" w:sz="4" w:space="0"/>
            </w:tcBorders>
            <w:shd w:val="clear" w:color="auto" w:fill="auto"/>
            <w:vAlign w:val="center"/>
          </w:tcPr>
          <w:p w14:paraId="20BA01F1">
            <w:pPr>
              <w:widowControl/>
              <w:jc w:val="center"/>
              <w:textAlignment w:val="center"/>
              <w:rPr>
                <w:rFonts w:ascii="Times New Roman" w:hAnsi="Times New Roman" w:eastAsia="仿宋"/>
                <w:sz w:val="18"/>
                <w:szCs w:val="18"/>
              </w:rPr>
            </w:pPr>
            <w:r>
              <w:rPr>
                <w:rFonts w:hint="eastAsia" w:ascii="仿宋" w:hAnsi="仿宋" w:eastAsia="仿宋" w:cs="仿宋"/>
                <w:kern w:val="0"/>
                <w:sz w:val="18"/>
                <w:szCs w:val="18"/>
                <w:lang w:bidi="ar"/>
              </w:rPr>
              <w:t>红细胞溶血测试</w:t>
            </w:r>
          </w:p>
        </w:tc>
        <w:tc>
          <w:tcPr>
            <w:tcW w:w="2268" w:type="dxa"/>
            <w:tcBorders>
              <w:top w:val="single" w:color="000000" w:sz="4" w:space="0"/>
              <w:left w:val="single" w:color="000000" w:sz="4" w:space="0"/>
              <w:bottom w:val="single" w:color="000000" w:sz="4" w:space="0"/>
              <w:right w:val="single" w:color="000000" w:sz="4" w:space="0"/>
            </w:tcBorders>
          </w:tcPr>
          <w:p w14:paraId="515BD690">
            <w:pPr>
              <w:widowControl/>
              <w:jc w:val="center"/>
              <w:textAlignment w:val="center"/>
              <w:rPr>
                <w:rFonts w:hint="eastAsia" w:ascii="仿宋" w:hAnsi="仿宋" w:eastAsia="仿宋" w:cs="仿宋"/>
                <w:kern w:val="0"/>
                <w:sz w:val="18"/>
                <w:szCs w:val="18"/>
                <w:lang w:bidi="ar"/>
              </w:rPr>
            </w:pPr>
            <w:r>
              <w:rPr>
                <w:rFonts w:hint="eastAsia" w:ascii="仿宋" w:hAnsi="仿宋" w:eastAsia="仿宋" w:cs="仿宋"/>
                <w:kern w:val="0"/>
                <w:sz w:val="18"/>
                <w:szCs w:val="18"/>
                <w:lang w:bidi="ar"/>
              </w:rPr>
              <w:t>兔眼刺激性测试</w:t>
            </w:r>
          </w:p>
        </w:tc>
      </w:tr>
      <w:tr w14:paraId="16AEF545">
        <w:tblPrEx>
          <w:tblCellMar>
            <w:top w:w="0" w:type="dxa"/>
            <w:left w:w="108" w:type="dxa"/>
            <w:bottom w:w="0" w:type="dxa"/>
            <w:right w:w="108" w:type="dxa"/>
          </w:tblCellMar>
        </w:tblPrEx>
        <w:trPr>
          <w:trHeight w:val="266" w:hRule="atLeast"/>
          <w:jc w:val="center"/>
        </w:trPr>
        <w:tc>
          <w:tcPr>
            <w:tcW w:w="2977" w:type="dxa"/>
            <w:tcBorders>
              <w:top w:val="single" w:color="000000" w:sz="4" w:space="0"/>
              <w:left w:val="single" w:color="000000" w:sz="4" w:space="0"/>
              <w:bottom w:val="single" w:color="000000" w:sz="4" w:space="0"/>
              <w:right w:val="single" w:color="000000" w:sz="4" w:space="0"/>
            </w:tcBorders>
            <w:shd w:val="clear" w:color="auto" w:fill="auto"/>
            <w:vAlign w:val="center"/>
          </w:tcPr>
          <w:p w14:paraId="3316AFA9">
            <w:pPr>
              <w:widowControl/>
              <w:jc w:val="center"/>
              <w:textAlignment w:val="center"/>
              <w:rPr>
                <w:rFonts w:hint="eastAsia" w:ascii="Times New Roman" w:hAnsi="Times New Roman" w:eastAsia="仿宋"/>
                <w:sz w:val="18"/>
                <w:szCs w:val="18"/>
              </w:rPr>
            </w:pPr>
            <w:r>
              <w:rPr>
                <w:rFonts w:hint="eastAsia" w:ascii="仿宋" w:hAnsi="仿宋" w:eastAsia="仿宋" w:cs="仿宋"/>
                <w:kern w:val="0"/>
                <w:sz w:val="18"/>
                <w:szCs w:val="18"/>
                <w:lang w:bidi="ar"/>
              </w:rPr>
              <w:t>测试样品</w:t>
            </w:r>
          </w:p>
        </w:tc>
        <w:tc>
          <w:tcPr>
            <w:tcW w:w="1134"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5DC3E9">
            <w:pPr>
              <w:widowControl/>
              <w:jc w:val="center"/>
              <w:rPr>
                <w:rFonts w:ascii="宋体" w:hAnsi="宋体" w:eastAsia="宋体" w:cs="宋体"/>
                <w:kern w:val="0"/>
                <w:sz w:val="18"/>
                <w:szCs w:val="18"/>
              </w:rPr>
            </w:pPr>
            <w:r>
              <w:rPr>
                <w:rFonts w:hint="eastAsia" w:ascii="宋体" w:hAnsi="宋体" w:eastAsia="宋体" w:cs="宋体"/>
                <w:kern w:val="0"/>
                <w:sz w:val="18"/>
                <w:szCs w:val="18"/>
              </w:rPr>
              <w:t>测试结果</w:t>
            </w:r>
          </w:p>
        </w:tc>
        <w:tc>
          <w:tcPr>
            <w:tcW w:w="993"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0316923">
            <w:pPr>
              <w:widowControl/>
              <w:jc w:val="center"/>
              <w:textAlignment w:val="center"/>
              <w:rPr>
                <w:rFonts w:ascii="Times New Roman" w:hAnsi="Times New Roman" w:eastAsia="仿宋"/>
                <w:kern w:val="0"/>
                <w:sz w:val="18"/>
                <w:szCs w:val="18"/>
                <w:lang w:bidi="ar"/>
              </w:rPr>
            </w:pPr>
            <w:r>
              <w:rPr>
                <w:rFonts w:hint="eastAsia" w:ascii="仿宋" w:hAnsi="仿宋" w:eastAsia="仿宋" w:cs="仿宋"/>
                <w:kern w:val="0"/>
                <w:sz w:val="18"/>
                <w:szCs w:val="18"/>
                <w:lang w:bidi="ar"/>
              </w:rPr>
              <w:t>平均值</w:t>
            </w:r>
          </w:p>
        </w:tc>
        <w:tc>
          <w:tcPr>
            <w:tcW w:w="1270" w:type="dxa"/>
            <w:tcBorders>
              <w:top w:val="single" w:color="000000" w:sz="4" w:space="0"/>
              <w:left w:val="single" w:color="000000" w:sz="4" w:space="0"/>
              <w:bottom w:val="single" w:color="000000" w:sz="4" w:space="0"/>
              <w:right w:val="single" w:color="000000" w:sz="4" w:space="0"/>
            </w:tcBorders>
            <w:vAlign w:val="center"/>
          </w:tcPr>
          <w:p w14:paraId="529B0CA0">
            <w:pPr>
              <w:pStyle w:val="17"/>
              <w:spacing w:line="240" w:lineRule="auto"/>
              <w:ind w:firstLine="0" w:firstLineChars="0"/>
              <w:jc w:val="center"/>
              <w:rPr>
                <w:rFonts w:eastAsia="仿宋"/>
                <w:kern w:val="0"/>
                <w:sz w:val="18"/>
                <w:szCs w:val="18"/>
                <w:lang w:bidi="ar"/>
              </w:rPr>
            </w:pPr>
            <w:r>
              <w:rPr>
                <w:rFonts w:hint="eastAsia" w:eastAsia="仿宋"/>
                <w:kern w:val="0"/>
                <w:sz w:val="18"/>
                <w:szCs w:val="18"/>
                <w:lang w:bidi="ar"/>
              </w:rPr>
              <w:t>结果判定</w:t>
            </w:r>
          </w:p>
        </w:tc>
        <w:tc>
          <w:tcPr>
            <w:tcW w:w="2268" w:type="dxa"/>
            <w:tcBorders>
              <w:top w:val="single" w:color="000000" w:sz="4" w:space="0"/>
              <w:left w:val="single" w:color="000000" w:sz="4" w:space="0"/>
              <w:bottom w:val="single" w:color="000000" w:sz="4" w:space="0"/>
              <w:right w:val="single" w:color="000000" w:sz="4" w:space="0"/>
            </w:tcBorders>
          </w:tcPr>
          <w:p w14:paraId="6B636171">
            <w:pPr>
              <w:widowControl/>
              <w:jc w:val="center"/>
              <w:textAlignment w:val="center"/>
              <w:rPr>
                <w:rFonts w:hint="eastAsia" w:ascii="Times New Roman" w:hAnsi="Times New Roman" w:eastAsia="仿宋"/>
                <w:kern w:val="0"/>
                <w:sz w:val="18"/>
                <w:szCs w:val="18"/>
                <w:lang w:bidi="ar"/>
              </w:rPr>
            </w:pPr>
            <w:r>
              <w:rPr>
                <w:rFonts w:hint="eastAsia" w:ascii="Times New Roman" w:hAnsi="Times New Roman" w:eastAsia="仿宋"/>
                <w:kern w:val="0"/>
                <w:sz w:val="18"/>
                <w:szCs w:val="18"/>
                <w:lang w:bidi="ar"/>
              </w:rPr>
              <w:t>测试结果判断</w:t>
            </w:r>
          </w:p>
        </w:tc>
      </w:tr>
      <w:tr w14:paraId="6ACB9A79">
        <w:tblPrEx>
          <w:tblCellMar>
            <w:top w:w="0" w:type="dxa"/>
            <w:left w:w="108" w:type="dxa"/>
            <w:bottom w:w="0" w:type="dxa"/>
            <w:right w:w="108" w:type="dxa"/>
          </w:tblCellMar>
        </w:tblPrEx>
        <w:trPr>
          <w:trHeight w:val="313" w:hRule="atLeast"/>
          <w:jc w:val="center"/>
        </w:trPr>
        <w:tc>
          <w:tcPr>
            <w:tcW w:w="2977" w:type="dxa"/>
            <w:vMerge w:val="restart"/>
            <w:tcBorders>
              <w:top w:val="single" w:color="000000" w:sz="4" w:space="0"/>
              <w:left w:val="single" w:color="000000" w:sz="4" w:space="0"/>
              <w:right w:val="single" w:color="auto" w:sz="4" w:space="0"/>
            </w:tcBorders>
            <w:shd w:val="clear" w:color="auto" w:fill="auto"/>
            <w:vAlign w:val="center"/>
          </w:tcPr>
          <w:p w14:paraId="2A134B12">
            <w:pPr>
              <w:widowControl/>
              <w:jc w:val="center"/>
              <w:textAlignment w:val="center"/>
              <w:rPr>
                <w:rFonts w:hint="eastAsia" w:ascii="Times New Roman" w:hAnsi="Times New Roman" w:eastAsia="仿宋"/>
                <w:sz w:val="18"/>
                <w:szCs w:val="18"/>
              </w:rPr>
            </w:pPr>
            <w:r>
              <w:rPr>
                <w:rFonts w:hint="eastAsia" w:ascii="Times New Roman" w:hAnsi="Times New Roman" w:eastAsia="仿宋"/>
                <w:sz w:val="18"/>
                <w:szCs w:val="18"/>
              </w:rPr>
              <w:t>大水滴保湿净肤洁面慕斯</w:t>
            </w:r>
          </w:p>
        </w:tc>
        <w:tc>
          <w:tcPr>
            <w:tcW w:w="1134" w:type="dxa"/>
            <w:tcBorders>
              <w:top w:val="single" w:color="000000" w:sz="4" w:space="0"/>
              <w:left w:val="single" w:color="auto" w:sz="4" w:space="0"/>
              <w:bottom w:val="single" w:color="000000" w:sz="4" w:space="0"/>
              <w:right w:val="single" w:color="000000" w:sz="4" w:space="0"/>
            </w:tcBorders>
            <w:shd w:val="clear" w:color="auto" w:fill="auto"/>
          </w:tcPr>
          <w:p w14:paraId="4133B6B3">
            <w:pPr>
              <w:widowControl/>
              <w:jc w:val="center"/>
              <w:textAlignment w:val="center"/>
              <w:rPr>
                <w:rFonts w:ascii="Times New Roman" w:hAnsi="Times New Roman" w:eastAsia="仿宋"/>
                <w:sz w:val="18"/>
                <w:szCs w:val="18"/>
              </w:rPr>
            </w:pPr>
            <w:r>
              <w:rPr>
                <w:rFonts w:ascii="Times New Roman" w:hAnsi="Times New Roman" w:eastAsia="仿宋"/>
                <w:sz w:val="18"/>
                <w:szCs w:val="18"/>
              </w:rPr>
              <w:t>2240.23</w:t>
            </w:r>
          </w:p>
        </w:tc>
        <w:tc>
          <w:tcPr>
            <w:tcW w:w="993" w:type="dxa"/>
            <w:vMerge w:val="restart"/>
            <w:tcBorders>
              <w:top w:val="single" w:color="000000" w:sz="4" w:space="0"/>
              <w:left w:val="single" w:color="000000" w:sz="4" w:space="0"/>
              <w:right w:val="single" w:color="000000" w:sz="4" w:space="0"/>
            </w:tcBorders>
            <w:shd w:val="clear" w:color="auto" w:fill="auto"/>
            <w:vAlign w:val="center"/>
          </w:tcPr>
          <w:p w14:paraId="77F4BD9A">
            <w:pPr>
              <w:widowControl/>
              <w:jc w:val="center"/>
              <w:textAlignment w:val="center"/>
              <w:rPr>
                <w:rFonts w:hint="eastAsia" w:ascii="Times New Roman" w:hAnsi="Times New Roman" w:eastAsia="仿宋"/>
                <w:sz w:val="18"/>
                <w:szCs w:val="18"/>
              </w:rPr>
            </w:pPr>
            <w:r>
              <w:rPr>
                <w:rFonts w:ascii="Times New Roman" w:hAnsi="Times New Roman" w:eastAsia="仿宋"/>
                <w:sz w:val="18"/>
                <w:szCs w:val="18"/>
              </w:rPr>
              <w:t>2277.83</w:t>
            </w:r>
          </w:p>
        </w:tc>
        <w:tc>
          <w:tcPr>
            <w:tcW w:w="1270" w:type="dxa"/>
            <w:vMerge w:val="restart"/>
            <w:tcBorders>
              <w:top w:val="single" w:color="000000" w:sz="4" w:space="0"/>
              <w:left w:val="single" w:color="000000" w:sz="4" w:space="0"/>
              <w:right w:val="single" w:color="000000" w:sz="4" w:space="0"/>
            </w:tcBorders>
            <w:vAlign w:val="center"/>
          </w:tcPr>
          <w:p w14:paraId="031AAF37">
            <w:pPr>
              <w:widowControl/>
              <w:jc w:val="center"/>
              <w:textAlignment w:val="center"/>
              <w:rPr>
                <w:rFonts w:hint="eastAsia" w:ascii="Times New Roman" w:hAnsi="Times New Roman" w:eastAsia="仿宋"/>
                <w:sz w:val="18"/>
                <w:szCs w:val="18"/>
              </w:rPr>
            </w:pPr>
            <w:r>
              <w:rPr>
                <w:rFonts w:hint="eastAsia" w:ascii="Times New Roman" w:hAnsi="Times New Roman" w:eastAsia="仿宋"/>
                <w:sz w:val="18"/>
                <w:szCs w:val="18"/>
              </w:rPr>
              <w:t>无刺激</w:t>
            </w:r>
          </w:p>
        </w:tc>
        <w:tc>
          <w:tcPr>
            <w:tcW w:w="2268" w:type="dxa"/>
            <w:vMerge w:val="restart"/>
            <w:tcBorders>
              <w:top w:val="single" w:color="000000" w:sz="4" w:space="0"/>
              <w:left w:val="single" w:color="000000" w:sz="4" w:space="0"/>
              <w:right w:val="single" w:color="000000" w:sz="4" w:space="0"/>
            </w:tcBorders>
            <w:vAlign w:val="center"/>
          </w:tcPr>
          <w:p w14:paraId="71433754">
            <w:pPr>
              <w:widowControl/>
              <w:jc w:val="center"/>
              <w:textAlignment w:val="center"/>
              <w:rPr>
                <w:rFonts w:ascii="Times New Roman" w:hAnsi="Times New Roman" w:eastAsia="仿宋"/>
                <w:sz w:val="18"/>
                <w:szCs w:val="18"/>
              </w:rPr>
            </w:pPr>
            <w:r>
              <w:rPr>
                <w:rFonts w:hint="eastAsia" w:ascii="Times New Roman" w:hAnsi="Times New Roman" w:eastAsia="仿宋"/>
                <w:sz w:val="18"/>
                <w:szCs w:val="18"/>
              </w:rPr>
              <w:t>无刺激</w:t>
            </w:r>
          </w:p>
        </w:tc>
      </w:tr>
      <w:tr w14:paraId="751AFA19">
        <w:tblPrEx>
          <w:tblCellMar>
            <w:top w:w="0" w:type="dxa"/>
            <w:left w:w="108" w:type="dxa"/>
            <w:bottom w:w="0" w:type="dxa"/>
            <w:right w:w="108" w:type="dxa"/>
          </w:tblCellMar>
        </w:tblPrEx>
        <w:trPr>
          <w:trHeight w:val="378" w:hRule="atLeast"/>
          <w:jc w:val="center"/>
        </w:trPr>
        <w:tc>
          <w:tcPr>
            <w:tcW w:w="2977" w:type="dxa"/>
            <w:vMerge w:val="continue"/>
            <w:tcBorders>
              <w:left w:val="single" w:color="000000" w:sz="4" w:space="0"/>
              <w:right w:val="single" w:color="auto" w:sz="4" w:space="0"/>
            </w:tcBorders>
            <w:shd w:val="clear" w:color="auto" w:fill="auto"/>
            <w:vAlign w:val="center"/>
          </w:tcPr>
          <w:p w14:paraId="22C5F432">
            <w:pPr>
              <w:jc w:val="center"/>
              <w:textAlignment w:val="center"/>
              <w:rPr>
                <w:rFonts w:ascii="Times New Roman" w:hAnsi="Times New Roman" w:eastAsia="仿宋"/>
                <w:sz w:val="18"/>
                <w:szCs w:val="18"/>
              </w:rPr>
            </w:pPr>
          </w:p>
        </w:tc>
        <w:tc>
          <w:tcPr>
            <w:tcW w:w="1134" w:type="dxa"/>
            <w:tcBorders>
              <w:top w:val="single" w:color="000000" w:sz="4" w:space="0"/>
              <w:left w:val="single" w:color="auto" w:sz="4" w:space="0"/>
              <w:bottom w:val="single" w:color="000000" w:sz="4" w:space="0"/>
              <w:right w:val="single" w:color="000000" w:sz="4" w:space="0"/>
            </w:tcBorders>
            <w:shd w:val="clear" w:color="auto" w:fill="auto"/>
          </w:tcPr>
          <w:p w14:paraId="1F35E959">
            <w:pPr>
              <w:widowControl/>
              <w:jc w:val="center"/>
              <w:textAlignment w:val="center"/>
              <w:rPr>
                <w:rFonts w:ascii="Times New Roman" w:hAnsi="Times New Roman" w:eastAsia="仿宋"/>
                <w:sz w:val="18"/>
                <w:szCs w:val="18"/>
              </w:rPr>
            </w:pPr>
            <w:r>
              <w:rPr>
                <w:rFonts w:ascii="Times New Roman" w:hAnsi="Times New Roman" w:eastAsia="仿宋"/>
                <w:sz w:val="18"/>
                <w:szCs w:val="18"/>
              </w:rPr>
              <w:t>2289.09</w:t>
            </w:r>
          </w:p>
        </w:tc>
        <w:tc>
          <w:tcPr>
            <w:tcW w:w="993" w:type="dxa"/>
            <w:vMerge w:val="continue"/>
            <w:tcBorders>
              <w:left w:val="single" w:color="000000" w:sz="4" w:space="0"/>
              <w:right w:val="single" w:color="000000" w:sz="4" w:space="0"/>
            </w:tcBorders>
            <w:shd w:val="clear" w:color="auto" w:fill="auto"/>
            <w:vAlign w:val="center"/>
          </w:tcPr>
          <w:p w14:paraId="7245C43C">
            <w:pPr>
              <w:widowControl/>
              <w:jc w:val="center"/>
              <w:textAlignment w:val="center"/>
              <w:rPr>
                <w:rFonts w:ascii="Times New Roman" w:hAnsi="Times New Roman" w:eastAsia="仿宋"/>
                <w:sz w:val="18"/>
                <w:szCs w:val="18"/>
              </w:rPr>
            </w:pPr>
          </w:p>
        </w:tc>
        <w:tc>
          <w:tcPr>
            <w:tcW w:w="1270" w:type="dxa"/>
            <w:vMerge w:val="continue"/>
            <w:tcBorders>
              <w:left w:val="single" w:color="000000" w:sz="4" w:space="0"/>
              <w:right w:val="single" w:color="000000" w:sz="4" w:space="0"/>
            </w:tcBorders>
            <w:vAlign w:val="center"/>
          </w:tcPr>
          <w:p w14:paraId="798627E1">
            <w:pPr>
              <w:widowControl/>
              <w:jc w:val="center"/>
              <w:textAlignment w:val="center"/>
              <w:rPr>
                <w:rFonts w:ascii="Times New Roman" w:hAnsi="Times New Roman" w:eastAsia="仿宋"/>
                <w:sz w:val="18"/>
                <w:szCs w:val="18"/>
              </w:rPr>
            </w:pPr>
          </w:p>
        </w:tc>
        <w:tc>
          <w:tcPr>
            <w:tcW w:w="2268" w:type="dxa"/>
            <w:vMerge w:val="continue"/>
            <w:tcBorders>
              <w:left w:val="single" w:color="000000" w:sz="4" w:space="0"/>
              <w:right w:val="single" w:color="000000" w:sz="4" w:space="0"/>
            </w:tcBorders>
            <w:vAlign w:val="center"/>
          </w:tcPr>
          <w:p w14:paraId="5455C5F8">
            <w:pPr>
              <w:widowControl/>
              <w:jc w:val="center"/>
              <w:textAlignment w:val="center"/>
              <w:rPr>
                <w:rFonts w:ascii="Times New Roman" w:hAnsi="Times New Roman" w:eastAsia="仿宋"/>
                <w:sz w:val="18"/>
                <w:szCs w:val="18"/>
              </w:rPr>
            </w:pPr>
          </w:p>
        </w:tc>
      </w:tr>
      <w:tr w14:paraId="2C17F1F6">
        <w:tblPrEx>
          <w:tblCellMar>
            <w:top w:w="0" w:type="dxa"/>
            <w:left w:w="108" w:type="dxa"/>
            <w:bottom w:w="0" w:type="dxa"/>
            <w:right w:w="108" w:type="dxa"/>
          </w:tblCellMar>
        </w:tblPrEx>
        <w:trPr>
          <w:trHeight w:val="413" w:hRule="atLeast"/>
          <w:jc w:val="center"/>
        </w:trPr>
        <w:tc>
          <w:tcPr>
            <w:tcW w:w="2977" w:type="dxa"/>
            <w:vMerge w:val="continue"/>
            <w:tcBorders>
              <w:left w:val="single" w:color="000000" w:sz="4" w:space="0"/>
              <w:bottom w:val="single" w:color="000000" w:sz="4" w:space="0"/>
              <w:right w:val="single" w:color="auto" w:sz="4" w:space="0"/>
            </w:tcBorders>
            <w:shd w:val="clear" w:color="auto" w:fill="auto"/>
            <w:vAlign w:val="center"/>
          </w:tcPr>
          <w:p w14:paraId="4B481D4E">
            <w:pPr>
              <w:widowControl/>
              <w:jc w:val="center"/>
              <w:textAlignment w:val="center"/>
              <w:rPr>
                <w:rFonts w:ascii="Times New Roman" w:hAnsi="Times New Roman" w:eastAsia="仿宋"/>
                <w:sz w:val="18"/>
                <w:szCs w:val="18"/>
              </w:rPr>
            </w:pPr>
          </w:p>
        </w:tc>
        <w:tc>
          <w:tcPr>
            <w:tcW w:w="1134" w:type="dxa"/>
            <w:tcBorders>
              <w:top w:val="single" w:color="000000" w:sz="4" w:space="0"/>
              <w:left w:val="single" w:color="auto" w:sz="4" w:space="0"/>
              <w:bottom w:val="single" w:color="000000" w:sz="4" w:space="0"/>
              <w:right w:val="single" w:color="000000" w:sz="4" w:space="0"/>
            </w:tcBorders>
            <w:shd w:val="clear" w:color="auto" w:fill="auto"/>
          </w:tcPr>
          <w:p w14:paraId="289922FD">
            <w:pPr>
              <w:widowControl/>
              <w:jc w:val="center"/>
              <w:textAlignment w:val="center"/>
              <w:rPr>
                <w:rFonts w:ascii="Times New Roman" w:hAnsi="Times New Roman" w:eastAsia="仿宋"/>
                <w:sz w:val="18"/>
                <w:szCs w:val="18"/>
              </w:rPr>
            </w:pPr>
            <w:r>
              <w:rPr>
                <w:rFonts w:ascii="Times New Roman" w:hAnsi="Times New Roman" w:eastAsia="仿宋"/>
                <w:sz w:val="18"/>
                <w:szCs w:val="18"/>
              </w:rPr>
              <w:t>2304.18</w:t>
            </w:r>
          </w:p>
        </w:tc>
        <w:tc>
          <w:tcPr>
            <w:tcW w:w="993" w:type="dxa"/>
            <w:vMerge w:val="continue"/>
            <w:tcBorders>
              <w:left w:val="single" w:color="000000" w:sz="4" w:space="0"/>
              <w:bottom w:val="single" w:color="000000" w:sz="4" w:space="0"/>
              <w:right w:val="single" w:color="000000" w:sz="4" w:space="0"/>
            </w:tcBorders>
            <w:shd w:val="clear" w:color="auto" w:fill="auto"/>
            <w:vAlign w:val="center"/>
          </w:tcPr>
          <w:p w14:paraId="15DFFBBC">
            <w:pPr>
              <w:widowControl/>
              <w:jc w:val="center"/>
              <w:textAlignment w:val="center"/>
              <w:rPr>
                <w:rFonts w:ascii="Times New Roman" w:hAnsi="Times New Roman" w:eastAsia="仿宋"/>
                <w:sz w:val="18"/>
                <w:szCs w:val="18"/>
              </w:rPr>
            </w:pPr>
          </w:p>
        </w:tc>
        <w:tc>
          <w:tcPr>
            <w:tcW w:w="1270" w:type="dxa"/>
            <w:vMerge w:val="continue"/>
            <w:tcBorders>
              <w:left w:val="single" w:color="000000" w:sz="4" w:space="0"/>
              <w:bottom w:val="single" w:color="000000" w:sz="4" w:space="0"/>
              <w:right w:val="single" w:color="000000" w:sz="4" w:space="0"/>
            </w:tcBorders>
            <w:vAlign w:val="center"/>
          </w:tcPr>
          <w:p w14:paraId="4CC91B23">
            <w:pPr>
              <w:widowControl/>
              <w:jc w:val="center"/>
              <w:textAlignment w:val="center"/>
              <w:rPr>
                <w:rFonts w:ascii="Times New Roman" w:hAnsi="Times New Roman" w:eastAsia="仿宋"/>
                <w:sz w:val="18"/>
                <w:szCs w:val="18"/>
              </w:rPr>
            </w:pPr>
          </w:p>
        </w:tc>
        <w:tc>
          <w:tcPr>
            <w:tcW w:w="2268" w:type="dxa"/>
            <w:vMerge w:val="continue"/>
            <w:tcBorders>
              <w:left w:val="single" w:color="000000" w:sz="4" w:space="0"/>
              <w:bottom w:val="single" w:color="000000" w:sz="4" w:space="0"/>
              <w:right w:val="single" w:color="000000" w:sz="4" w:space="0"/>
            </w:tcBorders>
            <w:vAlign w:val="center"/>
          </w:tcPr>
          <w:p w14:paraId="6ED57823">
            <w:pPr>
              <w:widowControl/>
              <w:jc w:val="center"/>
              <w:textAlignment w:val="center"/>
              <w:rPr>
                <w:rFonts w:ascii="Times New Roman" w:hAnsi="Times New Roman" w:eastAsia="仿宋"/>
                <w:sz w:val="18"/>
                <w:szCs w:val="18"/>
              </w:rPr>
            </w:pPr>
          </w:p>
        </w:tc>
      </w:tr>
      <w:tr w14:paraId="4A1F1E60">
        <w:tblPrEx>
          <w:tblCellMar>
            <w:top w:w="0" w:type="dxa"/>
            <w:left w:w="108" w:type="dxa"/>
            <w:bottom w:w="0" w:type="dxa"/>
            <w:right w:w="108" w:type="dxa"/>
          </w:tblCellMar>
        </w:tblPrEx>
        <w:trPr>
          <w:trHeight w:val="419" w:hRule="atLeast"/>
          <w:jc w:val="center"/>
        </w:trPr>
        <w:tc>
          <w:tcPr>
            <w:tcW w:w="2977" w:type="dxa"/>
            <w:vMerge w:val="restart"/>
            <w:tcBorders>
              <w:top w:val="single" w:color="000000" w:sz="4" w:space="0"/>
              <w:left w:val="single" w:color="000000" w:sz="4" w:space="0"/>
              <w:right w:val="single" w:color="auto" w:sz="4" w:space="0"/>
            </w:tcBorders>
            <w:shd w:val="clear" w:color="auto" w:fill="auto"/>
            <w:vAlign w:val="center"/>
          </w:tcPr>
          <w:p w14:paraId="47C8AA10">
            <w:pPr>
              <w:widowControl/>
              <w:jc w:val="center"/>
              <w:textAlignment w:val="center"/>
              <w:rPr>
                <w:rFonts w:hint="eastAsia" w:ascii="Times New Roman" w:hAnsi="Times New Roman" w:eastAsia="仿宋"/>
                <w:sz w:val="18"/>
                <w:szCs w:val="18"/>
              </w:rPr>
            </w:pPr>
            <w:r>
              <w:rPr>
                <w:rFonts w:hint="eastAsia" w:ascii="Times New Roman" w:hAnsi="Times New Roman" w:eastAsia="仿宋"/>
                <w:sz w:val="18"/>
                <w:szCs w:val="18"/>
              </w:rPr>
              <w:t>小迷糊肌简氨基酸表活洁面慕斯</w:t>
            </w:r>
          </w:p>
        </w:tc>
        <w:tc>
          <w:tcPr>
            <w:tcW w:w="1134" w:type="dxa"/>
            <w:tcBorders>
              <w:top w:val="single" w:color="000000" w:sz="4" w:space="0"/>
              <w:left w:val="single" w:color="auto" w:sz="4" w:space="0"/>
              <w:bottom w:val="single" w:color="auto" w:sz="4" w:space="0"/>
              <w:right w:val="single" w:color="000000" w:sz="4" w:space="0"/>
            </w:tcBorders>
            <w:shd w:val="clear" w:color="auto" w:fill="auto"/>
          </w:tcPr>
          <w:p w14:paraId="7830F177">
            <w:pPr>
              <w:widowControl/>
              <w:jc w:val="center"/>
              <w:textAlignment w:val="center"/>
              <w:rPr>
                <w:rFonts w:ascii="Times New Roman" w:hAnsi="Times New Roman" w:eastAsia="仿宋"/>
                <w:sz w:val="18"/>
                <w:szCs w:val="18"/>
              </w:rPr>
            </w:pPr>
            <w:r>
              <w:rPr>
                <w:rFonts w:ascii="Times New Roman" w:hAnsi="Times New Roman" w:eastAsia="仿宋"/>
                <w:sz w:val="18"/>
                <w:szCs w:val="18"/>
              </w:rPr>
              <w:t>1830.89</w:t>
            </w:r>
          </w:p>
        </w:tc>
        <w:tc>
          <w:tcPr>
            <w:tcW w:w="993" w:type="dxa"/>
            <w:vMerge w:val="restart"/>
            <w:tcBorders>
              <w:top w:val="single" w:color="000000" w:sz="4" w:space="0"/>
              <w:left w:val="single" w:color="000000" w:sz="4" w:space="0"/>
              <w:right w:val="single" w:color="000000" w:sz="4" w:space="0"/>
            </w:tcBorders>
            <w:shd w:val="clear" w:color="auto" w:fill="auto"/>
            <w:vAlign w:val="center"/>
          </w:tcPr>
          <w:p w14:paraId="08AC5147">
            <w:pPr>
              <w:widowControl/>
              <w:jc w:val="center"/>
              <w:textAlignment w:val="center"/>
              <w:rPr>
                <w:rFonts w:hint="eastAsia" w:ascii="Times New Roman" w:hAnsi="Times New Roman" w:eastAsia="仿宋"/>
                <w:sz w:val="18"/>
                <w:szCs w:val="18"/>
              </w:rPr>
            </w:pPr>
            <w:r>
              <w:rPr>
                <w:rFonts w:ascii="Times New Roman" w:hAnsi="Times New Roman" w:eastAsia="仿宋"/>
                <w:sz w:val="18"/>
                <w:szCs w:val="18"/>
              </w:rPr>
              <w:t>1858.12</w:t>
            </w:r>
          </w:p>
        </w:tc>
        <w:tc>
          <w:tcPr>
            <w:tcW w:w="1270" w:type="dxa"/>
            <w:vMerge w:val="restart"/>
            <w:tcBorders>
              <w:top w:val="single" w:color="000000" w:sz="4" w:space="0"/>
              <w:left w:val="single" w:color="000000" w:sz="4" w:space="0"/>
              <w:right w:val="single" w:color="000000" w:sz="4" w:space="0"/>
            </w:tcBorders>
            <w:vAlign w:val="center"/>
          </w:tcPr>
          <w:p w14:paraId="55B6CBC3">
            <w:pPr>
              <w:jc w:val="center"/>
              <w:textAlignment w:val="center"/>
              <w:rPr>
                <w:rFonts w:hint="eastAsia" w:ascii="Times New Roman" w:hAnsi="Times New Roman" w:eastAsia="仿宋"/>
                <w:sz w:val="18"/>
                <w:szCs w:val="18"/>
              </w:rPr>
            </w:pPr>
            <w:r>
              <w:rPr>
                <w:rFonts w:hint="eastAsia" w:ascii="Times New Roman" w:hAnsi="Times New Roman" w:eastAsia="仿宋"/>
                <w:sz w:val="18"/>
                <w:szCs w:val="18"/>
              </w:rPr>
              <w:t>微刺激</w:t>
            </w:r>
          </w:p>
        </w:tc>
        <w:tc>
          <w:tcPr>
            <w:tcW w:w="2268" w:type="dxa"/>
            <w:vMerge w:val="restart"/>
            <w:tcBorders>
              <w:top w:val="single" w:color="000000" w:sz="4" w:space="0"/>
              <w:left w:val="single" w:color="000000" w:sz="4" w:space="0"/>
              <w:right w:val="single" w:color="000000" w:sz="4" w:space="0"/>
            </w:tcBorders>
            <w:vAlign w:val="center"/>
          </w:tcPr>
          <w:p w14:paraId="4D9982B8">
            <w:pPr>
              <w:widowControl/>
              <w:jc w:val="center"/>
              <w:textAlignment w:val="center"/>
              <w:rPr>
                <w:rFonts w:hint="eastAsia" w:ascii="Times New Roman" w:hAnsi="Times New Roman" w:eastAsia="仿宋"/>
                <w:sz w:val="18"/>
                <w:szCs w:val="18"/>
              </w:rPr>
            </w:pPr>
            <w:r>
              <w:rPr>
                <w:rFonts w:hint="eastAsia" w:ascii="Times New Roman" w:hAnsi="Times New Roman" w:eastAsia="仿宋"/>
                <w:sz w:val="18"/>
                <w:szCs w:val="18"/>
              </w:rPr>
              <w:t>微刺激</w:t>
            </w:r>
          </w:p>
        </w:tc>
      </w:tr>
      <w:tr w14:paraId="2D9576BE">
        <w:tblPrEx>
          <w:tblCellMar>
            <w:top w:w="0" w:type="dxa"/>
            <w:left w:w="108" w:type="dxa"/>
            <w:bottom w:w="0" w:type="dxa"/>
            <w:right w:w="108" w:type="dxa"/>
          </w:tblCellMar>
        </w:tblPrEx>
        <w:trPr>
          <w:trHeight w:val="419" w:hRule="atLeast"/>
          <w:jc w:val="center"/>
        </w:trPr>
        <w:tc>
          <w:tcPr>
            <w:tcW w:w="2977" w:type="dxa"/>
            <w:vMerge w:val="continue"/>
            <w:tcBorders>
              <w:left w:val="single" w:color="000000" w:sz="4" w:space="0"/>
              <w:right w:val="single" w:color="auto" w:sz="4" w:space="0"/>
            </w:tcBorders>
            <w:shd w:val="clear" w:color="auto" w:fill="auto"/>
            <w:vAlign w:val="center"/>
          </w:tcPr>
          <w:p w14:paraId="0E7801E9">
            <w:pPr>
              <w:jc w:val="center"/>
              <w:textAlignment w:val="center"/>
              <w:rPr>
                <w:rFonts w:ascii="Times New Roman" w:hAnsi="Times New Roman" w:eastAsia="仿宋"/>
                <w:sz w:val="18"/>
                <w:szCs w:val="18"/>
              </w:rPr>
            </w:pPr>
          </w:p>
        </w:tc>
        <w:tc>
          <w:tcPr>
            <w:tcW w:w="1134" w:type="dxa"/>
            <w:tcBorders>
              <w:top w:val="single" w:color="000000" w:sz="4" w:space="0"/>
              <w:left w:val="single" w:color="auto" w:sz="4" w:space="0"/>
              <w:bottom w:val="single" w:color="auto" w:sz="4" w:space="0"/>
              <w:right w:val="single" w:color="000000" w:sz="4" w:space="0"/>
            </w:tcBorders>
            <w:shd w:val="clear" w:color="auto" w:fill="auto"/>
          </w:tcPr>
          <w:p w14:paraId="2CEE0EC1">
            <w:pPr>
              <w:widowControl/>
              <w:jc w:val="center"/>
              <w:textAlignment w:val="center"/>
              <w:rPr>
                <w:rFonts w:ascii="Times New Roman" w:hAnsi="Times New Roman" w:eastAsia="仿宋"/>
                <w:sz w:val="18"/>
                <w:szCs w:val="18"/>
              </w:rPr>
            </w:pPr>
            <w:r>
              <w:rPr>
                <w:rFonts w:ascii="Times New Roman" w:hAnsi="Times New Roman" w:eastAsia="仿宋"/>
                <w:sz w:val="18"/>
                <w:szCs w:val="18"/>
              </w:rPr>
              <w:t>1853.23</w:t>
            </w:r>
          </w:p>
        </w:tc>
        <w:tc>
          <w:tcPr>
            <w:tcW w:w="993" w:type="dxa"/>
            <w:vMerge w:val="continue"/>
            <w:tcBorders>
              <w:left w:val="single" w:color="000000" w:sz="4" w:space="0"/>
              <w:right w:val="single" w:color="000000" w:sz="4" w:space="0"/>
            </w:tcBorders>
            <w:shd w:val="clear" w:color="auto" w:fill="auto"/>
            <w:vAlign w:val="center"/>
          </w:tcPr>
          <w:p w14:paraId="43B8C40D">
            <w:pPr>
              <w:jc w:val="center"/>
              <w:textAlignment w:val="center"/>
              <w:rPr>
                <w:rFonts w:ascii="Times New Roman" w:hAnsi="Times New Roman" w:eastAsia="仿宋"/>
                <w:sz w:val="18"/>
                <w:szCs w:val="18"/>
              </w:rPr>
            </w:pPr>
          </w:p>
        </w:tc>
        <w:tc>
          <w:tcPr>
            <w:tcW w:w="1270" w:type="dxa"/>
            <w:vMerge w:val="continue"/>
            <w:tcBorders>
              <w:left w:val="single" w:color="000000" w:sz="4" w:space="0"/>
              <w:right w:val="single" w:color="000000" w:sz="4" w:space="0"/>
            </w:tcBorders>
            <w:vAlign w:val="center"/>
          </w:tcPr>
          <w:p w14:paraId="2245FA92">
            <w:pPr>
              <w:jc w:val="center"/>
              <w:textAlignment w:val="center"/>
              <w:rPr>
                <w:rFonts w:ascii="Times New Roman" w:hAnsi="Times New Roman" w:eastAsia="仿宋"/>
                <w:sz w:val="18"/>
                <w:szCs w:val="18"/>
              </w:rPr>
            </w:pPr>
          </w:p>
        </w:tc>
        <w:tc>
          <w:tcPr>
            <w:tcW w:w="2268" w:type="dxa"/>
            <w:vMerge w:val="continue"/>
            <w:tcBorders>
              <w:left w:val="single" w:color="000000" w:sz="4" w:space="0"/>
              <w:right w:val="single" w:color="000000" w:sz="4" w:space="0"/>
            </w:tcBorders>
            <w:vAlign w:val="center"/>
          </w:tcPr>
          <w:p w14:paraId="3C5916FA">
            <w:pPr>
              <w:widowControl/>
              <w:jc w:val="center"/>
              <w:textAlignment w:val="center"/>
              <w:rPr>
                <w:rFonts w:ascii="Times New Roman" w:hAnsi="Times New Roman" w:eastAsia="仿宋"/>
                <w:sz w:val="18"/>
                <w:szCs w:val="18"/>
              </w:rPr>
            </w:pPr>
          </w:p>
        </w:tc>
      </w:tr>
      <w:tr w14:paraId="38E0CBDE">
        <w:tblPrEx>
          <w:tblCellMar>
            <w:top w:w="0" w:type="dxa"/>
            <w:left w:w="108" w:type="dxa"/>
            <w:bottom w:w="0" w:type="dxa"/>
            <w:right w:w="108" w:type="dxa"/>
          </w:tblCellMar>
        </w:tblPrEx>
        <w:trPr>
          <w:trHeight w:val="425" w:hRule="atLeast"/>
          <w:jc w:val="center"/>
        </w:trPr>
        <w:tc>
          <w:tcPr>
            <w:tcW w:w="2977" w:type="dxa"/>
            <w:vMerge w:val="continue"/>
            <w:tcBorders>
              <w:left w:val="single" w:color="000000" w:sz="4" w:space="0"/>
              <w:bottom w:val="single" w:color="000000" w:sz="4" w:space="0"/>
              <w:right w:val="single" w:color="auto" w:sz="4" w:space="0"/>
            </w:tcBorders>
            <w:shd w:val="clear" w:color="auto" w:fill="auto"/>
            <w:vAlign w:val="center"/>
          </w:tcPr>
          <w:p w14:paraId="4339D4FB">
            <w:pPr>
              <w:widowControl/>
              <w:jc w:val="center"/>
              <w:textAlignment w:val="center"/>
              <w:rPr>
                <w:rFonts w:ascii="Times New Roman" w:hAnsi="Times New Roman" w:eastAsia="仿宋"/>
                <w:sz w:val="18"/>
                <w:szCs w:val="18"/>
              </w:rPr>
            </w:pPr>
          </w:p>
        </w:tc>
        <w:tc>
          <w:tcPr>
            <w:tcW w:w="1134" w:type="dxa"/>
            <w:tcBorders>
              <w:top w:val="single" w:color="000000" w:sz="4" w:space="0"/>
              <w:left w:val="single" w:color="auto" w:sz="4" w:space="0"/>
              <w:bottom w:val="single" w:color="auto" w:sz="4" w:space="0"/>
              <w:right w:val="single" w:color="000000" w:sz="4" w:space="0"/>
            </w:tcBorders>
            <w:shd w:val="clear" w:color="auto" w:fill="auto"/>
          </w:tcPr>
          <w:p w14:paraId="1CAC7C39">
            <w:pPr>
              <w:widowControl/>
              <w:jc w:val="center"/>
              <w:textAlignment w:val="center"/>
              <w:rPr>
                <w:rFonts w:ascii="Times New Roman" w:hAnsi="Times New Roman" w:eastAsia="仿宋"/>
                <w:sz w:val="18"/>
                <w:szCs w:val="18"/>
              </w:rPr>
            </w:pPr>
            <w:r>
              <w:rPr>
                <w:rFonts w:ascii="Times New Roman" w:hAnsi="Times New Roman" w:eastAsia="仿宋"/>
                <w:sz w:val="18"/>
                <w:szCs w:val="18"/>
              </w:rPr>
              <w:t>1890.24</w:t>
            </w:r>
          </w:p>
        </w:tc>
        <w:tc>
          <w:tcPr>
            <w:tcW w:w="993" w:type="dxa"/>
            <w:vMerge w:val="continue"/>
            <w:tcBorders>
              <w:left w:val="single" w:color="000000" w:sz="4" w:space="0"/>
              <w:bottom w:val="single" w:color="000000" w:sz="4" w:space="0"/>
              <w:right w:val="single" w:color="000000" w:sz="4" w:space="0"/>
            </w:tcBorders>
            <w:shd w:val="clear" w:color="auto" w:fill="auto"/>
            <w:vAlign w:val="center"/>
          </w:tcPr>
          <w:p w14:paraId="202664C9">
            <w:pPr>
              <w:widowControl/>
              <w:jc w:val="center"/>
              <w:textAlignment w:val="center"/>
              <w:rPr>
                <w:rFonts w:ascii="Times New Roman" w:hAnsi="Times New Roman" w:eastAsia="仿宋"/>
                <w:sz w:val="18"/>
                <w:szCs w:val="18"/>
              </w:rPr>
            </w:pPr>
          </w:p>
        </w:tc>
        <w:tc>
          <w:tcPr>
            <w:tcW w:w="1270" w:type="dxa"/>
            <w:vMerge w:val="continue"/>
            <w:tcBorders>
              <w:left w:val="single" w:color="000000" w:sz="4" w:space="0"/>
              <w:bottom w:val="single" w:color="000000" w:sz="4" w:space="0"/>
              <w:right w:val="single" w:color="000000" w:sz="4" w:space="0"/>
            </w:tcBorders>
            <w:vAlign w:val="center"/>
          </w:tcPr>
          <w:p w14:paraId="7BF530D5">
            <w:pPr>
              <w:widowControl/>
              <w:jc w:val="center"/>
              <w:textAlignment w:val="center"/>
              <w:rPr>
                <w:rFonts w:ascii="Times New Roman" w:hAnsi="Times New Roman" w:eastAsia="仿宋"/>
                <w:sz w:val="18"/>
                <w:szCs w:val="18"/>
              </w:rPr>
            </w:pPr>
          </w:p>
        </w:tc>
        <w:tc>
          <w:tcPr>
            <w:tcW w:w="2268" w:type="dxa"/>
            <w:vMerge w:val="continue"/>
            <w:tcBorders>
              <w:left w:val="single" w:color="000000" w:sz="4" w:space="0"/>
              <w:bottom w:val="single" w:color="000000" w:sz="4" w:space="0"/>
              <w:right w:val="single" w:color="000000" w:sz="4" w:space="0"/>
            </w:tcBorders>
            <w:vAlign w:val="center"/>
          </w:tcPr>
          <w:p w14:paraId="02BD3AC1">
            <w:pPr>
              <w:widowControl/>
              <w:jc w:val="center"/>
              <w:textAlignment w:val="center"/>
              <w:rPr>
                <w:rFonts w:ascii="Times New Roman" w:hAnsi="Times New Roman" w:eastAsia="仿宋"/>
                <w:sz w:val="18"/>
                <w:szCs w:val="18"/>
              </w:rPr>
            </w:pPr>
          </w:p>
        </w:tc>
      </w:tr>
    </w:tbl>
    <w:p w14:paraId="30CE2BB4">
      <w:pPr>
        <w:pStyle w:val="17"/>
        <w:ind w:firstLine="420"/>
        <w:rPr>
          <w:rFonts w:hint="eastAsia" w:ascii="仿宋" w:hAnsi="仿宋" w:eastAsia="仿宋" w:cs="仿宋"/>
          <w:bCs/>
          <w:kern w:val="0"/>
          <w:sz w:val="21"/>
          <w:szCs w:val="21"/>
          <w:lang w:val="en-US"/>
        </w:rPr>
      </w:pPr>
      <w:r>
        <w:rPr>
          <w:rFonts w:hint="eastAsia" w:ascii="仿宋" w:hAnsi="仿宋" w:eastAsia="仿宋" w:cs="仿宋"/>
          <w:bCs/>
          <w:kern w:val="0"/>
          <w:sz w:val="21"/>
          <w:szCs w:val="21"/>
          <w:lang w:val="en-US"/>
        </w:rPr>
        <w:t>依据《儿童清洁化妆品开发中眼刺激性评估方法</w:t>
      </w:r>
      <w:r>
        <w:rPr>
          <w:rFonts w:ascii="仿宋" w:hAnsi="仿宋" w:eastAsia="仿宋" w:cs="仿宋"/>
          <w:bCs/>
          <w:kern w:val="0"/>
          <w:sz w:val="21"/>
          <w:szCs w:val="21"/>
          <w:lang w:val="en-US"/>
        </w:rPr>
        <w:t xml:space="preserve"> 红细胞溶血测试和重组人角膜上皮模型测试》</w:t>
      </w:r>
      <w:r>
        <w:rPr>
          <w:rFonts w:hint="eastAsia" w:ascii="仿宋" w:hAnsi="仿宋" w:eastAsia="仿宋" w:cs="仿宋"/>
          <w:bCs/>
          <w:kern w:val="0"/>
          <w:sz w:val="21"/>
          <w:szCs w:val="21"/>
          <w:lang w:val="en-US"/>
        </w:rPr>
        <w:t>团体标准中的红细胞溶血实验方法步骤和结果判定划分标准，大水滴保湿净肤洁面慕斯和小迷糊肌简氨基酸表活洁面慕斯与体外动物实验结果一致</w:t>
      </w:r>
      <w:r>
        <w:rPr>
          <w:rFonts w:ascii="仿宋" w:hAnsi="仿宋" w:eastAsia="仿宋" w:cs="仿宋"/>
          <w:bCs/>
          <w:kern w:val="0"/>
          <w:sz w:val="21"/>
          <w:szCs w:val="21"/>
          <w:lang w:val="en-US"/>
        </w:rPr>
        <w:t>。</w:t>
      </w:r>
    </w:p>
    <w:p w14:paraId="7EFEAC4B">
      <w:pPr>
        <w:spacing w:line="360" w:lineRule="auto"/>
        <w:rPr>
          <w:rFonts w:ascii="Times New Roman" w:hAnsi="Times New Roman" w:eastAsia="宋体"/>
          <w:sz w:val="24"/>
          <w:szCs w:val="24"/>
        </w:rPr>
      </w:pPr>
      <w:r>
        <w:rPr>
          <w:rFonts w:ascii="Times New Roman" w:hAnsi="Times New Roman" w:eastAsia="宋体"/>
          <w:b/>
          <w:bCs/>
          <w:sz w:val="24"/>
          <w:szCs w:val="24"/>
        </w:rPr>
        <w:t>六、征求意见的采纳情况（附《征求意见汇总处理表》、重大意见分歧的处理结果和依据）</w:t>
      </w:r>
    </w:p>
    <w:p w14:paraId="5FC1DA7E">
      <w:pPr>
        <w:adjustRightInd w:val="0"/>
        <w:spacing w:line="360" w:lineRule="auto"/>
        <w:ind w:firstLine="420" w:firstLineChars="200"/>
        <w:textAlignment w:val="baseline"/>
        <w:rPr>
          <w:rFonts w:ascii="仿宋" w:hAnsi="仿宋" w:eastAsia="仿宋" w:cs="仿宋"/>
          <w:szCs w:val="21"/>
        </w:rPr>
      </w:pPr>
      <w:r>
        <w:rPr>
          <w:rFonts w:hint="eastAsia" w:ascii="仿宋" w:hAnsi="仿宋" w:eastAsia="仿宋" w:cs="仿宋"/>
          <w:szCs w:val="21"/>
        </w:rPr>
        <w:t>无</w:t>
      </w:r>
    </w:p>
    <w:p w14:paraId="6A9C5B70">
      <w:pPr>
        <w:pStyle w:val="27"/>
        <w:adjustRightInd w:val="0"/>
        <w:spacing w:line="360" w:lineRule="auto"/>
        <w:ind w:firstLine="0" w:firstLineChars="0"/>
        <w:textAlignment w:val="baseline"/>
        <w:rPr>
          <w:rFonts w:ascii="Times New Roman" w:hAnsi="Times New Roman" w:eastAsia="宋体"/>
          <w:b/>
          <w:bCs/>
          <w:sz w:val="24"/>
          <w:szCs w:val="24"/>
        </w:rPr>
      </w:pPr>
      <w:r>
        <w:rPr>
          <w:rFonts w:hint="eastAsia" w:ascii="Times New Roman" w:hAnsi="Times New Roman" w:eastAsia="宋体"/>
          <w:b/>
          <w:bCs/>
          <w:sz w:val="24"/>
          <w:szCs w:val="24"/>
        </w:rPr>
        <w:t>七、</w:t>
      </w:r>
      <w:r>
        <w:rPr>
          <w:rFonts w:ascii="Times New Roman" w:hAnsi="Times New Roman" w:eastAsia="宋体"/>
          <w:b/>
          <w:bCs/>
          <w:sz w:val="24"/>
          <w:szCs w:val="24"/>
        </w:rPr>
        <w:t>标准实施日期和实施建议</w:t>
      </w:r>
    </w:p>
    <w:p w14:paraId="788877B6">
      <w:pPr>
        <w:adjustRightInd w:val="0"/>
        <w:spacing w:line="360" w:lineRule="auto"/>
        <w:ind w:firstLine="420" w:firstLineChars="200"/>
        <w:textAlignment w:val="baseline"/>
        <w:rPr>
          <w:rFonts w:ascii="仿宋" w:hAnsi="仿宋" w:eastAsia="仿宋" w:cs="仿宋"/>
          <w:szCs w:val="21"/>
        </w:rPr>
      </w:pPr>
      <w:r>
        <w:rPr>
          <w:rFonts w:hint="eastAsia" w:ascii="仿宋" w:hAnsi="仿宋" w:eastAsia="仿宋" w:cs="仿宋"/>
          <w:szCs w:val="21"/>
        </w:rPr>
        <w:t>无</w:t>
      </w:r>
    </w:p>
    <w:p w14:paraId="47B65AD4">
      <w:pPr>
        <w:spacing w:line="360" w:lineRule="auto"/>
        <w:ind w:firstLine="420" w:firstLineChars="200"/>
      </w:pPr>
    </w:p>
    <w:sectPr>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C257497"/>
    <w:multiLevelType w:val="singleLevel"/>
    <w:tmpl w:val="FC257497"/>
    <w:lvl w:ilvl="0" w:tentative="0">
      <w:start w:val="5"/>
      <w:numFmt w:val="chineseCounting"/>
      <w:suff w:val="nothing"/>
      <w:lvlText w:val="%1、"/>
      <w:lvlJc w:val="left"/>
      <w:rPr>
        <w:rFonts w:hint="eastAsia"/>
      </w:rPr>
    </w:lvl>
  </w:abstractNum>
  <w:abstractNum w:abstractNumId="1">
    <w:nsid w:val="25ED339F"/>
    <w:multiLevelType w:val="multilevel"/>
    <w:tmpl w:val="25ED339F"/>
    <w:lvl w:ilvl="0" w:tentative="0">
      <w:start w:val="2"/>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65F078AC"/>
    <w:multiLevelType w:val="multilevel"/>
    <w:tmpl w:val="65F078AC"/>
    <w:lvl w:ilvl="0" w:tentative="0">
      <w:start w:val="1"/>
      <w:numFmt w:val="decimal"/>
      <w:lvlText w:val="%1."/>
      <w:lvlJc w:val="left"/>
      <w:pPr>
        <w:ind w:left="360" w:hanging="360"/>
      </w:pPr>
      <w:rPr>
        <w:rFonts w:hint="default"/>
        <w:sz w:val="24"/>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oNotDisplayPageBoundaries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DkyZjYyY2M5NzQ1Njk2ZDVkNTMxYjJmN2FjOGZhNTEifQ=="/>
  </w:docVars>
  <w:rsids>
    <w:rsidRoot w:val="004268FF"/>
    <w:rsid w:val="000029DF"/>
    <w:rsid w:val="00002CDA"/>
    <w:rsid w:val="000068C6"/>
    <w:rsid w:val="000101A2"/>
    <w:rsid w:val="00010370"/>
    <w:rsid w:val="00014800"/>
    <w:rsid w:val="00014C75"/>
    <w:rsid w:val="0001763C"/>
    <w:rsid w:val="0002345F"/>
    <w:rsid w:val="00031B45"/>
    <w:rsid w:val="000334F8"/>
    <w:rsid w:val="000336B8"/>
    <w:rsid w:val="0003629E"/>
    <w:rsid w:val="0004119C"/>
    <w:rsid w:val="00041715"/>
    <w:rsid w:val="00042FAD"/>
    <w:rsid w:val="0004644C"/>
    <w:rsid w:val="000505BD"/>
    <w:rsid w:val="00050E5D"/>
    <w:rsid w:val="0005232E"/>
    <w:rsid w:val="00052A51"/>
    <w:rsid w:val="00052FD5"/>
    <w:rsid w:val="0005774C"/>
    <w:rsid w:val="00060E11"/>
    <w:rsid w:val="000639F2"/>
    <w:rsid w:val="00063F58"/>
    <w:rsid w:val="00063FF9"/>
    <w:rsid w:val="000669E3"/>
    <w:rsid w:val="0006759B"/>
    <w:rsid w:val="00067EE9"/>
    <w:rsid w:val="000710FA"/>
    <w:rsid w:val="00071A05"/>
    <w:rsid w:val="00071E5A"/>
    <w:rsid w:val="00072311"/>
    <w:rsid w:val="000745AD"/>
    <w:rsid w:val="00076F5D"/>
    <w:rsid w:val="000811A3"/>
    <w:rsid w:val="000839F5"/>
    <w:rsid w:val="00086098"/>
    <w:rsid w:val="00086245"/>
    <w:rsid w:val="000862C3"/>
    <w:rsid w:val="0008693D"/>
    <w:rsid w:val="00087E09"/>
    <w:rsid w:val="00092811"/>
    <w:rsid w:val="00092B1A"/>
    <w:rsid w:val="00096DBB"/>
    <w:rsid w:val="000A1FCB"/>
    <w:rsid w:val="000B1219"/>
    <w:rsid w:val="000B1DDE"/>
    <w:rsid w:val="000B364D"/>
    <w:rsid w:val="000B40DD"/>
    <w:rsid w:val="000B4146"/>
    <w:rsid w:val="000B5941"/>
    <w:rsid w:val="000B66F7"/>
    <w:rsid w:val="000B766C"/>
    <w:rsid w:val="000B7943"/>
    <w:rsid w:val="000B7C93"/>
    <w:rsid w:val="000C075F"/>
    <w:rsid w:val="000C15A6"/>
    <w:rsid w:val="000C2905"/>
    <w:rsid w:val="000C5252"/>
    <w:rsid w:val="000C62A6"/>
    <w:rsid w:val="000D512B"/>
    <w:rsid w:val="000E3B6C"/>
    <w:rsid w:val="000E3F87"/>
    <w:rsid w:val="000E525C"/>
    <w:rsid w:val="000E5B06"/>
    <w:rsid w:val="000E6E17"/>
    <w:rsid w:val="000F04CB"/>
    <w:rsid w:val="000F0C4A"/>
    <w:rsid w:val="000F1180"/>
    <w:rsid w:val="000F2439"/>
    <w:rsid w:val="000F4732"/>
    <w:rsid w:val="000F5797"/>
    <w:rsid w:val="000F7A8E"/>
    <w:rsid w:val="0010076A"/>
    <w:rsid w:val="001012F3"/>
    <w:rsid w:val="00106B1D"/>
    <w:rsid w:val="00106F8A"/>
    <w:rsid w:val="00110A85"/>
    <w:rsid w:val="00113F52"/>
    <w:rsid w:val="001155D7"/>
    <w:rsid w:val="00120561"/>
    <w:rsid w:val="001212AA"/>
    <w:rsid w:val="001217D4"/>
    <w:rsid w:val="00122799"/>
    <w:rsid w:val="001228B6"/>
    <w:rsid w:val="001254BD"/>
    <w:rsid w:val="001255CD"/>
    <w:rsid w:val="0012744B"/>
    <w:rsid w:val="00130F14"/>
    <w:rsid w:val="0013368C"/>
    <w:rsid w:val="00133CB0"/>
    <w:rsid w:val="00133D13"/>
    <w:rsid w:val="00134750"/>
    <w:rsid w:val="001374AA"/>
    <w:rsid w:val="00137595"/>
    <w:rsid w:val="001376DC"/>
    <w:rsid w:val="00137D59"/>
    <w:rsid w:val="0014072B"/>
    <w:rsid w:val="00140A56"/>
    <w:rsid w:val="001453D2"/>
    <w:rsid w:val="00145751"/>
    <w:rsid w:val="0014792D"/>
    <w:rsid w:val="001554CF"/>
    <w:rsid w:val="001562E0"/>
    <w:rsid w:val="00156A96"/>
    <w:rsid w:val="00157361"/>
    <w:rsid w:val="001609AB"/>
    <w:rsid w:val="00166754"/>
    <w:rsid w:val="001672B5"/>
    <w:rsid w:val="00167D02"/>
    <w:rsid w:val="00170DB7"/>
    <w:rsid w:val="00173829"/>
    <w:rsid w:val="001774E1"/>
    <w:rsid w:val="001803AE"/>
    <w:rsid w:val="00183A92"/>
    <w:rsid w:val="00185848"/>
    <w:rsid w:val="001866E9"/>
    <w:rsid w:val="0018723A"/>
    <w:rsid w:val="001877D9"/>
    <w:rsid w:val="001879E9"/>
    <w:rsid w:val="00187FB3"/>
    <w:rsid w:val="001904FD"/>
    <w:rsid w:val="00190CB5"/>
    <w:rsid w:val="00190E9E"/>
    <w:rsid w:val="00191193"/>
    <w:rsid w:val="001922FB"/>
    <w:rsid w:val="00192732"/>
    <w:rsid w:val="001939AB"/>
    <w:rsid w:val="001A0E14"/>
    <w:rsid w:val="001A295A"/>
    <w:rsid w:val="001A4A80"/>
    <w:rsid w:val="001A52B3"/>
    <w:rsid w:val="001A624A"/>
    <w:rsid w:val="001A6DBF"/>
    <w:rsid w:val="001A7EEA"/>
    <w:rsid w:val="001B2550"/>
    <w:rsid w:val="001B3188"/>
    <w:rsid w:val="001B6542"/>
    <w:rsid w:val="001B7681"/>
    <w:rsid w:val="001C01AB"/>
    <w:rsid w:val="001C5EB4"/>
    <w:rsid w:val="001C670D"/>
    <w:rsid w:val="001C75FD"/>
    <w:rsid w:val="001D1968"/>
    <w:rsid w:val="001D2BBF"/>
    <w:rsid w:val="001D4624"/>
    <w:rsid w:val="001D6FD8"/>
    <w:rsid w:val="001E1CD9"/>
    <w:rsid w:val="001E21D2"/>
    <w:rsid w:val="001E2BFD"/>
    <w:rsid w:val="001E2CB9"/>
    <w:rsid w:val="001E4C50"/>
    <w:rsid w:val="001E61E9"/>
    <w:rsid w:val="001E6E1F"/>
    <w:rsid w:val="001E797F"/>
    <w:rsid w:val="001E7DE2"/>
    <w:rsid w:val="001F385E"/>
    <w:rsid w:val="001F5E04"/>
    <w:rsid w:val="001F6FA9"/>
    <w:rsid w:val="0020069A"/>
    <w:rsid w:val="00200CD6"/>
    <w:rsid w:val="002041E5"/>
    <w:rsid w:val="00211DFF"/>
    <w:rsid w:val="00212813"/>
    <w:rsid w:val="00213BD6"/>
    <w:rsid w:val="0021626D"/>
    <w:rsid w:val="00221166"/>
    <w:rsid w:val="002220BA"/>
    <w:rsid w:val="00223F58"/>
    <w:rsid w:val="002241FC"/>
    <w:rsid w:val="0022625B"/>
    <w:rsid w:val="0022675D"/>
    <w:rsid w:val="00227C3B"/>
    <w:rsid w:val="002301F5"/>
    <w:rsid w:val="00230E49"/>
    <w:rsid w:val="0023179F"/>
    <w:rsid w:val="00233430"/>
    <w:rsid w:val="002340F4"/>
    <w:rsid w:val="002355AE"/>
    <w:rsid w:val="00242A9E"/>
    <w:rsid w:val="00243F83"/>
    <w:rsid w:val="00244C27"/>
    <w:rsid w:val="00245E8B"/>
    <w:rsid w:val="00246A81"/>
    <w:rsid w:val="00251771"/>
    <w:rsid w:val="00251E9D"/>
    <w:rsid w:val="00252E74"/>
    <w:rsid w:val="00253B34"/>
    <w:rsid w:val="002547FF"/>
    <w:rsid w:val="00260254"/>
    <w:rsid w:val="0026370B"/>
    <w:rsid w:val="00266093"/>
    <w:rsid w:val="00266CCC"/>
    <w:rsid w:val="00270FE8"/>
    <w:rsid w:val="00271871"/>
    <w:rsid w:val="002724F7"/>
    <w:rsid w:val="00272793"/>
    <w:rsid w:val="00274056"/>
    <w:rsid w:val="002742F4"/>
    <w:rsid w:val="002761BC"/>
    <w:rsid w:val="00280D29"/>
    <w:rsid w:val="00284B66"/>
    <w:rsid w:val="00284C25"/>
    <w:rsid w:val="00291516"/>
    <w:rsid w:val="0029202E"/>
    <w:rsid w:val="00293458"/>
    <w:rsid w:val="00296B4E"/>
    <w:rsid w:val="00297AF7"/>
    <w:rsid w:val="002A0E8E"/>
    <w:rsid w:val="002A40F0"/>
    <w:rsid w:val="002A4B19"/>
    <w:rsid w:val="002A5F3B"/>
    <w:rsid w:val="002A5F5A"/>
    <w:rsid w:val="002A666E"/>
    <w:rsid w:val="002B1D0E"/>
    <w:rsid w:val="002B2097"/>
    <w:rsid w:val="002C0879"/>
    <w:rsid w:val="002C1D7C"/>
    <w:rsid w:val="002C3732"/>
    <w:rsid w:val="002C3B02"/>
    <w:rsid w:val="002C6E27"/>
    <w:rsid w:val="002C7F69"/>
    <w:rsid w:val="002E0062"/>
    <w:rsid w:val="002E1514"/>
    <w:rsid w:val="002E1AC4"/>
    <w:rsid w:val="002F0858"/>
    <w:rsid w:val="002F1419"/>
    <w:rsid w:val="002F1AD0"/>
    <w:rsid w:val="002F430D"/>
    <w:rsid w:val="002F4539"/>
    <w:rsid w:val="002F572A"/>
    <w:rsid w:val="002F79B7"/>
    <w:rsid w:val="003006B0"/>
    <w:rsid w:val="00301D5D"/>
    <w:rsid w:val="0030254A"/>
    <w:rsid w:val="00302925"/>
    <w:rsid w:val="00303A03"/>
    <w:rsid w:val="00303C20"/>
    <w:rsid w:val="00306DA2"/>
    <w:rsid w:val="003100EA"/>
    <w:rsid w:val="003105F0"/>
    <w:rsid w:val="003116C5"/>
    <w:rsid w:val="0031182E"/>
    <w:rsid w:val="0031424D"/>
    <w:rsid w:val="0031528E"/>
    <w:rsid w:val="0032287E"/>
    <w:rsid w:val="00324178"/>
    <w:rsid w:val="00325890"/>
    <w:rsid w:val="00326576"/>
    <w:rsid w:val="003265CC"/>
    <w:rsid w:val="00326BE7"/>
    <w:rsid w:val="00330936"/>
    <w:rsid w:val="00331BA0"/>
    <w:rsid w:val="00331C94"/>
    <w:rsid w:val="00332772"/>
    <w:rsid w:val="0033278C"/>
    <w:rsid w:val="00334AA7"/>
    <w:rsid w:val="003356A1"/>
    <w:rsid w:val="00336586"/>
    <w:rsid w:val="0033719E"/>
    <w:rsid w:val="0034020C"/>
    <w:rsid w:val="00341DDD"/>
    <w:rsid w:val="00342E92"/>
    <w:rsid w:val="003450C6"/>
    <w:rsid w:val="003478B0"/>
    <w:rsid w:val="00352D75"/>
    <w:rsid w:val="00356D82"/>
    <w:rsid w:val="00356FEA"/>
    <w:rsid w:val="00360513"/>
    <w:rsid w:val="00362189"/>
    <w:rsid w:val="00363732"/>
    <w:rsid w:val="00363FFB"/>
    <w:rsid w:val="00367362"/>
    <w:rsid w:val="00367ABC"/>
    <w:rsid w:val="00367DEC"/>
    <w:rsid w:val="003711AC"/>
    <w:rsid w:val="00375F7E"/>
    <w:rsid w:val="00376F5C"/>
    <w:rsid w:val="00377ABE"/>
    <w:rsid w:val="00380879"/>
    <w:rsid w:val="00381BE7"/>
    <w:rsid w:val="003848E2"/>
    <w:rsid w:val="00384A61"/>
    <w:rsid w:val="00384FEB"/>
    <w:rsid w:val="00386F02"/>
    <w:rsid w:val="003875FC"/>
    <w:rsid w:val="00387A7E"/>
    <w:rsid w:val="00392D34"/>
    <w:rsid w:val="00393C51"/>
    <w:rsid w:val="00393EA9"/>
    <w:rsid w:val="003940E3"/>
    <w:rsid w:val="00394805"/>
    <w:rsid w:val="003A0BFB"/>
    <w:rsid w:val="003A159E"/>
    <w:rsid w:val="003A1D1C"/>
    <w:rsid w:val="003A4FDE"/>
    <w:rsid w:val="003A5271"/>
    <w:rsid w:val="003A6C77"/>
    <w:rsid w:val="003B15B6"/>
    <w:rsid w:val="003B2AF5"/>
    <w:rsid w:val="003B2F7D"/>
    <w:rsid w:val="003B3B6C"/>
    <w:rsid w:val="003B76CE"/>
    <w:rsid w:val="003C4A56"/>
    <w:rsid w:val="003C50D3"/>
    <w:rsid w:val="003C58EF"/>
    <w:rsid w:val="003C5971"/>
    <w:rsid w:val="003D0B26"/>
    <w:rsid w:val="003D15FB"/>
    <w:rsid w:val="003D2083"/>
    <w:rsid w:val="003D365F"/>
    <w:rsid w:val="003E192C"/>
    <w:rsid w:val="003E3872"/>
    <w:rsid w:val="003E5923"/>
    <w:rsid w:val="003E6132"/>
    <w:rsid w:val="003E7972"/>
    <w:rsid w:val="003F0C69"/>
    <w:rsid w:val="003F197A"/>
    <w:rsid w:val="003F2A3A"/>
    <w:rsid w:val="003F40FC"/>
    <w:rsid w:val="003F444C"/>
    <w:rsid w:val="003F682A"/>
    <w:rsid w:val="003F714A"/>
    <w:rsid w:val="00401408"/>
    <w:rsid w:val="00403ABA"/>
    <w:rsid w:val="00403F38"/>
    <w:rsid w:val="0040410C"/>
    <w:rsid w:val="0040475D"/>
    <w:rsid w:val="004050D9"/>
    <w:rsid w:val="004053B1"/>
    <w:rsid w:val="00405FB7"/>
    <w:rsid w:val="0040613F"/>
    <w:rsid w:val="00406617"/>
    <w:rsid w:val="00410A9C"/>
    <w:rsid w:val="00411CF3"/>
    <w:rsid w:val="00411DE9"/>
    <w:rsid w:val="00412BF2"/>
    <w:rsid w:val="0041344E"/>
    <w:rsid w:val="00420222"/>
    <w:rsid w:val="00422D15"/>
    <w:rsid w:val="004235FE"/>
    <w:rsid w:val="00423AA9"/>
    <w:rsid w:val="00423CAE"/>
    <w:rsid w:val="004241A8"/>
    <w:rsid w:val="00425ED7"/>
    <w:rsid w:val="004268FF"/>
    <w:rsid w:val="00432B91"/>
    <w:rsid w:val="004370A3"/>
    <w:rsid w:val="00437ED0"/>
    <w:rsid w:val="004400F7"/>
    <w:rsid w:val="00440AEF"/>
    <w:rsid w:val="0044100A"/>
    <w:rsid w:val="00441BD9"/>
    <w:rsid w:val="00441E8B"/>
    <w:rsid w:val="0044668A"/>
    <w:rsid w:val="00450BA7"/>
    <w:rsid w:val="00451F8C"/>
    <w:rsid w:val="00452A2B"/>
    <w:rsid w:val="0045328B"/>
    <w:rsid w:val="00457787"/>
    <w:rsid w:val="00457BF1"/>
    <w:rsid w:val="004623D2"/>
    <w:rsid w:val="004657CC"/>
    <w:rsid w:val="00470627"/>
    <w:rsid w:val="00471973"/>
    <w:rsid w:val="004726EE"/>
    <w:rsid w:val="004729F2"/>
    <w:rsid w:val="00474966"/>
    <w:rsid w:val="004750D0"/>
    <w:rsid w:val="004752FC"/>
    <w:rsid w:val="00476092"/>
    <w:rsid w:val="00480081"/>
    <w:rsid w:val="0048095B"/>
    <w:rsid w:val="00480F51"/>
    <w:rsid w:val="00481669"/>
    <w:rsid w:val="0048167D"/>
    <w:rsid w:val="00484D92"/>
    <w:rsid w:val="00487F0F"/>
    <w:rsid w:val="004906DF"/>
    <w:rsid w:val="00492239"/>
    <w:rsid w:val="0049363B"/>
    <w:rsid w:val="00494A46"/>
    <w:rsid w:val="004961A2"/>
    <w:rsid w:val="004A0B56"/>
    <w:rsid w:val="004A26E2"/>
    <w:rsid w:val="004A2CD2"/>
    <w:rsid w:val="004A425A"/>
    <w:rsid w:val="004A6993"/>
    <w:rsid w:val="004B18C6"/>
    <w:rsid w:val="004B5585"/>
    <w:rsid w:val="004B55B1"/>
    <w:rsid w:val="004B7579"/>
    <w:rsid w:val="004C1FC8"/>
    <w:rsid w:val="004C6989"/>
    <w:rsid w:val="004C72DB"/>
    <w:rsid w:val="004D1C57"/>
    <w:rsid w:val="004D2C14"/>
    <w:rsid w:val="004D3F82"/>
    <w:rsid w:val="004D423C"/>
    <w:rsid w:val="004D5A22"/>
    <w:rsid w:val="004D6C84"/>
    <w:rsid w:val="004E07DF"/>
    <w:rsid w:val="004E0F47"/>
    <w:rsid w:val="004E0FC9"/>
    <w:rsid w:val="004E1FD1"/>
    <w:rsid w:val="004E1FD9"/>
    <w:rsid w:val="004E48A8"/>
    <w:rsid w:val="004E5A7E"/>
    <w:rsid w:val="004E5C08"/>
    <w:rsid w:val="004E69CE"/>
    <w:rsid w:val="004E7906"/>
    <w:rsid w:val="004F1BEE"/>
    <w:rsid w:val="004F3006"/>
    <w:rsid w:val="004F56DB"/>
    <w:rsid w:val="0050037D"/>
    <w:rsid w:val="005003CF"/>
    <w:rsid w:val="00502CCF"/>
    <w:rsid w:val="00505375"/>
    <w:rsid w:val="005067B6"/>
    <w:rsid w:val="00507615"/>
    <w:rsid w:val="005131AD"/>
    <w:rsid w:val="005144E5"/>
    <w:rsid w:val="005151C2"/>
    <w:rsid w:val="00516670"/>
    <w:rsid w:val="0051689A"/>
    <w:rsid w:val="00516FCC"/>
    <w:rsid w:val="0052072A"/>
    <w:rsid w:val="005213B8"/>
    <w:rsid w:val="00521785"/>
    <w:rsid w:val="00522AA2"/>
    <w:rsid w:val="00523A7C"/>
    <w:rsid w:val="005300E3"/>
    <w:rsid w:val="00531797"/>
    <w:rsid w:val="005324EB"/>
    <w:rsid w:val="00534454"/>
    <w:rsid w:val="00535E42"/>
    <w:rsid w:val="00536703"/>
    <w:rsid w:val="00537D42"/>
    <w:rsid w:val="005409B7"/>
    <w:rsid w:val="00541515"/>
    <w:rsid w:val="00541714"/>
    <w:rsid w:val="00541BC7"/>
    <w:rsid w:val="00541D34"/>
    <w:rsid w:val="0054272F"/>
    <w:rsid w:val="005435F1"/>
    <w:rsid w:val="00544757"/>
    <w:rsid w:val="00545962"/>
    <w:rsid w:val="0054761E"/>
    <w:rsid w:val="00547D02"/>
    <w:rsid w:val="00550D58"/>
    <w:rsid w:val="0055257C"/>
    <w:rsid w:val="005526F4"/>
    <w:rsid w:val="00552D39"/>
    <w:rsid w:val="005533CC"/>
    <w:rsid w:val="00555280"/>
    <w:rsid w:val="00561698"/>
    <w:rsid w:val="00562C2F"/>
    <w:rsid w:val="00563F4F"/>
    <w:rsid w:val="00564FED"/>
    <w:rsid w:val="00566AE9"/>
    <w:rsid w:val="00570059"/>
    <w:rsid w:val="00575A52"/>
    <w:rsid w:val="005776D9"/>
    <w:rsid w:val="005824C1"/>
    <w:rsid w:val="00582811"/>
    <w:rsid w:val="00584497"/>
    <w:rsid w:val="00587B40"/>
    <w:rsid w:val="0059118C"/>
    <w:rsid w:val="005922B9"/>
    <w:rsid w:val="00592F67"/>
    <w:rsid w:val="005936D1"/>
    <w:rsid w:val="00595012"/>
    <w:rsid w:val="0059544F"/>
    <w:rsid w:val="00595E97"/>
    <w:rsid w:val="00596910"/>
    <w:rsid w:val="005A0844"/>
    <w:rsid w:val="005A3B98"/>
    <w:rsid w:val="005A537A"/>
    <w:rsid w:val="005A5898"/>
    <w:rsid w:val="005A693B"/>
    <w:rsid w:val="005B09B9"/>
    <w:rsid w:val="005B27DA"/>
    <w:rsid w:val="005B5C2F"/>
    <w:rsid w:val="005B600A"/>
    <w:rsid w:val="005B6F43"/>
    <w:rsid w:val="005B7C8A"/>
    <w:rsid w:val="005C28B3"/>
    <w:rsid w:val="005C33F3"/>
    <w:rsid w:val="005C442F"/>
    <w:rsid w:val="005C4607"/>
    <w:rsid w:val="005C5535"/>
    <w:rsid w:val="005C5F99"/>
    <w:rsid w:val="005C6034"/>
    <w:rsid w:val="005D0D3E"/>
    <w:rsid w:val="005D1618"/>
    <w:rsid w:val="005D1F2F"/>
    <w:rsid w:val="005D372E"/>
    <w:rsid w:val="005D4627"/>
    <w:rsid w:val="005D4FB3"/>
    <w:rsid w:val="005D60FC"/>
    <w:rsid w:val="005D64FB"/>
    <w:rsid w:val="005D6F38"/>
    <w:rsid w:val="005E00D5"/>
    <w:rsid w:val="005E100D"/>
    <w:rsid w:val="005E477D"/>
    <w:rsid w:val="005E5511"/>
    <w:rsid w:val="005E557E"/>
    <w:rsid w:val="005E5E2C"/>
    <w:rsid w:val="005E7709"/>
    <w:rsid w:val="005E78B7"/>
    <w:rsid w:val="005E790C"/>
    <w:rsid w:val="005F0200"/>
    <w:rsid w:val="005F2754"/>
    <w:rsid w:val="005F2AFD"/>
    <w:rsid w:val="005F446B"/>
    <w:rsid w:val="005F4AB9"/>
    <w:rsid w:val="005F5914"/>
    <w:rsid w:val="005F5CBA"/>
    <w:rsid w:val="005F6CDE"/>
    <w:rsid w:val="005F7452"/>
    <w:rsid w:val="00601D20"/>
    <w:rsid w:val="00603CA4"/>
    <w:rsid w:val="006064A5"/>
    <w:rsid w:val="00606A0B"/>
    <w:rsid w:val="006071B6"/>
    <w:rsid w:val="006073BC"/>
    <w:rsid w:val="00610FBA"/>
    <w:rsid w:val="006110F4"/>
    <w:rsid w:val="0061795B"/>
    <w:rsid w:val="006179F2"/>
    <w:rsid w:val="00617C38"/>
    <w:rsid w:val="006202F7"/>
    <w:rsid w:val="006206A1"/>
    <w:rsid w:val="00622ABD"/>
    <w:rsid w:val="00625452"/>
    <w:rsid w:val="0062585C"/>
    <w:rsid w:val="00630FB0"/>
    <w:rsid w:val="0063183E"/>
    <w:rsid w:val="00633169"/>
    <w:rsid w:val="0063433F"/>
    <w:rsid w:val="0063489E"/>
    <w:rsid w:val="00640B5C"/>
    <w:rsid w:val="00642657"/>
    <w:rsid w:val="00642DCD"/>
    <w:rsid w:val="006440C0"/>
    <w:rsid w:val="00647EAF"/>
    <w:rsid w:val="0065122B"/>
    <w:rsid w:val="00654873"/>
    <w:rsid w:val="00660623"/>
    <w:rsid w:val="00661986"/>
    <w:rsid w:val="006669CE"/>
    <w:rsid w:val="006672AA"/>
    <w:rsid w:val="00672A97"/>
    <w:rsid w:val="0067588F"/>
    <w:rsid w:val="00676CFF"/>
    <w:rsid w:val="00680E91"/>
    <w:rsid w:val="0068260E"/>
    <w:rsid w:val="0068325F"/>
    <w:rsid w:val="006918BF"/>
    <w:rsid w:val="00694416"/>
    <w:rsid w:val="00694500"/>
    <w:rsid w:val="00694568"/>
    <w:rsid w:val="0069457C"/>
    <w:rsid w:val="006A40DB"/>
    <w:rsid w:val="006A64B9"/>
    <w:rsid w:val="006A7378"/>
    <w:rsid w:val="006A75F9"/>
    <w:rsid w:val="006B3313"/>
    <w:rsid w:val="006B3C74"/>
    <w:rsid w:val="006B4031"/>
    <w:rsid w:val="006B4D68"/>
    <w:rsid w:val="006B56B0"/>
    <w:rsid w:val="006C3317"/>
    <w:rsid w:val="006C6651"/>
    <w:rsid w:val="006C67AB"/>
    <w:rsid w:val="006C7CD5"/>
    <w:rsid w:val="006D0F37"/>
    <w:rsid w:val="006D1758"/>
    <w:rsid w:val="006D3B57"/>
    <w:rsid w:val="006D3BE0"/>
    <w:rsid w:val="006D3C5C"/>
    <w:rsid w:val="006D40AB"/>
    <w:rsid w:val="006E0D45"/>
    <w:rsid w:val="006E2F69"/>
    <w:rsid w:val="006E4FE2"/>
    <w:rsid w:val="006E5FA4"/>
    <w:rsid w:val="006F3428"/>
    <w:rsid w:val="006F660C"/>
    <w:rsid w:val="00705102"/>
    <w:rsid w:val="00706DCD"/>
    <w:rsid w:val="007073D6"/>
    <w:rsid w:val="007100C6"/>
    <w:rsid w:val="00712682"/>
    <w:rsid w:val="00714A86"/>
    <w:rsid w:val="00716AAB"/>
    <w:rsid w:val="00716C11"/>
    <w:rsid w:val="00717072"/>
    <w:rsid w:val="00721091"/>
    <w:rsid w:val="00724B6C"/>
    <w:rsid w:val="00724DA0"/>
    <w:rsid w:val="00725163"/>
    <w:rsid w:val="00726256"/>
    <w:rsid w:val="0072743C"/>
    <w:rsid w:val="00727723"/>
    <w:rsid w:val="00733173"/>
    <w:rsid w:val="007359D8"/>
    <w:rsid w:val="00735A26"/>
    <w:rsid w:val="00735ECB"/>
    <w:rsid w:val="00737C6E"/>
    <w:rsid w:val="00741A88"/>
    <w:rsid w:val="007425E2"/>
    <w:rsid w:val="00742B2C"/>
    <w:rsid w:val="00742EF6"/>
    <w:rsid w:val="00744E31"/>
    <w:rsid w:val="0074516C"/>
    <w:rsid w:val="0074660B"/>
    <w:rsid w:val="00746962"/>
    <w:rsid w:val="00747CEC"/>
    <w:rsid w:val="00753CEF"/>
    <w:rsid w:val="00757311"/>
    <w:rsid w:val="00760398"/>
    <w:rsid w:val="00761395"/>
    <w:rsid w:val="0076230A"/>
    <w:rsid w:val="00764746"/>
    <w:rsid w:val="007649E1"/>
    <w:rsid w:val="007659FB"/>
    <w:rsid w:val="007666EA"/>
    <w:rsid w:val="00767688"/>
    <w:rsid w:val="007717BE"/>
    <w:rsid w:val="00772025"/>
    <w:rsid w:val="00773105"/>
    <w:rsid w:val="00773C52"/>
    <w:rsid w:val="007750EC"/>
    <w:rsid w:val="00776940"/>
    <w:rsid w:val="00776C02"/>
    <w:rsid w:val="00780FCD"/>
    <w:rsid w:val="007816D6"/>
    <w:rsid w:val="00781CFD"/>
    <w:rsid w:val="00783032"/>
    <w:rsid w:val="00783D61"/>
    <w:rsid w:val="00790603"/>
    <w:rsid w:val="00791491"/>
    <w:rsid w:val="0079478E"/>
    <w:rsid w:val="00796A40"/>
    <w:rsid w:val="007A1FC6"/>
    <w:rsid w:val="007A451F"/>
    <w:rsid w:val="007A4D59"/>
    <w:rsid w:val="007A5C19"/>
    <w:rsid w:val="007A7ED1"/>
    <w:rsid w:val="007B1D01"/>
    <w:rsid w:val="007B2042"/>
    <w:rsid w:val="007B27A4"/>
    <w:rsid w:val="007B3C28"/>
    <w:rsid w:val="007B4873"/>
    <w:rsid w:val="007C069A"/>
    <w:rsid w:val="007C18AF"/>
    <w:rsid w:val="007C2B26"/>
    <w:rsid w:val="007C32CF"/>
    <w:rsid w:val="007D0795"/>
    <w:rsid w:val="007D0D05"/>
    <w:rsid w:val="007D106D"/>
    <w:rsid w:val="007D11A3"/>
    <w:rsid w:val="007D426A"/>
    <w:rsid w:val="007D456C"/>
    <w:rsid w:val="007D7246"/>
    <w:rsid w:val="007E2D47"/>
    <w:rsid w:val="007E32F0"/>
    <w:rsid w:val="007E3682"/>
    <w:rsid w:val="007E7176"/>
    <w:rsid w:val="007E7909"/>
    <w:rsid w:val="007F12E6"/>
    <w:rsid w:val="007F20A2"/>
    <w:rsid w:val="007F2835"/>
    <w:rsid w:val="007F51DD"/>
    <w:rsid w:val="007F6003"/>
    <w:rsid w:val="008003E7"/>
    <w:rsid w:val="0080299B"/>
    <w:rsid w:val="00804D74"/>
    <w:rsid w:val="00806487"/>
    <w:rsid w:val="00810E02"/>
    <w:rsid w:val="008110E3"/>
    <w:rsid w:val="0081122C"/>
    <w:rsid w:val="00812054"/>
    <w:rsid w:val="008165C1"/>
    <w:rsid w:val="00825068"/>
    <w:rsid w:val="00825220"/>
    <w:rsid w:val="00826B07"/>
    <w:rsid w:val="008272BB"/>
    <w:rsid w:val="00827C21"/>
    <w:rsid w:val="008308BF"/>
    <w:rsid w:val="00833874"/>
    <w:rsid w:val="008368B8"/>
    <w:rsid w:val="008404F1"/>
    <w:rsid w:val="008406DA"/>
    <w:rsid w:val="00840AE3"/>
    <w:rsid w:val="00841035"/>
    <w:rsid w:val="00841173"/>
    <w:rsid w:val="00843AFF"/>
    <w:rsid w:val="00845356"/>
    <w:rsid w:val="0084568A"/>
    <w:rsid w:val="00845A74"/>
    <w:rsid w:val="0084754D"/>
    <w:rsid w:val="00850622"/>
    <w:rsid w:val="00851FAF"/>
    <w:rsid w:val="008556A1"/>
    <w:rsid w:val="00855A3B"/>
    <w:rsid w:val="0085606E"/>
    <w:rsid w:val="00861E52"/>
    <w:rsid w:val="00861F08"/>
    <w:rsid w:val="008620E5"/>
    <w:rsid w:val="008643AD"/>
    <w:rsid w:val="008651B3"/>
    <w:rsid w:val="0086589A"/>
    <w:rsid w:val="00866256"/>
    <w:rsid w:val="0086786A"/>
    <w:rsid w:val="00870309"/>
    <w:rsid w:val="0087275C"/>
    <w:rsid w:val="00874C77"/>
    <w:rsid w:val="008755CC"/>
    <w:rsid w:val="00875CD9"/>
    <w:rsid w:val="0087642C"/>
    <w:rsid w:val="00876FF7"/>
    <w:rsid w:val="00877E9B"/>
    <w:rsid w:val="0088130F"/>
    <w:rsid w:val="00882534"/>
    <w:rsid w:val="00883470"/>
    <w:rsid w:val="008841A3"/>
    <w:rsid w:val="00885C05"/>
    <w:rsid w:val="008877C6"/>
    <w:rsid w:val="00892E8D"/>
    <w:rsid w:val="00894859"/>
    <w:rsid w:val="008A357E"/>
    <w:rsid w:val="008A546A"/>
    <w:rsid w:val="008A67B2"/>
    <w:rsid w:val="008A6CD0"/>
    <w:rsid w:val="008B19DE"/>
    <w:rsid w:val="008B3773"/>
    <w:rsid w:val="008B3C0B"/>
    <w:rsid w:val="008B561F"/>
    <w:rsid w:val="008B666C"/>
    <w:rsid w:val="008C044C"/>
    <w:rsid w:val="008C46BC"/>
    <w:rsid w:val="008C78B5"/>
    <w:rsid w:val="008D5484"/>
    <w:rsid w:val="008D57C9"/>
    <w:rsid w:val="008D5A69"/>
    <w:rsid w:val="008D5E30"/>
    <w:rsid w:val="008D6623"/>
    <w:rsid w:val="008E00D7"/>
    <w:rsid w:val="008E1DCE"/>
    <w:rsid w:val="008E4D0D"/>
    <w:rsid w:val="008E7085"/>
    <w:rsid w:val="008F054C"/>
    <w:rsid w:val="008F2150"/>
    <w:rsid w:val="00901CC6"/>
    <w:rsid w:val="00902B53"/>
    <w:rsid w:val="00905326"/>
    <w:rsid w:val="00910580"/>
    <w:rsid w:val="0091072B"/>
    <w:rsid w:val="00923769"/>
    <w:rsid w:val="009244EC"/>
    <w:rsid w:val="00931234"/>
    <w:rsid w:val="009313EB"/>
    <w:rsid w:val="00932F13"/>
    <w:rsid w:val="00935205"/>
    <w:rsid w:val="00935826"/>
    <w:rsid w:val="00935E8D"/>
    <w:rsid w:val="0093700E"/>
    <w:rsid w:val="00941153"/>
    <w:rsid w:val="00942FAB"/>
    <w:rsid w:val="00944633"/>
    <w:rsid w:val="0094777A"/>
    <w:rsid w:val="0095012D"/>
    <w:rsid w:val="00950226"/>
    <w:rsid w:val="00951ED2"/>
    <w:rsid w:val="009520DC"/>
    <w:rsid w:val="00952F8D"/>
    <w:rsid w:val="00953EC7"/>
    <w:rsid w:val="009569C3"/>
    <w:rsid w:val="00960459"/>
    <w:rsid w:val="009604AC"/>
    <w:rsid w:val="00961718"/>
    <w:rsid w:val="00966DD9"/>
    <w:rsid w:val="009700A2"/>
    <w:rsid w:val="00971524"/>
    <w:rsid w:val="0097343F"/>
    <w:rsid w:val="009737D1"/>
    <w:rsid w:val="00975FCE"/>
    <w:rsid w:val="00977133"/>
    <w:rsid w:val="00980A8C"/>
    <w:rsid w:val="0098226F"/>
    <w:rsid w:val="009840CB"/>
    <w:rsid w:val="00985B16"/>
    <w:rsid w:val="00991685"/>
    <w:rsid w:val="00992BEC"/>
    <w:rsid w:val="00992FD7"/>
    <w:rsid w:val="00993F08"/>
    <w:rsid w:val="00994427"/>
    <w:rsid w:val="00997E82"/>
    <w:rsid w:val="009A0E13"/>
    <w:rsid w:val="009A0F34"/>
    <w:rsid w:val="009A2DFD"/>
    <w:rsid w:val="009A3508"/>
    <w:rsid w:val="009A4DF8"/>
    <w:rsid w:val="009A6101"/>
    <w:rsid w:val="009B012F"/>
    <w:rsid w:val="009B1276"/>
    <w:rsid w:val="009B139A"/>
    <w:rsid w:val="009B1F1A"/>
    <w:rsid w:val="009B1F8E"/>
    <w:rsid w:val="009B5E3E"/>
    <w:rsid w:val="009B7C01"/>
    <w:rsid w:val="009C04BA"/>
    <w:rsid w:val="009C3358"/>
    <w:rsid w:val="009C3B85"/>
    <w:rsid w:val="009C7086"/>
    <w:rsid w:val="009D1541"/>
    <w:rsid w:val="009D1D32"/>
    <w:rsid w:val="009D280D"/>
    <w:rsid w:val="009D65AE"/>
    <w:rsid w:val="009D7267"/>
    <w:rsid w:val="009D7657"/>
    <w:rsid w:val="009D76FC"/>
    <w:rsid w:val="009D7F1A"/>
    <w:rsid w:val="009E06A1"/>
    <w:rsid w:val="009E1F0D"/>
    <w:rsid w:val="009E3BB7"/>
    <w:rsid w:val="009E58D9"/>
    <w:rsid w:val="009E672F"/>
    <w:rsid w:val="009F1A66"/>
    <w:rsid w:val="009F3B6A"/>
    <w:rsid w:val="009F4A1A"/>
    <w:rsid w:val="009F5246"/>
    <w:rsid w:val="009F60DE"/>
    <w:rsid w:val="00A00484"/>
    <w:rsid w:val="00A00F30"/>
    <w:rsid w:val="00A010F9"/>
    <w:rsid w:val="00A0236F"/>
    <w:rsid w:val="00A02906"/>
    <w:rsid w:val="00A054F1"/>
    <w:rsid w:val="00A10085"/>
    <w:rsid w:val="00A11704"/>
    <w:rsid w:val="00A160FB"/>
    <w:rsid w:val="00A207C1"/>
    <w:rsid w:val="00A20F49"/>
    <w:rsid w:val="00A217CD"/>
    <w:rsid w:val="00A2250E"/>
    <w:rsid w:val="00A2282D"/>
    <w:rsid w:val="00A242B2"/>
    <w:rsid w:val="00A25DD1"/>
    <w:rsid w:val="00A27631"/>
    <w:rsid w:val="00A310F0"/>
    <w:rsid w:val="00A31FE7"/>
    <w:rsid w:val="00A320C3"/>
    <w:rsid w:val="00A368C1"/>
    <w:rsid w:val="00A37C29"/>
    <w:rsid w:val="00A37E99"/>
    <w:rsid w:val="00A411F4"/>
    <w:rsid w:val="00A46E46"/>
    <w:rsid w:val="00A47ED5"/>
    <w:rsid w:val="00A50519"/>
    <w:rsid w:val="00A53DFC"/>
    <w:rsid w:val="00A55939"/>
    <w:rsid w:val="00A572CD"/>
    <w:rsid w:val="00A62D60"/>
    <w:rsid w:val="00A70D0A"/>
    <w:rsid w:val="00A712C6"/>
    <w:rsid w:val="00A738B8"/>
    <w:rsid w:val="00A7401A"/>
    <w:rsid w:val="00A741B5"/>
    <w:rsid w:val="00A7493B"/>
    <w:rsid w:val="00A776F1"/>
    <w:rsid w:val="00A77AF7"/>
    <w:rsid w:val="00A8098D"/>
    <w:rsid w:val="00A858E2"/>
    <w:rsid w:val="00A86C72"/>
    <w:rsid w:val="00A90B9B"/>
    <w:rsid w:val="00A90C96"/>
    <w:rsid w:val="00A941DD"/>
    <w:rsid w:val="00A94B7A"/>
    <w:rsid w:val="00A968BF"/>
    <w:rsid w:val="00AA1112"/>
    <w:rsid w:val="00AA2E1F"/>
    <w:rsid w:val="00AA49E7"/>
    <w:rsid w:val="00AA4B19"/>
    <w:rsid w:val="00AA6248"/>
    <w:rsid w:val="00AA6F87"/>
    <w:rsid w:val="00AA7D18"/>
    <w:rsid w:val="00AB07D4"/>
    <w:rsid w:val="00AB41BB"/>
    <w:rsid w:val="00AB47DF"/>
    <w:rsid w:val="00AB4953"/>
    <w:rsid w:val="00AB529A"/>
    <w:rsid w:val="00AB5F6B"/>
    <w:rsid w:val="00AB6917"/>
    <w:rsid w:val="00AB7A48"/>
    <w:rsid w:val="00AC00D4"/>
    <w:rsid w:val="00AC6337"/>
    <w:rsid w:val="00AD0D99"/>
    <w:rsid w:val="00AD125D"/>
    <w:rsid w:val="00AD155F"/>
    <w:rsid w:val="00AD3DCF"/>
    <w:rsid w:val="00AD4579"/>
    <w:rsid w:val="00AD5771"/>
    <w:rsid w:val="00AE2A07"/>
    <w:rsid w:val="00AE2C89"/>
    <w:rsid w:val="00AE2E51"/>
    <w:rsid w:val="00AE4AD4"/>
    <w:rsid w:val="00AE4E59"/>
    <w:rsid w:val="00AE7324"/>
    <w:rsid w:val="00AE7CC1"/>
    <w:rsid w:val="00AF2D9A"/>
    <w:rsid w:val="00AF4852"/>
    <w:rsid w:val="00AF7397"/>
    <w:rsid w:val="00B00409"/>
    <w:rsid w:val="00B01D93"/>
    <w:rsid w:val="00B05426"/>
    <w:rsid w:val="00B05F5A"/>
    <w:rsid w:val="00B06890"/>
    <w:rsid w:val="00B12AE7"/>
    <w:rsid w:val="00B12B75"/>
    <w:rsid w:val="00B145D2"/>
    <w:rsid w:val="00B205F0"/>
    <w:rsid w:val="00B2107E"/>
    <w:rsid w:val="00B2187A"/>
    <w:rsid w:val="00B21E2E"/>
    <w:rsid w:val="00B21E3E"/>
    <w:rsid w:val="00B22FDB"/>
    <w:rsid w:val="00B24D27"/>
    <w:rsid w:val="00B31870"/>
    <w:rsid w:val="00B32BF4"/>
    <w:rsid w:val="00B365FF"/>
    <w:rsid w:val="00B36C2D"/>
    <w:rsid w:val="00B4193D"/>
    <w:rsid w:val="00B4290A"/>
    <w:rsid w:val="00B50B07"/>
    <w:rsid w:val="00B510C8"/>
    <w:rsid w:val="00B518A3"/>
    <w:rsid w:val="00B52197"/>
    <w:rsid w:val="00B526C5"/>
    <w:rsid w:val="00B52858"/>
    <w:rsid w:val="00B53262"/>
    <w:rsid w:val="00B53B24"/>
    <w:rsid w:val="00B55FBA"/>
    <w:rsid w:val="00B63F16"/>
    <w:rsid w:val="00B6524B"/>
    <w:rsid w:val="00B65FD5"/>
    <w:rsid w:val="00B70BEA"/>
    <w:rsid w:val="00B72E87"/>
    <w:rsid w:val="00B74E0D"/>
    <w:rsid w:val="00B7598A"/>
    <w:rsid w:val="00B77822"/>
    <w:rsid w:val="00B81415"/>
    <w:rsid w:val="00B819A9"/>
    <w:rsid w:val="00B82412"/>
    <w:rsid w:val="00B82BC7"/>
    <w:rsid w:val="00B8365A"/>
    <w:rsid w:val="00B85DD8"/>
    <w:rsid w:val="00B87EC5"/>
    <w:rsid w:val="00B87F87"/>
    <w:rsid w:val="00B90740"/>
    <w:rsid w:val="00B92013"/>
    <w:rsid w:val="00B92F57"/>
    <w:rsid w:val="00B9355C"/>
    <w:rsid w:val="00B95FFB"/>
    <w:rsid w:val="00B96407"/>
    <w:rsid w:val="00B97294"/>
    <w:rsid w:val="00B97DEB"/>
    <w:rsid w:val="00BA2C5B"/>
    <w:rsid w:val="00BA318E"/>
    <w:rsid w:val="00BA42FC"/>
    <w:rsid w:val="00BA4901"/>
    <w:rsid w:val="00BA4C02"/>
    <w:rsid w:val="00BA55AE"/>
    <w:rsid w:val="00BB1B74"/>
    <w:rsid w:val="00BB2FBE"/>
    <w:rsid w:val="00BB5936"/>
    <w:rsid w:val="00BC0803"/>
    <w:rsid w:val="00BC1F1C"/>
    <w:rsid w:val="00BC2260"/>
    <w:rsid w:val="00BC37DD"/>
    <w:rsid w:val="00BC5438"/>
    <w:rsid w:val="00BC5579"/>
    <w:rsid w:val="00BC6BF8"/>
    <w:rsid w:val="00BC72F8"/>
    <w:rsid w:val="00BD04AC"/>
    <w:rsid w:val="00BD1523"/>
    <w:rsid w:val="00BD1E50"/>
    <w:rsid w:val="00BD1FCE"/>
    <w:rsid w:val="00BD2B94"/>
    <w:rsid w:val="00BD3B13"/>
    <w:rsid w:val="00BD563C"/>
    <w:rsid w:val="00BD5E6D"/>
    <w:rsid w:val="00BD6699"/>
    <w:rsid w:val="00BD7084"/>
    <w:rsid w:val="00BD7972"/>
    <w:rsid w:val="00BE0160"/>
    <w:rsid w:val="00BE01D3"/>
    <w:rsid w:val="00BE15AF"/>
    <w:rsid w:val="00BE645C"/>
    <w:rsid w:val="00BE6511"/>
    <w:rsid w:val="00BE744C"/>
    <w:rsid w:val="00BF51A2"/>
    <w:rsid w:val="00C00F54"/>
    <w:rsid w:val="00C04B10"/>
    <w:rsid w:val="00C05F03"/>
    <w:rsid w:val="00C127B4"/>
    <w:rsid w:val="00C12B0D"/>
    <w:rsid w:val="00C1395B"/>
    <w:rsid w:val="00C15590"/>
    <w:rsid w:val="00C24030"/>
    <w:rsid w:val="00C25245"/>
    <w:rsid w:val="00C25B49"/>
    <w:rsid w:val="00C25D5E"/>
    <w:rsid w:val="00C348C3"/>
    <w:rsid w:val="00C356F2"/>
    <w:rsid w:val="00C4041B"/>
    <w:rsid w:val="00C418C7"/>
    <w:rsid w:val="00C4234A"/>
    <w:rsid w:val="00C42C4C"/>
    <w:rsid w:val="00C4693C"/>
    <w:rsid w:val="00C5426E"/>
    <w:rsid w:val="00C5487B"/>
    <w:rsid w:val="00C56DFC"/>
    <w:rsid w:val="00C61973"/>
    <w:rsid w:val="00C61C9F"/>
    <w:rsid w:val="00C626F1"/>
    <w:rsid w:val="00C63018"/>
    <w:rsid w:val="00C63539"/>
    <w:rsid w:val="00C66B2E"/>
    <w:rsid w:val="00C704CE"/>
    <w:rsid w:val="00C71CA7"/>
    <w:rsid w:val="00C72553"/>
    <w:rsid w:val="00C74419"/>
    <w:rsid w:val="00C74BAD"/>
    <w:rsid w:val="00C755E4"/>
    <w:rsid w:val="00C75D97"/>
    <w:rsid w:val="00C767CC"/>
    <w:rsid w:val="00C772C1"/>
    <w:rsid w:val="00C86004"/>
    <w:rsid w:val="00C92BBE"/>
    <w:rsid w:val="00C93A43"/>
    <w:rsid w:val="00C94BB2"/>
    <w:rsid w:val="00C94D21"/>
    <w:rsid w:val="00C95611"/>
    <w:rsid w:val="00C95BA7"/>
    <w:rsid w:val="00C96BBC"/>
    <w:rsid w:val="00C9779A"/>
    <w:rsid w:val="00CA19F0"/>
    <w:rsid w:val="00CA2F1B"/>
    <w:rsid w:val="00CA39DB"/>
    <w:rsid w:val="00CA4E2F"/>
    <w:rsid w:val="00CA6518"/>
    <w:rsid w:val="00CA6E14"/>
    <w:rsid w:val="00CA7B8B"/>
    <w:rsid w:val="00CB0748"/>
    <w:rsid w:val="00CB0E9A"/>
    <w:rsid w:val="00CB4121"/>
    <w:rsid w:val="00CB67E2"/>
    <w:rsid w:val="00CB6A61"/>
    <w:rsid w:val="00CB7759"/>
    <w:rsid w:val="00CB7D10"/>
    <w:rsid w:val="00CC131F"/>
    <w:rsid w:val="00CC3923"/>
    <w:rsid w:val="00CC520C"/>
    <w:rsid w:val="00CC552B"/>
    <w:rsid w:val="00CC5856"/>
    <w:rsid w:val="00CC6007"/>
    <w:rsid w:val="00CC61E7"/>
    <w:rsid w:val="00CD0FBC"/>
    <w:rsid w:val="00CD2A56"/>
    <w:rsid w:val="00CD2BAE"/>
    <w:rsid w:val="00CD4A2B"/>
    <w:rsid w:val="00CD4E03"/>
    <w:rsid w:val="00CD53D9"/>
    <w:rsid w:val="00CD5831"/>
    <w:rsid w:val="00CD6985"/>
    <w:rsid w:val="00CE09E5"/>
    <w:rsid w:val="00CE1A17"/>
    <w:rsid w:val="00CE3393"/>
    <w:rsid w:val="00CE49F0"/>
    <w:rsid w:val="00CE7BA2"/>
    <w:rsid w:val="00CF0BB5"/>
    <w:rsid w:val="00CF1CD5"/>
    <w:rsid w:val="00CF41A9"/>
    <w:rsid w:val="00CF4F24"/>
    <w:rsid w:val="00CF60DA"/>
    <w:rsid w:val="00CF7950"/>
    <w:rsid w:val="00CF7DA8"/>
    <w:rsid w:val="00D00BF2"/>
    <w:rsid w:val="00D0197E"/>
    <w:rsid w:val="00D01FCD"/>
    <w:rsid w:val="00D01FD7"/>
    <w:rsid w:val="00D027CA"/>
    <w:rsid w:val="00D0719C"/>
    <w:rsid w:val="00D10CF5"/>
    <w:rsid w:val="00D11434"/>
    <w:rsid w:val="00D14B92"/>
    <w:rsid w:val="00D1530F"/>
    <w:rsid w:val="00D1590A"/>
    <w:rsid w:val="00D17688"/>
    <w:rsid w:val="00D23B63"/>
    <w:rsid w:val="00D254AE"/>
    <w:rsid w:val="00D27949"/>
    <w:rsid w:val="00D30284"/>
    <w:rsid w:val="00D365CE"/>
    <w:rsid w:val="00D3786F"/>
    <w:rsid w:val="00D40391"/>
    <w:rsid w:val="00D440EF"/>
    <w:rsid w:val="00D45340"/>
    <w:rsid w:val="00D45EA5"/>
    <w:rsid w:val="00D51793"/>
    <w:rsid w:val="00D5356F"/>
    <w:rsid w:val="00D54426"/>
    <w:rsid w:val="00D56409"/>
    <w:rsid w:val="00D572AE"/>
    <w:rsid w:val="00D65EF7"/>
    <w:rsid w:val="00D66EBF"/>
    <w:rsid w:val="00D67821"/>
    <w:rsid w:val="00D67DBA"/>
    <w:rsid w:val="00D700B8"/>
    <w:rsid w:val="00D70FED"/>
    <w:rsid w:val="00D816EA"/>
    <w:rsid w:val="00D8469E"/>
    <w:rsid w:val="00D91433"/>
    <w:rsid w:val="00D924EB"/>
    <w:rsid w:val="00D94882"/>
    <w:rsid w:val="00D97843"/>
    <w:rsid w:val="00DA1635"/>
    <w:rsid w:val="00DA2058"/>
    <w:rsid w:val="00DA28D2"/>
    <w:rsid w:val="00DA6236"/>
    <w:rsid w:val="00DA7EF3"/>
    <w:rsid w:val="00DB02EB"/>
    <w:rsid w:val="00DB071A"/>
    <w:rsid w:val="00DB1114"/>
    <w:rsid w:val="00DB2290"/>
    <w:rsid w:val="00DB3E4C"/>
    <w:rsid w:val="00DB661C"/>
    <w:rsid w:val="00DC1929"/>
    <w:rsid w:val="00DC2312"/>
    <w:rsid w:val="00DD50D2"/>
    <w:rsid w:val="00DE028E"/>
    <w:rsid w:val="00DE26B7"/>
    <w:rsid w:val="00DE458C"/>
    <w:rsid w:val="00DE78E6"/>
    <w:rsid w:val="00DE7F58"/>
    <w:rsid w:val="00DF20CB"/>
    <w:rsid w:val="00DF2A7A"/>
    <w:rsid w:val="00DF432C"/>
    <w:rsid w:val="00DF60C0"/>
    <w:rsid w:val="00DF6F15"/>
    <w:rsid w:val="00DF72B3"/>
    <w:rsid w:val="00E00904"/>
    <w:rsid w:val="00E019F0"/>
    <w:rsid w:val="00E02218"/>
    <w:rsid w:val="00E03A37"/>
    <w:rsid w:val="00E03AC9"/>
    <w:rsid w:val="00E03ECC"/>
    <w:rsid w:val="00E05161"/>
    <w:rsid w:val="00E06947"/>
    <w:rsid w:val="00E06B0E"/>
    <w:rsid w:val="00E07129"/>
    <w:rsid w:val="00E074D6"/>
    <w:rsid w:val="00E10471"/>
    <w:rsid w:val="00E1250D"/>
    <w:rsid w:val="00E129D1"/>
    <w:rsid w:val="00E14ED0"/>
    <w:rsid w:val="00E16993"/>
    <w:rsid w:val="00E1777C"/>
    <w:rsid w:val="00E17CB7"/>
    <w:rsid w:val="00E20DBD"/>
    <w:rsid w:val="00E21DED"/>
    <w:rsid w:val="00E25320"/>
    <w:rsid w:val="00E273F2"/>
    <w:rsid w:val="00E31E90"/>
    <w:rsid w:val="00E337A9"/>
    <w:rsid w:val="00E34F8E"/>
    <w:rsid w:val="00E36B8D"/>
    <w:rsid w:val="00E36D2A"/>
    <w:rsid w:val="00E42E67"/>
    <w:rsid w:val="00E43B2F"/>
    <w:rsid w:val="00E521AE"/>
    <w:rsid w:val="00E525A3"/>
    <w:rsid w:val="00E53263"/>
    <w:rsid w:val="00E535D3"/>
    <w:rsid w:val="00E5399E"/>
    <w:rsid w:val="00E54B65"/>
    <w:rsid w:val="00E55655"/>
    <w:rsid w:val="00E57341"/>
    <w:rsid w:val="00E62BE3"/>
    <w:rsid w:val="00E6381D"/>
    <w:rsid w:val="00E64F35"/>
    <w:rsid w:val="00E65584"/>
    <w:rsid w:val="00E668C4"/>
    <w:rsid w:val="00E7033B"/>
    <w:rsid w:val="00E70F85"/>
    <w:rsid w:val="00E729DA"/>
    <w:rsid w:val="00E74168"/>
    <w:rsid w:val="00E7700A"/>
    <w:rsid w:val="00E80FA9"/>
    <w:rsid w:val="00E82CD5"/>
    <w:rsid w:val="00E82F7C"/>
    <w:rsid w:val="00E83363"/>
    <w:rsid w:val="00E83B58"/>
    <w:rsid w:val="00E85BD3"/>
    <w:rsid w:val="00E87A2E"/>
    <w:rsid w:val="00E917DD"/>
    <w:rsid w:val="00E92381"/>
    <w:rsid w:val="00E9276A"/>
    <w:rsid w:val="00E93F93"/>
    <w:rsid w:val="00E96131"/>
    <w:rsid w:val="00EA021E"/>
    <w:rsid w:val="00EA162E"/>
    <w:rsid w:val="00EA23D9"/>
    <w:rsid w:val="00EA2917"/>
    <w:rsid w:val="00EA2AEA"/>
    <w:rsid w:val="00EA2E2C"/>
    <w:rsid w:val="00EA538D"/>
    <w:rsid w:val="00EA6932"/>
    <w:rsid w:val="00EB0A58"/>
    <w:rsid w:val="00EB2B4E"/>
    <w:rsid w:val="00EB2C25"/>
    <w:rsid w:val="00EB50A4"/>
    <w:rsid w:val="00EB776A"/>
    <w:rsid w:val="00EB7B12"/>
    <w:rsid w:val="00EC0665"/>
    <w:rsid w:val="00EC1F60"/>
    <w:rsid w:val="00EC23E7"/>
    <w:rsid w:val="00EC29A7"/>
    <w:rsid w:val="00EC6F2A"/>
    <w:rsid w:val="00EC7B75"/>
    <w:rsid w:val="00ED2E46"/>
    <w:rsid w:val="00EE004D"/>
    <w:rsid w:val="00EE1052"/>
    <w:rsid w:val="00EE45C6"/>
    <w:rsid w:val="00EE4AE4"/>
    <w:rsid w:val="00EE551F"/>
    <w:rsid w:val="00EE557A"/>
    <w:rsid w:val="00EE67EB"/>
    <w:rsid w:val="00EF0A70"/>
    <w:rsid w:val="00EF3798"/>
    <w:rsid w:val="00F00901"/>
    <w:rsid w:val="00F01313"/>
    <w:rsid w:val="00F013AC"/>
    <w:rsid w:val="00F01F07"/>
    <w:rsid w:val="00F0206B"/>
    <w:rsid w:val="00F026FB"/>
    <w:rsid w:val="00F02D54"/>
    <w:rsid w:val="00F056E5"/>
    <w:rsid w:val="00F05962"/>
    <w:rsid w:val="00F07670"/>
    <w:rsid w:val="00F0779F"/>
    <w:rsid w:val="00F10126"/>
    <w:rsid w:val="00F11481"/>
    <w:rsid w:val="00F1247B"/>
    <w:rsid w:val="00F14A06"/>
    <w:rsid w:val="00F15226"/>
    <w:rsid w:val="00F177F4"/>
    <w:rsid w:val="00F203E8"/>
    <w:rsid w:val="00F22EE0"/>
    <w:rsid w:val="00F249E1"/>
    <w:rsid w:val="00F25813"/>
    <w:rsid w:val="00F26610"/>
    <w:rsid w:val="00F26B86"/>
    <w:rsid w:val="00F26CCC"/>
    <w:rsid w:val="00F27223"/>
    <w:rsid w:val="00F32F85"/>
    <w:rsid w:val="00F35C22"/>
    <w:rsid w:val="00F35E64"/>
    <w:rsid w:val="00F367CC"/>
    <w:rsid w:val="00F36BB5"/>
    <w:rsid w:val="00F370BC"/>
    <w:rsid w:val="00F40FC8"/>
    <w:rsid w:val="00F41CCF"/>
    <w:rsid w:val="00F42F8F"/>
    <w:rsid w:val="00F435EA"/>
    <w:rsid w:val="00F438C3"/>
    <w:rsid w:val="00F43F18"/>
    <w:rsid w:val="00F46650"/>
    <w:rsid w:val="00F47332"/>
    <w:rsid w:val="00F51BED"/>
    <w:rsid w:val="00F52BBE"/>
    <w:rsid w:val="00F53839"/>
    <w:rsid w:val="00F54593"/>
    <w:rsid w:val="00F54688"/>
    <w:rsid w:val="00F548E1"/>
    <w:rsid w:val="00F54BA7"/>
    <w:rsid w:val="00F56E72"/>
    <w:rsid w:val="00F63811"/>
    <w:rsid w:val="00F64411"/>
    <w:rsid w:val="00F649B7"/>
    <w:rsid w:val="00F71266"/>
    <w:rsid w:val="00F74EF9"/>
    <w:rsid w:val="00F75683"/>
    <w:rsid w:val="00F75781"/>
    <w:rsid w:val="00F75F39"/>
    <w:rsid w:val="00F77157"/>
    <w:rsid w:val="00F822B6"/>
    <w:rsid w:val="00F85BC0"/>
    <w:rsid w:val="00F85C0B"/>
    <w:rsid w:val="00F86333"/>
    <w:rsid w:val="00F90503"/>
    <w:rsid w:val="00F910B2"/>
    <w:rsid w:val="00F9204E"/>
    <w:rsid w:val="00F9277A"/>
    <w:rsid w:val="00F92FA0"/>
    <w:rsid w:val="00F932B7"/>
    <w:rsid w:val="00F939DB"/>
    <w:rsid w:val="00FA1056"/>
    <w:rsid w:val="00FA2B3F"/>
    <w:rsid w:val="00FA2BCB"/>
    <w:rsid w:val="00FA395C"/>
    <w:rsid w:val="00FA5392"/>
    <w:rsid w:val="00FA603D"/>
    <w:rsid w:val="00FB026B"/>
    <w:rsid w:val="00FB1811"/>
    <w:rsid w:val="00FB2900"/>
    <w:rsid w:val="00FB2E42"/>
    <w:rsid w:val="00FB42EC"/>
    <w:rsid w:val="00FB4B67"/>
    <w:rsid w:val="00FB5308"/>
    <w:rsid w:val="00FB5B86"/>
    <w:rsid w:val="00FB7B57"/>
    <w:rsid w:val="00FC12D9"/>
    <w:rsid w:val="00FC1354"/>
    <w:rsid w:val="00FC1840"/>
    <w:rsid w:val="00FC1FD8"/>
    <w:rsid w:val="00FC232F"/>
    <w:rsid w:val="00FC2B5B"/>
    <w:rsid w:val="00FC6D14"/>
    <w:rsid w:val="00FC6E0B"/>
    <w:rsid w:val="00FC74F0"/>
    <w:rsid w:val="00FD11EF"/>
    <w:rsid w:val="00FD2146"/>
    <w:rsid w:val="00FD3F7F"/>
    <w:rsid w:val="00FD4EAE"/>
    <w:rsid w:val="00FE185D"/>
    <w:rsid w:val="00FE2FA1"/>
    <w:rsid w:val="00FE4F46"/>
    <w:rsid w:val="00FE7247"/>
    <w:rsid w:val="00FF1999"/>
    <w:rsid w:val="00FF3BF5"/>
    <w:rsid w:val="00FF3CCA"/>
    <w:rsid w:val="00FF49DB"/>
    <w:rsid w:val="00FF4B0C"/>
    <w:rsid w:val="00FF5AE0"/>
    <w:rsid w:val="00FF7961"/>
    <w:rsid w:val="025649A5"/>
    <w:rsid w:val="02EE4545"/>
    <w:rsid w:val="04B213C1"/>
    <w:rsid w:val="07B830C9"/>
    <w:rsid w:val="08591B53"/>
    <w:rsid w:val="0AAE4873"/>
    <w:rsid w:val="0C711B61"/>
    <w:rsid w:val="0E573A15"/>
    <w:rsid w:val="0E5E1357"/>
    <w:rsid w:val="0F522C33"/>
    <w:rsid w:val="10625970"/>
    <w:rsid w:val="13BF7656"/>
    <w:rsid w:val="144C6484"/>
    <w:rsid w:val="147C701C"/>
    <w:rsid w:val="164E481D"/>
    <w:rsid w:val="165F67BF"/>
    <w:rsid w:val="16A3679F"/>
    <w:rsid w:val="16F64807"/>
    <w:rsid w:val="170535D2"/>
    <w:rsid w:val="17764DDA"/>
    <w:rsid w:val="17863082"/>
    <w:rsid w:val="1A564145"/>
    <w:rsid w:val="1AF5570C"/>
    <w:rsid w:val="1B3F6F31"/>
    <w:rsid w:val="1FE73867"/>
    <w:rsid w:val="20152DEF"/>
    <w:rsid w:val="22AF4D3A"/>
    <w:rsid w:val="22DC50C0"/>
    <w:rsid w:val="231B0274"/>
    <w:rsid w:val="239857CE"/>
    <w:rsid w:val="240942E1"/>
    <w:rsid w:val="24CF6863"/>
    <w:rsid w:val="257B0F03"/>
    <w:rsid w:val="271F4AC7"/>
    <w:rsid w:val="27D56FF1"/>
    <w:rsid w:val="298A7967"/>
    <w:rsid w:val="2A4F604D"/>
    <w:rsid w:val="2B7803BF"/>
    <w:rsid w:val="2DA27E29"/>
    <w:rsid w:val="2F515458"/>
    <w:rsid w:val="2F972B34"/>
    <w:rsid w:val="2FD75490"/>
    <w:rsid w:val="30E367CA"/>
    <w:rsid w:val="30EB2E74"/>
    <w:rsid w:val="3141132E"/>
    <w:rsid w:val="33151E94"/>
    <w:rsid w:val="3385074A"/>
    <w:rsid w:val="354A7834"/>
    <w:rsid w:val="35A10CFB"/>
    <w:rsid w:val="37DA5F5D"/>
    <w:rsid w:val="396A50BF"/>
    <w:rsid w:val="3C644D24"/>
    <w:rsid w:val="3CA40574"/>
    <w:rsid w:val="3D60686E"/>
    <w:rsid w:val="3FF557B9"/>
    <w:rsid w:val="403B217E"/>
    <w:rsid w:val="41CA7043"/>
    <w:rsid w:val="43F6411F"/>
    <w:rsid w:val="456E5482"/>
    <w:rsid w:val="48097E12"/>
    <w:rsid w:val="48A64365"/>
    <w:rsid w:val="48BF3E0F"/>
    <w:rsid w:val="4B8947A0"/>
    <w:rsid w:val="4BEA2746"/>
    <w:rsid w:val="4CBB4C3F"/>
    <w:rsid w:val="4D1B0B1C"/>
    <w:rsid w:val="4D671BE9"/>
    <w:rsid w:val="4FDE320E"/>
    <w:rsid w:val="4FE614EB"/>
    <w:rsid w:val="504B134F"/>
    <w:rsid w:val="50BB2978"/>
    <w:rsid w:val="50C23D07"/>
    <w:rsid w:val="53CB68D7"/>
    <w:rsid w:val="5A3B68D8"/>
    <w:rsid w:val="5A6B2D19"/>
    <w:rsid w:val="5AC12619"/>
    <w:rsid w:val="5AEB4C4D"/>
    <w:rsid w:val="5C437082"/>
    <w:rsid w:val="5E5534AE"/>
    <w:rsid w:val="5EFC447F"/>
    <w:rsid w:val="6110461A"/>
    <w:rsid w:val="61EB473F"/>
    <w:rsid w:val="63B21468"/>
    <w:rsid w:val="63E022EB"/>
    <w:rsid w:val="657F1DD3"/>
    <w:rsid w:val="657F408A"/>
    <w:rsid w:val="66434E23"/>
    <w:rsid w:val="67D16B97"/>
    <w:rsid w:val="67D72F49"/>
    <w:rsid w:val="68DB61C0"/>
    <w:rsid w:val="6A312515"/>
    <w:rsid w:val="6B733784"/>
    <w:rsid w:val="6C186A79"/>
    <w:rsid w:val="6D087337"/>
    <w:rsid w:val="6D334FAA"/>
    <w:rsid w:val="726C57F1"/>
    <w:rsid w:val="73D523AE"/>
    <w:rsid w:val="74582108"/>
    <w:rsid w:val="74952B90"/>
    <w:rsid w:val="754212BF"/>
    <w:rsid w:val="78A53442"/>
    <w:rsid w:val="78CB26D2"/>
    <w:rsid w:val="79CA4A4A"/>
    <w:rsid w:val="7A832EEB"/>
    <w:rsid w:val="7B3B2BFD"/>
    <w:rsid w:val="7C975798"/>
    <w:rsid w:val="7CA80F61"/>
    <w:rsid w:val="7D6A07B6"/>
    <w:rsid w:val="7EB26183"/>
    <w:rsid w:val="7FFE54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等线" w:hAnsi="等线" w:eastAsia="等线" w:cs="Times New Roman"/>
      <w:kern w:val="2"/>
      <w:sz w:val="21"/>
      <w:szCs w:val="22"/>
      <w:lang w:val="en-US" w:eastAsia="zh-CN" w:bidi="ar-SA"/>
    </w:rPr>
  </w:style>
  <w:style w:type="paragraph" w:styleId="2">
    <w:name w:val="heading 1"/>
    <w:basedOn w:val="1"/>
    <w:next w:val="1"/>
    <w:link w:val="18"/>
    <w:qFormat/>
    <w:uiPriority w:val="9"/>
    <w:pPr>
      <w:widowControl/>
      <w:spacing w:before="100" w:beforeAutospacing="1" w:after="100" w:afterAutospacing="1"/>
      <w:jc w:val="left"/>
      <w:outlineLvl w:val="0"/>
    </w:pPr>
    <w:rPr>
      <w:rFonts w:ascii="宋体" w:hAnsi="宋体" w:eastAsia="宋体" w:cs="宋体"/>
      <w:b/>
      <w:bCs/>
      <w:kern w:val="36"/>
      <w:sz w:val="48"/>
      <w:szCs w:val="48"/>
    </w:rPr>
  </w:style>
  <w:style w:type="paragraph" w:styleId="3">
    <w:name w:val="heading 3"/>
    <w:basedOn w:val="1"/>
    <w:next w:val="1"/>
    <w:link w:val="19"/>
    <w:unhideWhenUsed/>
    <w:qFormat/>
    <w:uiPriority w:val="9"/>
    <w:pPr>
      <w:keepNext/>
      <w:keepLines/>
      <w:spacing w:before="260" w:after="260" w:line="416" w:lineRule="auto"/>
      <w:outlineLvl w:val="2"/>
    </w:pPr>
    <w:rPr>
      <w:b/>
      <w:bCs/>
      <w:sz w:val="32"/>
      <w:szCs w:val="32"/>
    </w:rPr>
  </w:style>
  <w:style w:type="character" w:default="1" w:styleId="13">
    <w:name w:val="Default Paragraph Font"/>
    <w:semiHidden/>
    <w:unhideWhenUsed/>
    <w:qFormat/>
    <w:uiPriority w:val="1"/>
  </w:style>
  <w:style w:type="table" w:default="1" w:styleId="11">
    <w:name w:val="Normal Table"/>
    <w:semiHidden/>
    <w:unhideWhenUsed/>
    <w:uiPriority w:val="99"/>
    <w:tblPr>
      <w:tblCellMar>
        <w:top w:w="0" w:type="dxa"/>
        <w:left w:w="108" w:type="dxa"/>
        <w:bottom w:w="0" w:type="dxa"/>
        <w:right w:w="108" w:type="dxa"/>
      </w:tblCellMar>
    </w:tblPr>
  </w:style>
  <w:style w:type="paragraph" w:styleId="4">
    <w:name w:val="annotation text"/>
    <w:basedOn w:val="1"/>
    <w:link w:val="20"/>
    <w:unhideWhenUsed/>
    <w:qFormat/>
    <w:uiPriority w:val="99"/>
    <w:pPr>
      <w:jc w:val="left"/>
    </w:pPr>
  </w:style>
  <w:style w:type="paragraph" w:styleId="5">
    <w:name w:val="Body Text"/>
    <w:basedOn w:val="1"/>
    <w:qFormat/>
    <w:uiPriority w:val="1"/>
    <w:pPr>
      <w:spacing w:before="161"/>
      <w:ind w:left="229"/>
    </w:pPr>
    <w:rPr>
      <w:rFonts w:ascii="宋体" w:hAnsi="宋体" w:eastAsia="宋体" w:cs="宋体"/>
      <w:sz w:val="24"/>
      <w:szCs w:val="24"/>
      <w:lang w:val="zh-CN" w:bidi="zh-CN"/>
    </w:rPr>
  </w:style>
  <w:style w:type="paragraph" w:styleId="6">
    <w:name w:val="Balloon Text"/>
    <w:basedOn w:val="1"/>
    <w:link w:val="21"/>
    <w:unhideWhenUsed/>
    <w:qFormat/>
    <w:uiPriority w:val="99"/>
    <w:rPr>
      <w:sz w:val="18"/>
      <w:szCs w:val="18"/>
    </w:rPr>
  </w:style>
  <w:style w:type="paragraph" w:styleId="7">
    <w:name w:val="footer"/>
    <w:basedOn w:val="1"/>
    <w:link w:val="22"/>
    <w:unhideWhenUsed/>
    <w:qFormat/>
    <w:uiPriority w:val="99"/>
    <w:pPr>
      <w:tabs>
        <w:tab w:val="center" w:pos="4153"/>
        <w:tab w:val="right" w:pos="8306"/>
      </w:tabs>
      <w:snapToGrid w:val="0"/>
      <w:jc w:val="left"/>
    </w:pPr>
    <w:rPr>
      <w:sz w:val="18"/>
      <w:szCs w:val="18"/>
    </w:rPr>
  </w:style>
  <w:style w:type="paragraph" w:styleId="8">
    <w:name w:val="header"/>
    <w:basedOn w:val="1"/>
    <w:link w:val="23"/>
    <w:unhideWhenUsed/>
    <w:qFormat/>
    <w:uiPriority w:val="99"/>
    <w:pPr>
      <w:pBdr>
        <w:bottom w:val="single" w:color="auto" w:sz="6" w:space="1"/>
      </w:pBdr>
      <w:tabs>
        <w:tab w:val="center" w:pos="4153"/>
        <w:tab w:val="right" w:pos="8306"/>
      </w:tabs>
      <w:snapToGrid w:val="0"/>
      <w:jc w:val="center"/>
    </w:pPr>
    <w:rPr>
      <w:sz w:val="18"/>
      <w:szCs w:val="18"/>
    </w:rPr>
  </w:style>
  <w:style w:type="paragraph" w:styleId="9">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10">
    <w:name w:val="annotation subject"/>
    <w:basedOn w:val="4"/>
    <w:next w:val="4"/>
    <w:link w:val="24"/>
    <w:unhideWhenUsed/>
    <w:qFormat/>
    <w:uiPriority w:val="99"/>
    <w:rPr>
      <w:b/>
      <w:bCs/>
    </w:rPr>
  </w:style>
  <w:style w:type="table" w:styleId="12">
    <w:name w:val="Table Grid"/>
    <w:basedOn w:val="11"/>
    <w:qFormat/>
    <w:uiPriority w:val="5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14">
    <w:name w:val="FollowedHyperlink"/>
    <w:basedOn w:val="13"/>
    <w:semiHidden/>
    <w:unhideWhenUsed/>
    <w:qFormat/>
    <w:uiPriority w:val="99"/>
    <w:rPr>
      <w:color w:val="800080"/>
      <w:u w:val="single"/>
    </w:rPr>
  </w:style>
  <w:style w:type="character" w:styleId="15">
    <w:name w:val="Hyperlink"/>
    <w:basedOn w:val="13"/>
    <w:unhideWhenUsed/>
    <w:qFormat/>
    <w:uiPriority w:val="99"/>
    <w:rPr>
      <w:color w:val="0000FF"/>
      <w:u w:val="single"/>
    </w:rPr>
  </w:style>
  <w:style w:type="character" w:styleId="16">
    <w:name w:val="annotation reference"/>
    <w:basedOn w:val="13"/>
    <w:unhideWhenUsed/>
    <w:qFormat/>
    <w:uiPriority w:val="99"/>
    <w:rPr>
      <w:sz w:val="21"/>
      <w:szCs w:val="21"/>
    </w:rPr>
  </w:style>
  <w:style w:type="paragraph" w:customStyle="1" w:styleId="17">
    <w:name w:val="4－正文LX"/>
    <w:next w:val="1"/>
    <w:qFormat/>
    <w:uiPriority w:val="0"/>
    <w:pPr>
      <w:spacing w:line="300" w:lineRule="auto"/>
      <w:ind w:firstLine="200" w:firstLineChars="200"/>
    </w:pPr>
    <w:rPr>
      <w:rFonts w:ascii="Times New Roman" w:hAnsi="Times New Roman" w:eastAsia="宋体" w:cs="Times New Roman"/>
      <w:kern w:val="2"/>
      <w:sz w:val="24"/>
      <w:szCs w:val="24"/>
      <w:lang w:val="sv-SE" w:eastAsia="zh-CN" w:bidi="ar-SA"/>
    </w:rPr>
  </w:style>
  <w:style w:type="character" w:customStyle="1" w:styleId="18">
    <w:name w:val="标题 1 字符"/>
    <w:basedOn w:val="13"/>
    <w:link w:val="2"/>
    <w:qFormat/>
    <w:uiPriority w:val="9"/>
    <w:rPr>
      <w:rFonts w:ascii="宋体" w:hAnsi="宋体" w:eastAsia="宋体" w:cs="宋体"/>
      <w:b/>
      <w:bCs/>
      <w:kern w:val="36"/>
      <w:sz w:val="48"/>
      <w:szCs w:val="48"/>
    </w:rPr>
  </w:style>
  <w:style w:type="character" w:customStyle="1" w:styleId="19">
    <w:name w:val="标题 3 字符"/>
    <w:basedOn w:val="13"/>
    <w:link w:val="3"/>
    <w:semiHidden/>
    <w:qFormat/>
    <w:uiPriority w:val="9"/>
    <w:rPr>
      <w:b/>
      <w:bCs/>
      <w:sz w:val="32"/>
      <w:szCs w:val="32"/>
    </w:rPr>
  </w:style>
  <w:style w:type="character" w:customStyle="1" w:styleId="20">
    <w:name w:val="批注文字 字符"/>
    <w:basedOn w:val="13"/>
    <w:link w:val="4"/>
    <w:semiHidden/>
    <w:qFormat/>
    <w:uiPriority w:val="99"/>
  </w:style>
  <w:style w:type="character" w:customStyle="1" w:styleId="21">
    <w:name w:val="批注框文本 字符"/>
    <w:basedOn w:val="13"/>
    <w:link w:val="6"/>
    <w:semiHidden/>
    <w:qFormat/>
    <w:uiPriority w:val="99"/>
    <w:rPr>
      <w:sz w:val="18"/>
      <w:szCs w:val="18"/>
    </w:rPr>
  </w:style>
  <w:style w:type="character" w:customStyle="1" w:styleId="22">
    <w:name w:val="页脚 字符"/>
    <w:basedOn w:val="13"/>
    <w:link w:val="7"/>
    <w:qFormat/>
    <w:uiPriority w:val="99"/>
    <w:rPr>
      <w:sz w:val="18"/>
      <w:szCs w:val="18"/>
    </w:rPr>
  </w:style>
  <w:style w:type="character" w:customStyle="1" w:styleId="23">
    <w:name w:val="页眉 字符"/>
    <w:basedOn w:val="13"/>
    <w:link w:val="8"/>
    <w:qFormat/>
    <w:uiPriority w:val="99"/>
    <w:rPr>
      <w:sz w:val="18"/>
      <w:szCs w:val="18"/>
    </w:rPr>
  </w:style>
  <w:style w:type="character" w:customStyle="1" w:styleId="24">
    <w:name w:val="批注主题 字符"/>
    <w:basedOn w:val="20"/>
    <w:link w:val="10"/>
    <w:semiHidden/>
    <w:qFormat/>
    <w:uiPriority w:val="99"/>
    <w:rPr>
      <w:b/>
      <w:bCs/>
    </w:rPr>
  </w:style>
  <w:style w:type="character" w:customStyle="1" w:styleId="25">
    <w:name w:val="fontstyle01"/>
    <w:basedOn w:val="13"/>
    <w:qFormat/>
    <w:uiPriority w:val="0"/>
    <w:rPr>
      <w:rFonts w:hint="default" w:ascii="Times New Roman" w:hAnsi="Times New Roman" w:cs="Times New Roman"/>
      <w:i/>
      <w:iCs/>
      <w:color w:val="000000"/>
      <w:sz w:val="22"/>
      <w:szCs w:val="22"/>
    </w:rPr>
  </w:style>
  <w:style w:type="paragraph" w:customStyle="1" w:styleId="26">
    <w:name w:val="修订1"/>
    <w:semiHidden/>
    <w:qFormat/>
    <w:uiPriority w:val="99"/>
    <w:rPr>
      <w:rFonts w:ascii="等线" w:hAnsi="等线" w:eastAsia="等线" w:cs="Times New Roman"/>
      <w:kern w:val="2"/>
      <w:sz w:val="21"/>
      <w:szCs w:val="22"/>
      <w:lang w:val="en-US" w:eastAsia="zh-CN" w:bidi="ar-SA"/>
    </w:rPr>
  </w:style>
  <w:style w:type="paragraph" w:styleId="27">
    <w:name w:val="List Paragraph"/>
    <w:basedOn w:val="1"/>
    <w:qFormat/>
    <w:uiPriority w:val="34"/>
    <w:pPr>
      <w:ind w:firstLine="420" w:firstLineChars="200"/>
    </w:pPr>
  </w:style>
  <w:style w:type="paragraph" w:customStyle="1" w:styleId="28">
    <w:name w:val="Default"/>
    <w:qFormat/>
    <w:uiPriority w:val="0"/>
    <w:pPr>
      <w:widowControl w:val="0"/>
      <w:autoSpaceDE w:val="0"/>
      <w:autoSpaceDN w:val="0"/>
      <w:adjustRightInd w:val="0"/>
    </w:pPr>
    <w:rPr>
      <w:rFonts w:ascii="宋体" w:hAnsi="宋体" w:eastAsia="等线" w:cs="宋体"/>
      <w:color w:val="000000"/>
      <w:sz w:val="24"/>
      <w:szCs w:val="24"/>
      <w:lang w:val="en-US" w:eastAsia="zh-CN" w:bidi="ar-SA"/>
    </w:rPr>
  </w:style>
  <w:style w:type="paragraph" w:customStyle="1" w:styleId="29">
    <w:name w:val="Table Paragraph"/>
    <w:basedOn w:val="1"/>
    <w:qFormat/>
    <w:uiPriority w:val="1"/>
    <w:rPr>
      <w:rFonts w:ascii="Times New Roman" w:hAnsi="Times New Roman" w:eastAsia="Times New Roman"/>
      <w:lang w:val="zh-CN" w:bidi="zh-CN"/>
    </w:rPr>
  </w:style>
  <w:style w:type="paragraph" w:customStyle="1" w:styleId="30">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31">
    <w:name w:val="字母编号列项（一级）"/>
    <w:qFormat/>
    <w:uiPriority w:val="0"/>
    <w:pPr>
      <w:ind w:left="840" w:leftChars="200" w:hanging="420" w:hangingChars="200"/>
      <w:jc w:val="both"/>
    </w:pPr>
    <w:rPr>
      <w:rFonts w:ascii="宋体" w:hAnsi="Times New Roman" w:eastAsia="宋体" w:cs="Times New Roman"/>
      <w:sz w:val="21"/>
      <w:lang w:val="en-US" w:eastAsia="zh-CN" w:bidi="ar-SA"/>
    </w:rPr>
  </w:style>
  <w:style w:type="character" w:customStyle="1" w:styleId="32">
    <w:name w:val="font11"/>
    <w:basedOn w:val="13"/>
    <w:qFormat/>
    <w:uiPriority w:val="0"/>
    <w:rPr>
      <w:rFonts w:hint="eastAsia" w:ascii="宋体" w:hAnsi="宋体" w:eastAsia="宋体" w:cs="宋体"/>
      <w:color w:val="000000"/>
      <w:sz w:val="22"/>
      <w:szCs w:val="22"/>
      <w:u w:val="none"/>
      <w:vertAlign w:val="superscript"/>
    </w:rPr>
  </w:style>
  <w:style w:type="character" w:customStyle="1" w:styleId="33">
    <w:name w:val="font21"/>
    <w:basedOn w:val="13"/>
    <w:qFormat/>
    <w:uiPriority w:val="0"/>
    <w:rPr>
      <w:rFonts w:hint="eastAsia" w:ascii="宋体" w:hAnsi="宋体" w:eastAsia="宋体" w:cs="宋体"/>
      <w:color w:val="000000"/>
      <w:sz w:val="22"/>
      <w:szCs w:val="22"/>
      <w:u w:val="none"/>
    </w:rPr>
  </w:style>
  <w:style w:type="character" w:customStyle="1" w:styleId="34">
    <w:name w:val="font01"/>
    <w:basedOn w:val="13"/>
    <w:qFormat/>
    <w:uiPriority w:val="0"/>
    <w:rPr>
      <w:rFonts w:hint="eastAsia" w:ascii="宋体" w:hAnsi="宋体" w:eastAsia="宋体" w:cs="宋体"/>
      <w:color w:val="000000"/>
      <w:sz w:val="22"/>
      <w:szCs w:val="22"/>
      <w:u w:val="none"/>
    </w:rPr>
  </w:style>
  <w:style w:type="paragraph" w:customStyle="1" w:styleId="35">
    <w:name w:val="Revision"/>
    <w:hidden/>
    <w:semiHidden/>
    <w:qFormat/>
    <w:uiPriority w:val="99"/>
    <w:rPr>
      <w:rFonts w:ascii="等线" w:hAnsi="等线" w:eastAsia="等线" w:cs="Times New Roman"/>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emf"/><Relationship Id="rId8" Type="http://schemas.openxmlformats.org/officeDocument/2006/relationships/oleObject" Target="embeddings/oleObject3.bin"/><Relationship Id="rId7" Type="http://schemas.openxmlformats.org/officeDocument/2006/relationships/image" Target="media/image2.emf"/><Relationship Id="rId6" Type="http://schemas.openxmlformats.org/officeDocument/2006/relationships/oleObject" Target="embeddings/oleObject2.bin"/><Relationship Id="rId5" Type="http://schemas.openxmlformats.org/officeDocument/2006/relationships/image" Target="media/image1.emf"/><Relationship Id="rId4" Type="http://schemas.openxmlformats.org/officeDocument/2006/relationships/oleObject" Target="embeddings/oleObject1.bin"/><Relationship Id="rId30" Type="http://schemas.openxmlformats.org/officeDocument/2006/relationships/fontTable" Target="fontTable.xml"/><Relationship Id="rId3" Type="http://schemas.openxmlformats.org/officeDocument/2006/relationships/theme" Target="theme/theme1.xml"/><Relationship Id="rId29" Type="http://schemas.openxmlformats.org/officeDocument/2006/relationships/customXml" Target="../customXml/item1.xml"/><Relationship Id="rId28" Type="http://schemas.openxmlformats.org/officeDocument/2006/relationships/numbering" Target="numbering.xml"/><Relationship Id="rId27" Type="http://schemas.openxmlformats.org/officeDocument/2006/relationships/image" Target="media/image12.emf"/><Relationship Id="rId26" Type="http://schemas.openxmlformats.org/officeDocument/2006/relationships/oleObject" Target="embeddings/oleObject12.bin"/><Relationship Id="rId25" Type="http://schemas.openxmlformats.org/officeDocument/2006/relationships/image" Target="media/image11.emf"/><Relationship Id="rId24" Type="http://schemas.openxmlformats.org/officeDocument/2006/relationships/oleObject" Target="embeddings/oleObject11.bin"/><Relationship Id="rId23" Type="http://schemas.openxmlformats.org/officeDocument/2006/relationships/image" Target="media/image10.emf"/><Relationship Id="rId22" Type="http://schemas.openxmlformats.org/officeDocument/2006/relationships/oleObject" Target="embeddings/oleObject10.bin"/><Relationship Id="rId21" Type="http://schemas.openxmlformats.org/officeDocument/2006/relationships/image" Target="media/image9.emf"/><Relationship Id="rId20" Type="http://schemas.openxmlformats.org/officeDocument/2006/relationships/oleObject" Target="embeddings/oleObject9.bin"/><Relationship Id="rId2" Type="http://schemas.openxmlformats.org/officeDocument/2006/relationships/settings" Target="settings.xml"/><Relationship Id="rId19" Type="http://schemas.openxmlformats.org/officeDocument/2006/relationships/image" Target="media/image8.emf"/><Relationship Id="rId18" Type="http://schemas.openxmlformats.org/officeDocument/2006/relationships/oleObject" Target="embeddings/oleObject8.bin"/><Relationship Id="rId17" Type="http://schemas.openxmlformats.org/officeDocument/2006/relationships/image" Target="media/image7.emf"/><Relationship Id="rId16" Type="http://schemas.openxmlformats.org/officeDocument/2006/relationships/oleObject" Target="embeddings/oleObject7.bin"/><Relationship Id="rId15" Type="http://schemas.openxmlformats.org/officeDocument/2006/relationships/image" Target="media/image6.emf"/><Relationship Id="rId14" Type="http://schemas.openxmlformats.org/officeDocument/2006/relationships/oleObject" Target="embeddings/oleObject6.bin"/><Relationship Id="rId13" Type="http://schemas.openxmlformats.org/officeDocument/2006/relationships/image" Target="media/image5.emf"/><Relationship Id="rId12" Type="http://schemas.openxmlformats.org/officeDocument/2006/relationships/oleObject" Target="embeddings/oleObject5.bin"/><Relationship Id="rId11" Type="http://schemas.openxmlformats.org/officeDocument/2006/relationships/image" Target="media/image4.emf"/><Relationship Id="rId10" Type="http://schemas.openxmlformats.org/officeDocument/2006/relationships/oleObject" Target="embeddings/oleObject4.bin"/><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87D316-72B4-4C34-BB6B-7CFA6B0AF953}">
  <ds:schemaRefs/>
</ds:datastoreItem>
</file>

<file path=docProps/app.xml><?xml version="1.0" encoding="utf-8"?>
<Properties xmlns="http://schemas.openxmlformats.org/officeDocument/2006/extended-properties" xmlns:vt="http://schemas.openxmlformats.org/officeDocument/2006/docPropsVTypes">
  <Template>Normal</Template>
  <Company>yujiahui</Company>
  <Pages>9</Pages>
  <Words>6121</Words>
  <Characters>6971</Characters>
  <Lines>53</Lines>
  <Paragraphs>15</Paragraphs>
  <TotalTime>2884</TotalTime>
  <ScaleCrop>false</ScaleCrop>
  <LinksUpToDate>false</LinksUpToDate>
  <CharactersWithSpaces>7010</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2025-07-08T05:48:00Z</dcterms:created>
  <dc:creator>Yiru LIU</dc:creator>
  <cp:lastModifiedBy>张鹏</cp:lastModifiedBy>
  <dcterms:modified xsi:type="dcterms:W3CDTF">2026-04-01T07:17:04Z</dcterms:modified>
  <cp:revision>195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63A8A8FCC6A24DF2B9BF7C15EAF62E9B_13</vt:lpwstr>
  </property>
  <property fmtid="{D5CDD505-2E9C-101B-9397-08002B2CF9AE}" pid="4" name="KSOTemplateDocerSaveRecord">
    <vt:lpwstr>eyJoZGlkIjoiNjYxOTE0NzFmZmNjYTVjODY0NTJmNTMzMDJiMjMwOTkiLCJ1c2VySWQiOiIyNTQ1NzYyMzUifQ==</vt:lpwstr>
  </property>
</Properties>
</file>