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5891F">
      <w:pPr>
        <w:pStyle w:val="3"/>
        <w:spacing w:before="253" w:line="218" w:lineRule="auto"/>
        <w:ind w:left="0" w:leftChars="0" w:firstLine="0" w:firstLineChars="0"/>
        <w:jc w:val="center"/>
        <w:outlineLvl w:val="0"/>
        <w:rPr>
          <w:rFonts w:hint="eastAsia" w:ascii="华文中宋" w:hAnsi="华文中宋" w:eastAsia="华文中宋" w:cs="华文中宋"/>
          <w:b w:val="0"/>
          <w:bCs w:val="0"/>
          <w:spacing w:val="-6"/>
          <w:sz w:val="36"/>
          <w:szCs w:val="36"/>
        </w:rPr>
      </w:pPr>
      <w:r>
        <w:rPr>
          <w:rFonts w:hint="eastAsia" w:ascii="华文中宋" w:hAnsi="华文中宋" w:eastAsia="华文中宋" w:cs="华文中宋"/>
          <w:b w:val="0"/>
          <w:bCs w:val="0"/>
          <w:spacing w:val="-6"/>
          <w:sz w:val="36"/>
          <w:szCs w:val="36"/>
        </w:rPr>
        <w:t>中国</w:t>
      </w:r>
      <w:r>
        <w:rPr>
          <w:rFonts w:hint="eastAsia" w:ascii="华文中宋" w:hAnsi="华文中宋" w:eastAsia="华文中宋" w:cs="华文中宋"/>
          <w:b w:val="0"/>
          <w:bCs w:val="0"/>
          <w:spacing w:val="-6"/>
          <w:sz w:val="36"/>
          <w:szCs w:val="36"/>
          <w:lang w:val="en-US" w:eastAsia="zh-CN"/>
        </w:rPr>
        <w:t>香料香精</w:t>
      </w:r>
      <w:r>
        <w:rPr>
          <w:rFonts w:hint="eastAsia" w:ascii="华文中宋" w:hAnsi="华文中宋" w:eastAsia="华文中宋" w:cs="华文中宋"/>
          <w:b w:val="0"/>
          <w:bCs w:val="0"/>
          <w:spacing w:val="-6"/>
          <w:sz w:val="36"/>
          <w:szCs w:val="36"/>
          <w:lang w:eastAsia="zh-CN"/>
        </w:rPr>
        <w:t>行业十大科技进展</w:t>
      </w:r>
      <w:r>
        <w:rPr>
          <w:rFonts w:hint="eastAsia" w:ascii="华文中宋" w:hAnsi="华文中宋" w:eastAsia="华文中宋" w:cs="华文中宋"/>
          <w:b w:val="0"/>
          <w:bCs w:val="0"/>
          <w:spacing w:val="-6"/>
          <w:sz w:val="36"/>
          <w:szCs w:val="36"/>
          <w:lang w:val="en-US" w:eastAsia="zh-CN"/>
        </w:rPr>
        <w:t>遴选</w:t>
      </w:r>
      <w:r>
        <w:rPr>
          <w:rFonts w:hint="eastAsia" w:ascii="华文中宋" w:hAnsi="华文中宋" w:eastAsia="华文中宋" w:cs="华文中宋"/>
          <w:b w:val="0"/>
          <w:bCs w:val="0"/>
          <w:spacing w:val="-6"/>
          <w:sz w:val="36"/>
          <w:szCs w:val="36"/>
        </w:rPr>
        <w:t>办法</w:t>
      </w:r>
    </w:p>
    <w:p w14:paraId="32878C97">
      <w:pPr>
        <w:pStyle w:val="3"/>
        <w:spacing w:before="253" w:line="218" w:lineRule="auto"/>
        <w:ind w:left="0" w:leftChars="0" w:firstLine="0" w:firstLineChars="0"/>
        <w:jc w:val="center"/>
        <w:outlineLvl w:val="0"/>
        <w:rPr>
          <w:rFonts w:hint="eastAsia" w:ascii="华文中宋" w:hAnsi="华文中宋" w:eastAsia="华文中宋" w:cs="华文中宋"/>
          <w:b w:val="0"/>
          <w:bCs w:val="0"/>
          <w:sz w:val="36"/>
          <w:szCs w:val="36"/>
          <w:lang w:val="en-US" w:eastAsia="zh-CN"/>
        </w:rPr>
      </w:pPr>
      <w:r>
        <w:rPr>
          <w:rFonts w:hint="eastAsia" w:ascii="华文中宋" w:hAnsi="华文中宋" w:eastAsia="华文中宋" w:cs="华文中宋"/>
          <w:b w:val="0"/>
          <w:bCs w:val="0"/>
          <w:spacing w:val="-6"/>
          <w:sz w:val="36"/>
          <w:szCs w:val="36"/>
          <w:lang w:eastAsia="zh-CN"/>
        </w:rPr>
        <w:t>（</w:t>
      </w:r>
      <w:r>
        <w:rPr>
          <w:rFonts w:hint="eastAsia" w:ascii="华文中宋" w:hAnsi="华文中宋" w:eastAsia="华文中宋" w:cs="华文中宋"/>
          <w:b w:val="0"/>
          <w:bCs w:val="0"/>
          <w:spacing w:val="-6"/>
          <w:sz w:val="36"/>
          <w:szCs w:val="36"/>
          <w:lang w:val="en-US" w:eastAsia="zh-CN"/>
        </w:rPr>
        <w:t>试行</w:t>
      </w:r>
      <w:r>
        <w:rPr>
          <w:rFonts w:hint="eastAsia" w:ascii="华文中宋" w:hAnsi="华文中宋" w:eastAsia="华文中宋" w:cs="华文中宋"/>
          <w:b w:val="0"/>
          <w:bCs w:val="0"/>
          <w:spacing w:val="-6"/>
          <w:sz w:val="36"/>
          <w:szCs w:val="36"/>
          <w:lang w:eastAsia="zh-CN"/>
        </w:rPr>
        <w:t>）</w:t>
      </w:r>
      <w:bookmarkStart w:id="1" w:name="_GoBack"/>
      <w:bookmarkEnd w:id="1"/>
    </w:p>
    <w:p w14:paraId="70B50C4C">
      <w:pPr>
        <w:spacing w:line="255" w:lineRule="auto"/>
        <w:rPr>
          <w:rFonts w:ascii="Arial"/>
          <w:sz w:val="21"/>
        </w:rPr>
      </w:pPr>
    </w:p>
    <w:p w14:paraId="16C55E2B">
      <w:pPr>
        <w:spacing w:line="255" w:lineRule="auto"/>
        <w:rPr>
          <w:rFonts w:ascii="Arial"/>
          <w:sz w:val="21"/>
        </w:rPr>
      </w:pPr>
    </w:p>
    <w:p w14:paraId="5E88E05D">
      <w:pPr>
        <w:spacing w:line="256" w:lineRule="auto"/>
        <w:rPr>
          <w:rFonts w:ascii="Arial"/>
          <w:sz w:val="21"/>
        </w:rPr>
      </w:pPr>
    </w:p>
    <w:p w14:paraId="3D2AD0A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lang w:eastAsia="zh-CN"/>
        </w:rPr>
      </w:pPr>
      <w:r>
        <w:rPr>
          <w:rFonts w:hint="eastAsia" w:ascii="华文中宋" w:hAnsi="华文中宋" w:eastAsia="华文中宋" w:cs="华文中宋"/>
          <w:b w:val="0"/>
          <w:bCs w:val="0"/>
          <w:spacing w:val="-7"/>
        </w:rPr>
        <w:t>第一章</w:t>
      </w:r>
      <w:r>
        <w:rPr>
          <w:rFonts w:hint="eastAsia" w:ascii="华文中宋" w:hAnsi="华文中宋" w:eastAsia="华文中宋" w:cs="华文中宋"/>
          <w:b w:val="0"/>
          <w:bCs w:val="0"/>
          <w:spacing w:val="22"/>
        </w:rPr>
        <w:t xml:space="preserve"> </w:t>
      </w:r>
      <w:r>
        <w:rPr>
          <w:rFonts w:hint="eastAsia" w:ascii="华文中宋" w:hAnsi="华文中宋" w:eastAsia="华文中宋" w:cs="华文中宋"/>
          <w:b w:val="0"/>
          <w:bCs w:val="0"/>
          <w:spacing w:val="-7"/>
        </w:rPr>
        <w:t>总则</w:t>
      </w:r>
    </w:p>
    <w:p w14:paraId="3CF557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eastAsia="zh-CN"/>
        </w:rPr>
      </w:pPr>
      <w:r>
        <w:rPr>
          <w:rFonts w:hint="eastAsia" w:ascii="仿宋" w:hAnsi="仿宋" w:eastAsia="仿宋" w:cs="仿宋"/>
          <w:spacing w:val="-4"/>
        </w:rPr>
        <w:t>第一条</w:t>
      </w:r>
      <w:r>
        <w:rPr>
          <w:rFonts w:hint="eastAsia" w:ascii="仿宋" w:hAnsi="仿宋" w:eastAsia="仿宋" w:cs="仿宋"/>
          <w:spacing w:val="-4"/>
          <w:lang w:val="en-US" w:eastAsia="zh-CN"/>
        </w:rPr>
        <w:t xml:space="preserve"> </w:t>
      </w:r>
      <w:r>
        <w:rPr>
          <w:rFonts w:hint="default" w:ascii="仿宋" w:hAnsi="仿宋" w:eastAsia="仿宋" w:cs="仿宋"/>
          <w:snapToGrid w:val="0"/>
          <w:color w:val="000000"/>
          <w:spacing w:val="-2"/>
          <w:kern w:val="0"/>
          <w:sz w:val="28"/>
          <w:szCs w:val="28"/>
          <w:highlight w:val="none"/>
          <w:lang w:val="en-US" w:eastAsia="en-US" w:bidi="ar-SA"/>
        </w:rPr>
        <w:t>为推动</w:t>
      </w:r>
      <w:r>
        <w:rPr>
          <w:rFonts w:hint="eastAsia" w:ascii="仿宋" w:hAnsi="仿宋" w:eastAsia="仿宋" w:cs="仿宋"/>
          <w:snapToGrid w:val="0"/>
          <w:color w:val="000000"/>
          <w:spacing w:val="-2"/>
          <w:kern w:val="0"/>
          <w:sz w:val="28"/>
          <w:szCs w:val="28"/>
          <w:highlight w:val="none"/>
          <w:lang w:val="en-US" w:eastAsia="zh-CN" w:bidi="ar-SA"/>
        </w:rPr>
        <w:t>香料香精</w:t>
      </w:r>
      <w:r>
        <w:rPr>
          <w:rFonts w:hint="default" w:ascii="仿宋" w:hAnsi="仿宋" w:eastAsia="仿宋" w:cs="仿宋"/>
          <w:snapToGrid w:val="0"/>
          <w:color w:val="000000"/>
          <w:spacing w:val="-2"/>
          <w:kern w:val="0"/>
          <w:sz w:val="28"/>
          <w:szCs w:val="28"/>
          <w:highlight w:val="none"/>
          <w:lang w:val="en-US" w:eastAsia="en-US" w:bidi="ar-SA"/>
        </w:rPr>
        <w:t>行业</w:t>
      </w:r>
      <w:r>
        <w:rPr>
          <w:rFonts w:hint="eastAsia" w:ascii="仿宋" w:hAnsi="仿宋" w:eastAsia="仿宋" w:cs="仿宋"/>
          <w:spacing w:val="-2"/>
          <w:highlight w:val="none"/>
        </w:rPr>
        <w:t>科学研究</w:t>
      </w:r>
      <w:r>
        <w:rPr>
          <w:rFonts w:hint="eastAsia" w:ascii="仿宋" w:hAnsi="仿宋" w:eastAsia="仿宋" w:cs="仿宋"/>
          <w:spacing w:val="-2"/>
          <w:highlight w:val="none"/>
          <w:lang w:val="en-US" w:eastAsia="zh-CN"/>
        </w:rPr>
        <w:t>和技术创新</w:t>
      </w:r>
      <w:r>
        <w:rPr>
          <w:rFonts w:hint="default" w:ascii="仿宋" w:hAnsi="仿宋" w:eastAsia="仿宋" w:cs="仿宋"/>
          <w:snapToGrid w:val="0"/>
          <w:color w:val="000000"/>
          <w:spacing w:val="-2"/>
          <w:kern w:val="0"/>
          <w:sz w:val="28"/>
          <w:szCs w:val="28"/>
          <w:highlight w:val="none"/>
          <w:lang w:val="en-US" w:eastAsia="en-US" w:bidi="ar-SA"/>
        </w:rPr>
        <w:t>，</w:t>
      </w:r>
      <w:r>
        <w:rPr>
          <w:rFonts w:hint="eastAsia" w:ascii="仿宋" w:hAnsi="仿宋" w:eastAsia="仿宋" w:cs="仿宋"/>
          <w:snapToGrid w:val="0"/>
          <w:color w:val="000000"/>
          <w:spacing w:val="-2"/>
          <w:kern w:val="0"/>
          <w:sz w:val="28"/>
          <w:szCs w:val="28"/>
          <w:highlight w:val="none"/>
          <w:lang w:val="en-US" w:eastAsia="zh-CN" w:bidi="ar-SA"/>
        </w:rPr>
        <w:t>充分</w:t>
      </w:r>
      <w:r>
        <w:rPr>
          <w:rFonts w:hint="default" w:ascii="仿宋" w:hAnsi="仿宋" w:eastAsia="仿宋" w:cs="仿宋"/>
          <w:snapToGrid w:val="0"/>
          <w:color w:val="000000"/>
          <w:spacing w:val="-2"/>
          <w:kern w:val="0"/>
          <w:sz w:val="28"/>
          <w:szCs w:val="28"/>
          <w:highlight w:val="none"/>
          <w:lang w:val="en-US" w:eastAsia="en-US" w:bidi="ar-SA"/>
        </w:rPr>
        <w:t>展示</w:t>
      </w:r>
      <w:r>
        <w:rPr>
          <w:rFonts w:hint="eastAsia" w:ascii="仿宋" w:hAnsi="仿宋" w:eastAsia="仿宋" w:cs="仿宋"/>
          <w:snapToGrid w:val="0"/>
          <w:color w:val="000000"/>
          <w:spacing w:val="-2"/>
          <w:kern w:val="0"/>
          <w:sz w:val="28"/>
          <w:szCs w:val="28"/>
          <w:highlight w:val="none"/>
          <w:lang w:val="en-US" w:eastAsia="zh-CN" w:bidi="ar-SA"/>
        </w:rPr>
        <w:t>和宣传我国</w:t>
      </w:r>
      <w:r>
        <w:rPr>
          <w:rFonts w:hint="default" w:ascii="仿宋" w:hAnsi="仿宋" w:eastAsia="仿宋" w:cs="仿宋"/>
          <w:snapToGrid w:val="0"/>
          <w:color w:val="000000"/>
          <w:spacing w:val="-2"/>
          <w:kern w:val="0"/>
          <w:sz w:val="28"/>
          <w:szCs w:val="28"/>
          <w:highlight w:val="none"/>
          <w:lang w:val="en-US" w:eastAsia="en-US" w:bidi="ar-SA"/>
        </w:rPr>
        <w:t>香料香精行业</w:t>
      </w:r>
      <w:r>
        <w:rPr>
          <w:rFonts w:hint="eastAsia" w:ascii="仿宋" w:hAnsi="仿宋" w:eastAsia="仿宋" w:cs="仿宋"/>
          <w:spacing w:val="-2"/>
          <w:highlight w:val="none"/>
        </w:rPr>
        <w:t>重大科技成果，鼓励</w:t>
      </w:r>
      <w:r>
        <w:rPr>
          <w:rFonts w:hint="eastAsia" w:ascii="仿宋" w:hAnsi="仿宋" w:eastAsia="仿宋" w:cs="仿宋"/>
          <w:spacing w:val="-2"/>
          <w:highlight w:val="none"/>
          <w:lang w:val="en-US" w:eastAsia="zh-CN"/>
        </w:rPr>
        <w:t>并激发行业</w:t>
      </w:r>
      <w:r>
        <w:rPr>
          <w:rFonts w:hint="eastAsia" w:ascii="仿宋" w:hAnsi="仿宋" w:eastAsia="仿宋" w:cs="仿宋"/>
          <w:spacing w:val="-2"/>
          <w:highlight w:val="none"/>
        </w:rPr>
        <w:t>科技工作者创新</w:t>
      </w:r>
      <w:r>
        <w:rPr>
          <w:rFonts w:hint="default" w:ascii="仿宋" w:hAnsi="仿宋" w:eastAsia="仿宋" w:cs="仿宋"/>
          <w:snapToGrid w:val="0"/>
          <w:color w:val="000000"/>
          <w:spacing w:val="-2"/>
          <w:kern w:val="0"/>
          <w:sz w:val="28"/>
          <w:szCs w:val="28"/>
          <w:highlight w:val="none"/>
          <w:lang w:val="en-US" w:eastAsia="en-US" w:bidi="ar-SA"/>
        </w:rPr>
        <w:t>活力</w:t>
      </w:r>
      <w:r>
        <w:rPr>
          <w:rFonts w:hint="eastAsia" w:ascii="仿宋" w:hAnsi="仿宋" w:eastAsia="仿宋" w:cs="仿宋"/>
          <w:spacing w:val="-2"/>
          <w:highlight w:val="none"/>
        </w:rPr>
        <w:t>，</w:t>
      </w:r>
      <w:r>
        <w:rPr>
          <w:rFonts w:hint="default" w:ascii="仿宋" w:hAnsi="仿宋" w:eastAsia="仿宋" w:cs="仿宋"/>
          <w:snapToGrid w:val="0"/>
          <w:color w:val="000000"/>
          <w:spacing w:val="-2"/>
          <w:kern w:val="0"/>
          <w:sz w:val="28"/>
          <w:szCs w:val="28"/>
          <w:highlight w:val="none"/>
          <w:lang w:val="en-US" w:eastAsia="en-US" w:bidi="ar-SA"/>
        </w:rPr>
        <w:t>促进科技创新和产业创新深度融合，</w:t>
      </w:r>
      <w:r>
        <w:rPr>
          <w:rFonts w:hint="eastAsia" w:ascii="仿宋" w:hAnsi="仿宋" w:eastAsia="仿宋" w:cs="仿宋"/>
          <w:spacing w:val="-6"/>
        </w:rPr>
        <w:t>加快形成适应行业</w:t>
      </w:r>
      <w:r>
        <w:rPr>
          <w:rFonts w:hint="eastAsia" w:ascii="仿宋" w:hAnsi="仿宋" w:eastAsia="仿宋" w:cs="仿宋"/>
          <w:spacing w:val="-6"/>
          <w:lang w:val="en-US" w:eastAsia="zh-CN"/>
        </w:rPr>
        <w:t>特点和发展需求</w:t>
      </w:r>
      <w:r>
        <w:rPr>
          <w:rFonts w:hint="eastAsia" w:ascii="仿宋" w:hAnsi="仿宋" w:eastAsia="仿宋" w:cs="仿宋"/>
          <w:spacing w:val="-6"/>
        </w:rPr>
        <w:t>的</w:t>
      </w:r>
      <w:r>
        <w:rPr>
          <w:rFonts w:hint="eastAsia" w:ascii="仿宋" w:hAnsi="仿宋" w:eastAsia="仿宋" w:cs="仿宋"/>
          <w:spacing w:val="-6"/>
          <w:lang w:val="en-US" w:eastAsia="zh-CN"/>
        </w:rPr>
        <w:t>科研创新</w:t>
      </w:r>
      <w:r>
        <w:rPr>
          <w:rFonts w:hint="eastAsia" w:ascii="仿宋" w:hAnsi="仿宋" w:eastAsia="仿宋" w:cs="仿宋"/>
          <w:spacing w:val="-6"/>
        </w:rPr>
        <w:t>评价</w:t>
      </w:r>
      <w:r>
        <w:rPr>
          <w:rFonts w:hint="eastAsia" w:ascii="仿宋" w:hAnsi="仿宋" w:eastAsia="仿宋" w:cs="仿宋"/>
          <w:spacing w:val="-6"/>
          <w:lang w:val="en-US" w:eastAsia="zh-CN"/>
        </w:rPr>
        <w:t>机制，</w:t>
      </w:r>
      <w:r>
        <w:rPr>
          <w:rFonts w:hint="eastAsia" w:ascii="仿宋" w:hAnsi="仿宋" w:eastAsia="仿宋" w:cs="仿宋"/>
          <w:spacing w:val="-42"/>
          <w:lang w:val="en-US" w:eastAsia="zh-CN"/>
        </w:rPr>
        <w:t>营造</w:t>
      </w:r>
      <w:r>
        <w:rPr>
          <w:rFonts w:hint="eastAsia" w:ascii="仿宋" w:hAnsi="仿宋" w:eastAsia="仿宋" w:cs="仿宋"/>
          <w:spacing w:val="-12"/>
          <w:lang w:val="en-US" w:eastAsia="zh-CN"/>
        </w:rPr>
        <w:t>行业鼓励科研创新的良好氛围，</w:t>
      </w:r>
      <w:r>
        <w:rPr>
          <w:rFonts w:hint="eastAsia" w:ascii="仿宋" w:hAnsi="仿宋" w:eastAsia="仿宋" w:cs="仿宋"/>
          <w:spacing w:val="-4"/>
          <w:lang w:val="en-US" w:eastAsia="zh-CN"/>
        </w:rPr>
        <w:t>充分发挥科技成果转化在引领行业高质量发展中的重要作用，中国香料香精化妆品工业协会（以下简称“中国香妆协会”）</w:t>
      </w:r>
      <w:r>
        <w:rPr>
          <w:rFonts w:hint="eastAsia" w:ascii="仿宋" w:hAnsi="仿宋" w:eastAsia="仿宋" w:cs="仿宋"/>
          <w:spacing w:val="-2"/>
        </w:rPr>
        <w:t>制定本办法。</w:t>
      </w:r>
    </w:p>
    <w:p w14:paraId="40D3702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both"/>
        <w:textAlignment w:val="baseline"/>
        <w:rPr>
          <w:rFonts w:hint="default" w:ascii="仿宋" w:hAnsi="仿宋" w:eastAsia="仿宋" w:cs="仿宋"/>
          <w:spacing w:val="-13"/>
          <w:lang w:val="en-US" w:eastAsia="zh-CN"/>
        </w:rPr>
      </w:pPr>
      <w:r>
        <w:rPr>
          <w:rFonts w:hint="eastAsia" w:ascii="仿宋" w:hAnsi="仿宋" w:eastAsia="仿宋" w:cs="仿宋"/>
          <w:spacing w:val="6"/>
        </w:rPr>
        <w:t>第二条</w:t>
      </w:r>
      <w:r>
        <w:rPr>
          <w:rFonts w:hint="eastAsia" w:ascii="仿宋" w:hAnsi="仿宋" w:eastAsia="仿宋" w:cs="仿宋"/>
          <w:spacing w:val="6"/>
          <w:lang w:val="en-US" w:eastAsia="zh-CN"/>
        </w:rPr>
        <w:t xml:space="preserve"> </w:t>
      </w:r>
      <w:r>
        <w:rPr>
          <w:rFonts w:hint="eastAsia" w:ascii="仿宋" w:hAnsi="仿宋" w:eastAsia="仿宋" w:cs="仿宋"/>
          <w:spacing w:val="-4"/>
        </w:rPr>
        <w:t>本办法中所称的</w:t>
      </w:r>
      <w:r>
        <w:rPr>
          <w:rFonts w:hint="eastAsia" w:ascii="仿宋" w:hAnsi="仿宋" w:eastAsia="仿宋" w:cs="仿宋"/>
          <w:spacing w:val="-4"/>
          <w:lang w:val="en-US" w:eastAsia="zh-CN"/>
        </w:rPr>
        <w:t>香料香精</w:t>
      </w:r>
      <w:r>
        <w:rPr>
          <w:rFonts w:hint="eastAsia" w:ascii="仿宋" w:hAnsi="仿宋" w:eastAsia="仿宋" w:cs="仿宋"/>
          <w:spacing w:val="-4"/>
        </w:rPr>
        <w:t>，应符合</w:t>
      </w:r>
      <w:r>
        <w:rPr>
          <w:rFonts w:hint="eastAsia" w:ascii="仿宋" w:hAnsi="仿宋" w:eastAsia="仿宋" w:cs="仿宋"/>
          <w:spacing w:val="-4"/>
          <w:lang w:val="en-US" w:eastAsia="zh-CN"/>
        </w:rPr>
        <w:t>国家标准</w:t>
      </w:r>
      <w:r>
        <w:rPr>
          <w:rFonts w:hint="eastAsia" w:ascii="仿宋" w:hAnsi="仿宋" w:eastAsia="仿宋" w:cs="仿宋"/>
          <w:spacing w:val="-4"/>
        </w:rPr>
        <w:t>《</w:t>
      </w:r>
      <w:r>
        <w:rPr>
          <w:rFonts w:hint="eastAsia" w:ascii="仿宋" w:hAnsi="仿宋" w:eastAsia="仿宋" w:cs="仿宋"/>
          <w:spacing w:val="-4"/>
          <w:lang w:val="en-US" w:eastAsia="zh-CN"/>
        </w:rPr>
        <w:t>香料香精术语</w:t>
      </w:r>
      <w:r>
        <w:rPr>
          <w:rFonts w:hint="eastAsia" w:ascii="仿宋" w:hAnsi="仿宋" w:eastAsia="仿宋" w:cs="仿宋"/>
          <w:spacing w:val="-4"/>
        </w:rPr>
        <w:t>》</w:t>
      </w:r>
      <w:r>
        <w:rPr>
          <w:rFonts w:hint="eastAsia" w:ascii="仿宋" w:hAnsi="仿宋" w:eastAsia="仿宋" w:cs="仿宋"/>
          <w:spacing w:val="-4"/>
          <w:lang w:eastAsia="zh-CN"/>
        </w:rPr>
        <w:t>（</w:t>
      </w:r>
      <w:r>
        <w:rPr>
          <w:rFonts w:hint="eastAsia" w:ascii="仿宋" w:hAnsi="仿宋" w:eastAsia="仿宋" w:cs="仿宋"/>
          <w:spacing w:val="-4"/>
          <w:lang w:val="en-US" w:eastAsia="zh-CN"/>
        </w:rPr>
        <w:t>GB/T 21171-2018</w:t>
      </w:r>
      <w:r>
        <w:rPr>
          <w:rFonts w:hint="eastAsia" w:ascii="仿宋" w:hAnsi="仿宋" w:eastAsia="仿宋" w:cs="仿宋"/>
          <w:spacing w:val="-4"/>
          <w:lang w:eastAsia="zh-CN"/>
        </w:rPr>
        <w:t>）</w:t>
      </w:r>
      <w:r>
        <w:rPr>
          <w:rFonts w:hint="eastAsia" w:ascii="仿宋" w:hAnsi="仿宋" w:eastAsia="仿宋" w:cs="仿宋"/>
          <w:spacing w:val="-13"/>
        </w:rPr>
        <w:t>的规定，即：</w:t>
      </w:r>
      <w:r>
        <w:rPr>
          <w:rFonts w:hint="eastAsia" w:ascii="仿宋" w:hAnsi="仿宋" w:eastAsia="仿宋" w:cs="仿宋"/>
          <w:spacing w:val="-13"/>
          <w:lang w:val="en-US" w:eastAsia="zh-CN"/>
        </w:rPr>
        <w:t>香料是指</w:t>
      </w:r>
      <w:r>
        <w:rPr>
          <w:rFonts w:hint="eastAsia" w:ascii="仿宋" w:hAnsi="仿宋" w:eastAsia="仿宋" w:cs="仿宋"/>
          <w:spacing w:val="-1"/>
        </w:rPr>
        <w:t>具有香气和(或)香味的材料。香精</w:t>
      </w:r>
      <w:r>
        <w:rPr>
          <w:rFonts w:hint="eastAsia" w:ascii="仿宋" w:hAnsi="仿宋" w:eastAsia="仿宋" w:cs="仿宋"/>
          <w:spacing w:val="-1"/>
          <w:lang w:val="en-US" w:eastAsia="zh-CN"/>
        </w:rPr>
        <w:t>是</w:t>
      </w:r>
      <w:r>
        <w:rPr>
          <w:rFonts w:hint="eastAsia" w:ascii="仿宋" w:hAnsi="仿宋" w:eastAsia="仿宋" w:cs="仿宋"/>
          <w:spacing w:val="-1"/>
        </w:rPr>
        <w:t>由香料和(或)香精辅料调配而成的具有特定香气和(或)香味的复杂混合物。</w:t>
      </w:r>
    </w:p>
    <w:p w14:paraId="0115A2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spacing w:val="-1"/>
          <w:lang w:val="en-US" w:eastAsia="zh-CN"/>
        </w:rPr>
      </w:pPr>
      <w:r>
        <w:rPr>
          <w:rFonts w:hint="eastAsia" w:ascii="仿宋" w:hAnsi="仿宋" w:eastAsia="仿宋" w:cs="仿宋"/>
          <w:spacing w:val="-1"/>
          <w:lang w:val="en-US" w:eastAsia="zh-CN"/>
        </w:rPr>
        <w:t>本办法中所称科技进展，是指机构、组织在香料香精相关领域通过科学研究与技术开发所产生的具有一定学术价值或实用价值，具备科学性、先进性、创新性、引领性等属性的，已取得或具有潜在重大经济、社会效益的新技术、新方法、新工艺、新材料等研究成果。</w:t>
      </w:r>
    </w:p>
    <w:p w14:paraId="703748B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48" w:firstLineChars="200"/>
        <w:jc w:val="both"/>
        <w:textAlignment w:val="baseline"/>
        <w:rPr>
          <w:rFonts w:hint="eastAsia" w:ascii="仿宋" w:hAnsi="仿宋" w:eastAsia="仿宋" w:cs="仿宋"/>
          <w:spacing w:val="-3"/>
        </w:rPr>
      </w:pPr>
      <w:r>
        <w:rPr>
          <w:rFonts w:hint="eastAsia" w:ascii="仿宋" w:hAnsi="仿宋" w:eastAsia="仿宋" w:cs="仿宋"/>
          <w:snapToGrid w:val="0"/>
          <w:color w:val="000000"/>
          <w:spacing w:val="-3"/>
          <w:kern w:val="0"/>
          <w:sz w:val="28"/>
          <w:szCs w:val="28"/>
          <w:lang w:val="en-US" w:eastAsia="en-US" w:bidi="ar-SA"/>
        </w:rPr>
        <w:t>第三条</w:t>
      </w:r>
      <w:r>
        <w:rPr>
          <w:rFonts w:hint="eastAsia" w:ascii="仿宋" w:hAnsi="仿宋" w:eastAsia="仿宋" w:cs="仿宋"/>
          <w:snapToGrid w:val="0"/>
          <w:color w:val="000000"/>
          <w:spacing w:val="-3"/>
          <w:kern w:val="0"/>
          <w:sz w:val="28"/>
          <w:szCs w:val="28"/>
          <w:lang w:val="en-US" w:eastAsia="zh-CN" w:bidi="ar-SA"/>
        </w:rPr>
        <w:t xml:space="preserve"> </w:t>
      </w:r>
      <w:r>
        <w:rPr>
          <w:rFonts w:hint="eastAsia" w:ascii="仿宋" w:hAnsi="仿宋" w:eastAsia="仿宋" w:cs="仿宋"/>
          <w:spacing w:val="6"/>
        </w:rPr>
        <w:t>中国</w:t>
      </w:r>
      <w:r>
        <w:rPr>
          <w:rFonts w:hint="eastAsia" w:ascii="仿宋" w:hAnsi="仿宋" w:eastAsia="仿宋" w:cs="仿宋"/>
          <w:spacing w:val="6"/>
          <w:lang w:val="en-US" w:eastAsia="zh-CN"/>
        </w:rPr>
        <w:t>香料香精</w:t>
      </w:r>
      <w:r>
        <w:rPr>
          <w:rFonts w:hint="eastAsia" w:ascii="仿宋" w:hAnsi="仿宋" w:eastAsia="仿宋" w:cs="仿宋"/>
          <w:spacing w:val="6"/>
          <w:lang w:eastAsia="zh-CN"/>
        </w:rPr>
        <w:t>行业十大科技进展</w:t>
      </w:r>
      <w:r>
        <w:rPr>
          <w:rFonts w:hint="eastAsia" w:ascii="仿宋" w:hAnsi="仿宋" w:eastAsia="仿宋" w:cs="仿宋"/>
          <w:spacing w:val="6"/>
          <w:lang w:val="en-US" w:eastAsia="zh-CN"/>
        </w:rPr>
        <w:t>遴选以</w:t>
      </w:r>
      <w:r>
        <w:rPr>
          <w:rFonts w:hint="eastAsia" w:ascii="仿宋" w:hAnsi="仿宋" w:eastAsia="仿宋" w:cs="仿宋"/>
          <w:spacing w:val="6"/>
        </w:rPr>
        <w:t>“公开、</w:t>
      </w:r>
      <w:r>
        <w:rPr>
          <w:rFonts w:hint="eastAsia" w:ascii="仿宋" w:hAnsi="仿宋" w:eastAsia="仿宋" w:cs="仿宋"/>
          <w:spacing w:val="-3"/>
        </w:rPr>
        <w:t>公平、</w:t>
      </w:r>
      <w:r>
        <w:rPr>
          <w:rFonts w:hint="eastAsia" w:ascii="仿宋" w:hAnsi="仿宋" w:eastAsia="仿宋" w:cs="仿宋"/>
          <w:spacing w:val="6"/>
        </w:rPr>
        <w:t>公正”为</w:t>
      </w:r>
      <w:r>
        <w:rPr>
          <w:rFonts w:hint="eastAsia" w:ascii="仿宋" w:hAnsi="仿宋" w:eastAsia="仿宋" w:cs="仿宋"/>
          <w:spacing w:val="6"/>
          <w:lang w:val="en-US" w:eastAsia="zh-CN"/>
        </w:rPr>
        <w:t>原则</w:t>
      </w:r>
      <w:r>
        <w:rPr>
          <w:rFonts w:hint="eastAsia" w:ascii="仿宋" w:hAnsi="仿宋" w:eastAsia="仿宋" w:cs="仿宋"/>
          <w:spacing w:val="6"/>
          <w:lang w:eastAsia="zh-CN"/>
        </w:rPr>
        <w:t>，</w:t>
      </w:r>
      <w:r>
        <w:rPr>
          <w:rFonts w:hint="eastAsia" w:ascii="仿宋" w:hAnsi="仿宋" w:eastAsia="仿宋" w:cs="仿宋"/>
          <w:spacing w:val="6"/>
          <w:lang w:val="en-US" w:eastAsia="zh-CN"/>
        </w:rPr>
        <w:t>自愿申报或相关领域专家推荐申报，</w:t>
      </w:r>
      <w:r>
        <w:rPr>
          <w:rFonts w:hint="eastAsia" w:ascii="仿宋" w:hAnsi="仿宋" w:eastAsia="仿宋" w:cs="仿宋"/>
          <w:spacing w:val="6"/>
        </w:rPr>
        <w:t>不</w:t>
      </w:r>
      <w:r>
        <w:rPr>
          <w:rFonts w:hint="eastAsia" w:ascii="仿宋" w:hAnsi="仿宋" w:eastAsia="仿宋" w:cs="仿宋"/>
          <w:spacing w:val="6"/>
          <w:lang w:val="en-US" w:eastAsia="zh-CN"/>
        </w:rPr>
        <w:t>收取任何费用</w:t>
      </w:r>
      <w:r>
        <w:rPr>
          <w:rFonts w:hint="eastAsia" w:ascii="仿宋" w:hAnsi="仿宋" w:eastAsia="仿宋" w:cs="仿宋"/>
          <w:spacing w:val="-3"/>
        </w:rPr>
        <w:t>。</w:t>
      </w:r>
    </w:p>
    <w:p w14:paraId="5489AC6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84" w:firstLineChars="200"/>
        <w:jc w:val="both"/>
        <w:textAlignment w:val="baseline"/>
        <w:rPr>
          <w:rFonts w:hint="eastAsia" w:ascii="仿宋" w:hAnsi="仿宋" w:eastAsia="仿宋" w:cs="仿宋"/>
          <w:spacing w:val="6"/>
          <w:lang w:val="en-US" w:eastAsia="zh-CN"/>
        </w:rPr>
      </w:pPr>
      <w:r>
        <w:rPr>
          <w:rFonts w:hint="eastAsia" w:ascii="仿宋" w:hAnsi="仿宋" w:eastAsia="仿宋" w:cs="仿宋"/>
          <w:snapToGrid w:val="0"/>
          <w:color w:val="000000"/>
          <w:spacing w:val="6"/>
          <w:kern w:val="0"/>
          <w:sz w:val="28"/>
          <w:szCs w:val="28"/>
          <w:lang w:val="en-US" w:eastAsia="zh-CN" w:bidi="ar-SA"/>
        </w:rPr>
        <w:t xml:space="preserve">第四条 </w:t>
      </w:r>
      <w:r>
        <w:rPr>
          <w:rFonts w:hint="eastAsia" w:ascii="仿宋" w:hAnsi="仿宋" w:eastAsia="仿宋" w:cs="仿宋"/>
          <w:spacing w:val="6"/>
        </w:rPr>
        <w:t>中国</w:t>
      </w:r>
      <w:r>
        <w:rPr>
          <w:rFonts w:hint="eastAsia" w:ascii="仿宋" w:hAnsi="仿宋" w:eastAsia="仿宋" w:cs="仿宋"/>
          <w:spacing w:val="6"/>
          <w:lang w:val="en-US" w:eastAsia="zh-CN"/>
        </w:rPr>
        <w:t>香料香精</w:t>
      </w:r>
      <w:r>
        <w:rPr>
          <w:rFonts w:hint="eastAsia" w:ascii="仿宋" w:hAnsi="仿宋" w:eastAsia="仿宋" w:cs="仿宋"/>
          <w:spacing w:val="6"/>
          <w:lang w:eastAsia="zh-CN"/>
        </w:rPr>
        <w:t>行业十大科技进展</w:t>
      </w:r>
      <w:r>
        <w:rPr>
          <w:rFonts w:hint="eastAsia" w:ascii="仿宋" w:hAnsi="仿宋" w:eastAsia="仿宋" w:cs="仿宋"/>
          <w:spacing w:val="6"/>
          <w:lang w:val="en-US" w:eastAsia="zh-CN"/>
        </w:rPr>
        <w:t>遴选每两年一次，并在中国香料香精化妆品行业年会期间发布结果。</w:t>
      </w:r>
    </w:p>
    <w:p w14:paraId="2B9528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rPr>
      </w:pPr>
    </w:p>
    <w:p w14:paraId="6E6218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lang w:eastAsia="zh-CN"/>
        </w:rPr>
      </w:pPr>
      <w:r>
        <w:rPr>
          <w:rFonts w:hint="eastAsia" w:ascii="华文中宋" w:hAnsi="华文中宋" w:eastAsia="华文中宋" w:cs="华文中宋"/>
          <w:b w:val="0"/>
          <w:bCs w:val="0"/>
          <w:spacing w:val="-7"/>
        </w:rPr>
        <w:t>第二章 组织管理</w:t>
      </w:r>
    </w:p>
    <w:p w14:paraId="3EC03A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rPr>
      </w:pPr>
      <w:r>
        <w:rPr>
          <w:rFonts w:hint="eastAsia" w:ascii="仿宋" w:hAnsi="仿宋" w:eastAsia="仿宋" w:cs="仿宋"/>
          <w:spacing w:val="-4"/>
        </w:rPr>
        <w:t>第</w:t>
      </w:r>
      <w:r>
        <w:rPr>
          <w:rFonts w:hint="eastAsia" w:ascii="仿宋" w:hAnsi="仿宋" w:eastAsia="仿宋" w:cs="仿宋"/>
          <w:spacing w:val="-4"/>
          <w:lang w:val="en-US" w:eastAsia="zh-CN"/>
        </w:rPr>
        <w:t>五</w:t>
      </w:r>
      <w:r>
        <w:rPr>
          <w:rFonts w:hint="eastAsia" w:ascii="仿宋" w:hAnsi="仿宋" w:eastAsia="仿宋" w:cs="仿宋"/>
          <w:spacing w:val="-4"/>
        </w:rPr>
        <w:t>条</w:t>
      </w:r>
      <w:r>
        <w:rPr>
          <w:rFonts w:hint="eastAsia" w:ascii="仿宋" w:hAnsi="仿宋" w:eastAsia="仿宋" w:cs="仿宋"/>
          <w:spacing w:val="-4"/>
          <w:lang w:val="en-US" w:eastAsia="zh-CN"/>
        </w:rPr>
        <w:t xml:space="preserve"> </w:t>
      </w:r>
      <w:r>
        <w:rPr>
          <w:rFonts w:hint="eastAsia" w:ascii="仿宋" w:hAnsi="仿宋" w:eastAsia="仿宋" w:cs="仿宋"/>
          <w:spacing w:val="-4"/>
        </w:rPr>
        <w:t>中国</w:t>
      </w:r>
      <w:r>
        <w:rPr>
          <w:rFonts w:hint="eastAsia" w:ascii="仿宋" w:hAnsi="仿宋" w:eastAsia="仿宋" w:cs="仿宋"/>
          <w:spacing w:val="-4"/>
          <w:lang w:val="en-US" w:eastAsia="zh-CN"/>
        </w:rPr>
        <w:t>香妆协会</w:t>
      </w:r>
      <w:r>
        <w:rPr>
          <w:rFonts w:hint="eastAsia" w:ascii="仿宋" w:hAnsi="仿宋" w:eastAsia="仿宋" w:cs="仿宋"/>
          <w:spacing w:val="-4"/>
        </w:rPr>
        <w:t>负责协调和组织</w:t>
      </w:r>
      <w:r>
        <w:rPr>
          <w:rFonts w:hint="eastAsia" w:ascii="仿宋" w:hAnsi="仿宋" w:eastAsia="仿宋" w:cs="仿宋"/>
          <w:spacing w:val="-4"/>
          <w:lang w:val="en-US" w:eastAsia="zh-CN"/>
        </w:rPr>
        <w:t>中国香料香精行业十大科技进展遴选工作</w:t>
      </w:r>
      <w:r>
        <w:rPr>
          <w:rFonts w:hint="eastAsia" w:ascii="仿宋" w:hAnsi="仿宋" w:eastAsia="仿宋" w:cs="仿宋"/>
          <w:spacing w:val="-4"/>
        </w:rPr>
        <w:t>，</w:t>
      </w:r>
      <w:r>
        <w:rPr>
          <w:rFonts w:hint="eastAsia" w:ascii="仿宋" w:hAnsi="仿宋" w:eastAsia="仿宋" w:cs="仿宋"/>
          <w:spacing w:val="-4"/>
          <w:lang w:val="en-US" w:eastAsia="zh-CN"/>
        </w:rPr>
        <w:t>制定遴选办法</w:t>
      </w:r>
      <w:r>
        <w:rPr>
          <w:rFonts w:hint="eastAsia" w:ascii="仿宋" w:hAnsi="仿宋" w:eastAsia="仿宋" w:cs="仿宋"/>
          <w:spacing w:val="-4"/>
        </w:rPr>
        <w:t>，确定</w:t>
      </w:r>
      <w:r>
        <w:rPr>
          <w:rFonts w:hint="eastAsia" w:ascii="仿宋" w:hAnsi="仿宋" w:eastAsia="仿宋" w:cs="仿宋"/>
          <w:spacing w:val="-4"/>
          <w:lang w:eastAsia="zh-CN"/>
        </w:rPr>
        <w:t>、</w:t>
      </w:r>
      <w:r>
        <w:rPr>
          <w:rFonts w:hint="eastAsia" w:ascii="仿宋" w:hAnsi="仿宋" w:eastAsia="仿宋" w:cs="仿宋"/>
          <w:spacing w:val="-4"/>
          <w:lang w:val="en-US" w:eastAsia="zh-CN"/>
        </w:rPr>
        <w:t>发布遴选</w:t>
      </w:r>
      <w:r>
        <w:rPr>
          <w:rFonts w:hint="eastAsia" w:ascii="仿宋" w:hAnsi="仿宋" w:eastAsia="仿宋" w:cs="仿宋"/>
          <w:spacing w:val="-4"/>
        </w:rPr>
        <w:t>结果。</w:t>
      </w:r>
    </w:p>
    <w:p w14:paraId="3F89CA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rPr>
        <w:t>第</w:t>
      </w:r>
      <w:r>
        <w:rPr>
          <w:rFonts w:hint="eastAsia" w:ascii="仿宋" w:hAnsi="仿宋" w:eastAsia="仿宋" w:cs="仿宋"/>
          <w:spacing w:val="-4"/>
          <w:lang w:val="en-US" w:eastAsia="zh-CN"/>
        </w:rPr>
        <w:t>六</w:t>
      </w:r>
      <w:r>
        <w:rPr>
          <w:rFonts w:hint="eastAsia" w:ascii="仿宋" w:hAnsi="仿宋" w:eastAsia="仿宋" w:cs="仿宋"/>
          <w:spacing w:val="-4"/>
        </w:rPr>
        <w:t>条</w:t>
      </w:r>
      <w:r>
        <w:rPr>
          <w:rFonts w:hint="eastAsia" w:ascii="仿宋" w:hAnsi="仿宋" w:eastAsia="仿宋" w:cs="仿宋"/>
          <w:spacing w:val="-4"/>
          <w:lang w:val="en-US" w:eastAsia="zh-CN"/>
        </w:rPr>
        <w:t xml:space="preserve"> </w:t>
      </w:r>
      <w:r>
        <w:rPr>
          <w:rFonts w:hint="eastAsia" w:ascii="仿宋" w:hAnsi="仿宋" w:eastAsia="仿宋" w:cs="仿宋"/>
          <w:spacing w:val="-4"/>
        </w:rPr>
        <w:t>根据</w:t>
      </w:r>
      <w:r>
        <w:rPr>
          <w:rFonts w:hint="eastAsia" w:ascii="仿宋" w:hAnsi="仿宋" w:eastAsia="仿宋" w:cs="仿宋"/>
          <w:spacing w:val="-4"/>
          <w:lang w:val="en-US" w:eastAsia="zh-CN"/>
        </w:rPr>
        <w:t>遴选工作</w:t>
      </w:r>
      <w:r>
        <w:rPr>
          <w:rFonts w:hint="eastAsia" w:ascii="仿宋" w:hAnsi="仿宋" w:eastAsia="仿宋" w:cs="仿宋"/>
          <w:spacing w:val="-4"/>
        </w:rPr>
        <w:t>需要，</w:t>
      </w:r>
      <w:r>
        <w:rPr>
          <w:rFonts w:hint="eastAsia" w:ascii="仿宋" w:hAnsi="仿宋" w:eastAsia="仿宋" w:cs="仿宋"/>
          <w:spacing w:val="-4"/>
          <w:lang w:val="en-US" w:eastAsia="zh-CN"/>
        </w:rPr>
        <w:t>中国香妆</w:t>
      </w:r>
      <w:r>
        <w:rPr>
          <w:rFonts w:hint="eastAsia" w:ascii="仿宋" w:hAnsi="仿宋" w:eastAsia="仿宋" w:cs="仿宋"/>
          <w:spacing w:val="-4"/>
        </w:rPr>
        <w:t>协会组织</w:t>
      </w:r>
      <w:r>
        <w:rPr>
          <w:rFonts w:hint="eastAsia" w:ascii="仿宋" w:hAnsi="仿宋" w:eastAsia="仿宋" w:cs="仿宋"/>
          <w:spacing w:val="-4"/>
          <w:lang w:val="en-US" w:eastAsia="zh-CN"/>
        </w:rPr>
        <w:t>成立评审专家组</w:t>
      </w:r>
      <w:r>
        <w:rPr>
          <w:rFonts w:hint="eastAsia" w:ascii="仿宋" w:hAnsi="仿宋" w:eastAsia="仿宋" w:cs="仿宋"/>
          <w:spacing w:val="-4"/>
        </w:rPr>
        <w:t>，负责</w:t>
      </w:r>
      <w:r>
        <w:rPr>
          <w:rFonts w:ascii="仿宋_GB2312" w:hAnsi="宋体" w:eastAsia="仿宋_GB2312" w:cs="仿宋_GB2312"/>
          <w:b w:val="0"/>
          <w:bCs w:val="0"/>
          <w:color w:val="000000"/>
          <w:sz w:val="28"/>
          <w:szCs w:val="28"/>
        </w:rPr>
        <w:t>对申报</w:t>
      </w:r>
      <w:r>
        <w:rPr>
          <w:rFonts w:hint="eastAsia" w:ascii="仿宋_GB2312" w:eastAsia="仿宋_GB2312" w:cs="仿宋_GB2312"/>
          <w:b w:val="0"/>
          <w:bCs w:val="0"/>
          <w:color w:val="000000"/>
          <w:sz w:val="28"/>
          <w:szCs w:val="28"/>
          <w:lang w:val="en-US" w:eastAsia="zh-CN"/>
        </w:rPr>
        <w:t>的科技进展</w:t>
      </w:r>
      <w:r>
        <w:rPr>
          <w:rFonts w:ascii="仿宋_GB2312" w:hAnsi="宋体" w:eastAsia="仿宋_GB2312" w:cs="仿宋_GB2312"/>
          <w:b w:val="0"/>
          <w:bCs w:val="0"/>
          <w:color w:val="000000"/>
          <w:sz w:val="28"/>
          <w:szCs w:val="28"/>
        </w:rPr>
        <w:t>进行评审</w:t>
      </w:r>
      <w:r>
        <w:rPr>
          <w:rFonts w:hint="eastAsia" w:ascii="仿宋" w:hAnsi="仿宋" w:eastAsia="仿宋" w:cs="仿宋"/>
          <w:spacing w:val="-4"/>
        </w:rPr>
        <w:t>。</w:t>
      </w:r>
      <w:r>
        <w:rPr>
          <w:rFonts w:hint="eastAsia" w:ascii="仿宋" w:hAnsi="仿宋" w:eastAsia="仿宋" w:cs="仿宋"/>
          <w:spacing w:val="-4"/>
          <w:lang w:val="en-US" w:eastAsia="zh-CN"/>
        </w:rPr>
        <w:t>评审专家应具备下列条件：</w:t>
      </w:r>
    </w:p>
    <w:p w14:paraId="09F9F3B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1.具有正确的政治立场、严谨的科学精神和职业道德，遵纪守法；</w:t>
      </w:r>
    </w:p>
    <w:p w14:paraId="590336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2.从事相关专业工作满15年，熟知本学科、本专业领域国内外发展动态；</w:t>
      </w:r>
    </w:p>
    <w:p w14:paraId="67EC9E4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3.具备高级及以上专业技术职称或相应技术职务；</w:t>
      </w:r>
    </w:p>
    <w:p w14:paraId="4638AB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4.具有较高行业知名度和影响力。</w:t>
      </w:r>
    </w:p>
    <w:p w14:paraId="3B2079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第三章 申报条件</w:t>
      </w:r>
    </w:p>
    <w:p w14:paraId="18FC861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rPr>
      </w:pPr>
      <w:r>
        <w:rPr>
          <w:rFonts w:hint="eastAsia" w:ascii="仿宋" w:hAnsi="仿宋" w:eastAsia="仿宋" w:cs="仿宋"/>
          <w:spacing w:val="-4"/>
        </w:rPr>
        <w:t>第</w:t>
      </w:r>
      <w:r>
        <w:rPr>
          <w:rFonts w:hint="eastAsia" w:ascii="仿宋" w:hAnsi="仿宋" w:eastAsia="仿宋" w:cs="仿宋"/>
          <w:spacing w:val="-4"/>
          <w:lang w:val="en-US" w:eastAsia="zh-CN"/>
        </w:rPr>
        <w:t>七</w:t>
      </w:r>
      <w:r>
        <w:rPr>
          <w:rFonts w:hint="eastAsia" w:ascii="仿宋" w:hAnsi="仿宋" w:eastAsia="仿宋" w:cs="仿宋"/>
          <w:spacing w:val="-4"/>
        </w:rPr>
        <w:t>条</w:t>
      </w:r>
      <w:r>
        <w:rPr>
          <w:rFonts w:hint="eastAsia" w:ascii="仿宋" w:hAnsi="仿宋" w:eastAsia="仿宋" w:cs="仿宋"/>
          <w:spacing w:val="-4"/>
          <w:lang w:val="en-US" w:eastAsia="zh-CN"/>
        </w:rPr>
        <w:t xml:space="preserve"> </w:t>
      </w:r>
      <w:r>
        <w:rPr>
          <w:rFonts w:hint="eastAsia" w:ascii="仿宋" w:hAnsi="仿宋" w:eastAsia="仿宋" w:cs="仿宋"/>
          <w:spacing w:val="-4"/>
        </w:rPr>
        <w:t>参加中国</w:t>
      </w:r>
      <w:r>
        <w:rPr>
          <w:rFonts w:hint="eastAsia" w:ascii="仿宋" w:hAnsi="仿宋" w:eastAsia="仿宋" w:cs="仿宋"/>
          <w:spacing w:val="-4"/>
          <w:lang w:val="en-US" w:eastAsia="zh-CN"/>
        </w:rPr>
        <w:t>香料香精</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遴选</w:t>
      </w:r>
      <w:r>
        <w:rPr>
          <w:rFonts w:hint="eastAsia" w:ascii="仿宋" w:hAnsi="仿宋" w:eastAsia="仿宋" w:cs="仿宋"/>
          <w:spacing w:val="-4"/>
        </w:rPr>
        <w:t>的</w:t>
      </w:r>
      <w:r>
        <w:rPr>
          <w:rFonts w:hint="eastAsia" w:ascii="仿宋" w:hAnsi="仿宋" w:eastAsia="仿宋" w:cs="仿宋"/>
          <w:spacing w:val="-4"/>
          <w:lang w:val="en-US" w:eastAsia="zh-CN"/>
        </w:rPr>
        <w:t>项目</w:t>
      </w:r>
      <w:r>
        <w:rPr>
          <w:rFonts w:hint="eastAsia" w:ascii="仿宋" w:hAnsi="仿宋" w:eastAsia="仿宋" w:cs="仿宋"/>
          <w:spacing w:val="-4"/>
        </w:rPr>
        <w:t>需具备</w:t>
      </w:r>
      <w:r>
        <w:rPr>
          <w:rFonts w:hint="eastAsia" w:ascii="仿宋" w:hAnsi="仿宋" w:eastAsia="仿宋" w:cs="仿宋"/>
          <w:spacing w:val="-4"/>
          <w:lang w:val="en-US" w:eastAsia="zh-CN"/>
        </w:rPr>
        <w:t>下列</w:t>
      </w:r>
      <w:r>
        <w:rPr>
          <w:rFonts w:hint="eastAsia" w:ascii="仿宋" w:hAnsi="仿宋" w:eastAsia="仿宋" w:cs="仿宋"/>
          <w:spacing w:val="-4"/>
        </w:rPr>
        <w:t>条件</w:t>
      </w:r>
      <w:r>
        <w:rPr>
          <w:rFonts w:hint="eastAsia" w:ascii="仿宋" w:hAnsi="仿宋" w:eastAsia="仿宋" w:cs="仿宋"/>
          <w:spacing w:val="-4"/>
          <w:lang w:val="en-US" w:eastAsia="zh-CN"/>
        </w:rPr>
        <w:t>之一</w:t>
      </w:r>
      <w:r>
        <w:rPr>
          <w:rFonts w:hint="eastAsia" w:ascii="仿宋" w:hAnsi="仿宋" w:eastAsia="仿宋" w:cs="仿宋"/>
          <w:spacing w:val="-4"/>
        </w:rPr>
        <w:t>：</w:t>
      </w:r>
    </w:p>
    <w:p w14:paraId="0F9844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1.科技价值：在新技术、新方法、新工艺、新材料、新产品等方面具有独创性；在攻关行业关键共性技术问题、企业重大技术创新、攻克难题等方面具有成效。</w:t>
      </w:r>
    </w:p>
    <w:p w14:paraId="3FC33E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2.社会和文化价值：在推动行业可持续发展、倡导科学家精神、传承中国优秀传统文化、弘扬社会主义核心价值观等方面具有贡献。</w:t>
      </w:r>
    </w:p>
    <w:p w14:paraId="210FD0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3.经济价值：在经济效益、预期效益、转化推广潜力等方面对行业发展具有影响。</w:t>
      </w:r>
    </w:p>
    <w:p w14:paraId="51AAD0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 xml:space="preserve">第四章 </w:t>
      </w:r>
      <w:r>
        <w:rPr>
          <w:rFonts w:hint="eastAsia" w:ascii="华文中宋" w:hAnsi="华文中宋" w:eastAsia="华文中宋" w:cs="华文中宋"/>
          <w:b w:val="0"/>
          <w:bCs w:val="0"/>
          <w:spacing w:val="-7"/>
          <w:lang w:val="en-US" w:eastAsia="zh-CN"/>
        </w:rPr>
        <w:t>遴选</w:t>
      </w:r>
      <w:r>
        <w:rPr>
          <w:rFonts w:hint="eastAsia" w:ascii="华文中宋" w:hAnsi="华文中宋" w:eastAsia="华文中宋" w:cs="华文中宋"/>
          <w:b w:val="0"/>
          <w:bCs w:val="0"/>
          <w:spacing w:val="-7"/>
        </w:rPr>
        <w:t>标准</w:t>
      </w:r>
    </w:p>
    <w:p w14:paraId="58432E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 xml:space="preserve">第八条 </w:t>
      </w:r>
      <w:r>
        <w:rPr>
          <w:rFonts w:hint="eastAsia" w:ascii="仿宋" w:hAnsi="仿宋" w:eastAsia="仿宋" w:cs="仿宋"/>
          <w:spacing w:val="-4"/>
        </w:rPr>
        <w:t>中国</w:t>
      </w:r>
      <w:r>
        <w:rPr>
          <w:rFonts w:hint="eastAsia" w:ascii="仿宋" w:hAnsi="仿宋" w:eastAsia="仿宋" w:cs="仿宋"/>
          <w:spacing w:val="-4"/>
          <w:lang w:val="en-US" w:eastAsia="zh-CN"/>
        </w:rPr>
        <w:t>香料香精</w:t>
      </w:r>
      <w:r>
        <w:rPr>
          <w:rFonts w:hint="eastAsia" w:ascii="仿宋" w:hAnsi="仿宋" w:eastAsia="仿宋" w:cs="仿宋"/>
          <w:spacing w:val="-4"/>
          <w:lang w:eastAsia="zh-CN"/>
        </w:rPr>
        <w:t>行业十大科技进展</w:t>
      </w:r>
      <w:r>
        <w:rPr>
          <w:rFonts w:hint="eastAsia" w:ascii="仿宋" w:hAnsi="仿宋" w:eastAsia="仿宋" w:cs="仿宋"/>
          <w:spacing w:val="-4"/>
          <w:lang w:val="en-US" w:eastAsia="zh-CN"/>
        </w:rPr>
        <w:t>遴选建立</w:t>
      </w:r>
      <w:r>
        <w:rPr>
          <w:rFonts w:hint="eastAsia" w:ascii="仿宋" w:hAnsi="仿宋" w:eastAsia="仿宋" w:cs="仿宋"/>
          <w:spacing w:val="6"/>
          <w:highlight w:val="none"/>
        </w:rPr>
        <w:t>评价</w:t>
      </w:r>
      <w:r>
        <w:rPr>
          <w:rFonts w:hint="eastAsia" w:ascii="仿宋" w:hAnsi="仿宋" w:eastAsia="仿宋" w:cs="仿宋"/>
          <w:spacing w:val="6"/>
          <w:highlight w:val="none"/>
          <w:lang w:val="en-US" w:eastAsia="zh-CN"/>
        </w:rPr>
        <w:t>标准及指标</w:t>
      </w:r>
      <w:r>
        <w:rPr>
          <w:rFonts w:hint="eastAsia" w:ascii="仿宋" w:hAnsi="仿宋" w:eastAsia="仿宋" w:cs="仿宋"/>
          <w:spacing w:val="6"/>
          <w:lang w:val="en-US" w:eastAsia="zh-CN"/>
        </w:rPr>
        <w:t>体系</w:t>
      </w:r>
      <w:r>
        <w:rPr>
          <w:rFonts w:hint="eastAsia" w:ascii="仿宋" w:hAnsi="仿宋" w:eastAsia="仿宋" w:cs="仿宋"/>
          <w:spacing w:val="-4"/>
          <w:lang w:val="en-US" w:eastAsia="zh-CN"/>
        </w:rPr>
        <w:t>（详见附件1），以定性评价和定量评价相结合的方式，开展综合评价。</w:t>
      </w:r>
      <w:r>
        <w:rPr>
          <w:rFonts w:hint="eastAsia" w:ascii="仿宋" w:hAnsi="仿宋" w:eastAsia="仿宋" w:cs="仿宋"/>
          <w:spacing w:val="6"/>
          <w:highlight w:val="none"/>
        </w:rPr>
        <w:t>评价</w:t>
      </w:r>
      <w:r>
        <w:rPr>
          <w:rFonts w:hint="eastAsia" w:ascii="仿宋" w:hAnsi="仿宋" w:eastAsia="仿宋" w:cs="仿宋"/>
          <w:spacing w:val="6"/>
          <w:highlight w:val="none"/>
          <w:lang w:val="en-US" w:eastAsia="zh-CN"/>
        </w:rPr>
        <w:t>标准及指标</w:t>
      </w:r>
      <w:r>
        <w:rPr>
          <w:rFonts w:hint="eastAsia" w:ascii="仿宋" w:hAnsi="仿宋" w:eastAsia="仿宋" w:cs="仿宋"/>
          <w:spacing w:val="6"/>
          <w:lang w:val="en-US" w:eastAsia="zh-CN"/>
        </w:rPr>
        <w:t>体系</w:t>
      </w:r>
      <w:r>
        <w:rPr>
          <w:rFonts w:hint="eastAsia" w:ascii="仿宋" w:hAnsi="仿宋" w:eastAsia="仿宋" w:cs="仿宋"/>
          <w:spacing w:val="-4"/>
          <w:lang w:val="en-US" w:eastAsia="zh-CN"/>
        </w:rPr>
        <w:t>主要包括：</w:t>
      </w:r>
    </w:p>
    <w:p w14:paraId="7CD08AF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highlight w:val="none"/>
          <w:lang w:val="en-US" w:eastAsia="zh-CN"/>
        </w:rPr>
      </w:pPr>
      <w:r>
        <w:rPr>
          <w:rFonts w:hint="eastAsia" w:ascii="仿宋" w:hAnsi="仿宋" w:eastAsia="仿宋" w:cs="仿宋"/>
          <w:spacing w:val="-4"/>
          <w:highlight w:val="none"/>
          <w:lang w:val="en-US" w:eastAsia="zh-CN"/>
        </w:rPr>
        <w:t>1.科学价值：评价科学创新度和学科影响力。</w:t>
      </w:r>
    </w:p>
    <w:p w14:paraId="504B52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2.技术水平：评价技术成熟度、创新度和先进度。</w:t>
      </w:r>
    </w:p>
    <w:p w14:paraId="2A7A2F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3.应用效益：评价科技进展的经济价值、社会价值。</w:t>
      </w:r>
    </w:p>
    <w:p w14:paraId="5563399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4.研发团队：评价研发团队带头人学术能力和研发团队创新能力。</w:t>
      </w:r>
    </w:p>
    <w:p w14:paraId="71E076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5.科研产出：评价论文、专利、标准等知识产权综合产出情况。</w:t>
      </w:r>
    </w:p>
    <w:p w14:paraId="7426B3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6.转化风险：评价技术风险、政策风险、市场风险等影响科技进展转化的因素。</w:t>
      </w:r>
    </w:p>
    <w:p w14:paraId="7CC378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24" w:firstLine="560"/>
        <w:jc w:val="center"/>
        <w:textAlignment w:val="baseline"/>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 xml:space="preserve">第五章 </w:t>
      </w:r>
      <w:r>
        <w:rPr>
          <w:rFonts w:hint="eastAsia" w:ascii="华文中宋" w:hAnsi="华文中宋" w:eastAsia="华文中宋" w:cs="华文中宋"/>
          <w:b w:val="0"/>
          <w:bCs w:val="0"/>
          <w:spacing w:val="-7"/>
          <w:lang w:val="en-US" w:eastAsia="zh-CN"/>
        </w:rPr>
        <w:t>遴选</w:t>
      </w:r>
      <w:r>
        <w:rPr>
          <w:rFonts w:hint="eastAsia" w:ascii="华文中宋" w:hAnsi="华文中宋" w:eastAsia="华文中宋" w:cs="华文中宋"/>
          <w:b w:val="0"/>
          <w:bCs w:val="0"/>
          <w:spacing w:val="-7"/>
        </w:rPr>
        <w:t>程序</w:t>
      </w:r>
    </w:p>
    <w:p w14:paraId="16C218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第九条 项目申报。如实填写中国香料香精行业十大科技进展征集表（见附件2），并提供相关证明性材料，并按规定日期上报至中国香妆协会。</w:t>
      </w:r>
    </w:p>
    <w:p w14:paraId="6F1077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第十条 资料初审。评审专家组根据中国香料香精行业十大科技进展评价标准及指标体系对申报资料进行盲评，并将评价结果反馈至中国香妆协会。</w:t>
      </w:r>
    </w:p>
    <w:p w14:paraId="37782BC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第十一条 答辩复审。中国香妆协会对拟入围的科技进展进行公示，公示时间七天。公示无异议后中国香妆协会组织召开答辩复审。</w:t>
      </w:r>
    </w:p>
    <w:p w14:paraId="73CC147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第十二条 综合评定。中国香妆协会根据资料初审、答辩复审结果作出综合评定，确定和发布入围中国香料香精行业十大科技进展名单。</w:t>
      </w:r>
    </w:p>
    <w:p w14:paraId="647F6B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第六章 监督管理</w:t>
      </w:r>
    </w:p>
    <w:p w14:paraId="6623D4C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第十三条 申报单位所提供的申报资料必须客观、真实，严禁弄虚作假。对于提供虚假资料的，将取消其申报资格。</w:t>
      </w:r>
    </w:p>
    <w:p w14:paraId="297BF6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第十四条 参与中国香料香精行业十大科技进展遴选的相关人员对申报资料负有保密责任。</w:t>
      </w:r>
    </w:p>
    <w:p w14:paraId="122BBBE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第十五条 中国香料香精行业十大科技进展遴选全程接受监督，并实行异议制度。其中，凡对技术内容、佐证资料的真实性、综合评定结果提出的异议为实质性异议，实质性异议予以受理；对完成人排序的异议为非实质性异议，非实质性异议不予受理。</w:t>
      </w:r>
    </w:p>
    <w:p w14:paraId="136484F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default" w:ascii="仿宋" w:hAnsi="仿宋" w:eastAsia="仿宋" w:cs="仿宋"/>
          <w:spacing w:val="-4"/>
          <w:lang w:val="en-US" w:eastAsia="zh-CN"/>
        </w:rPr>
      </w:pPr>
      <w:r>
        <w:rPr>
          <w:rFonts w:hint="eastAsia" w:ascii="仿宋" w:hAnsi="仿宋" w:eastAsia="仿宋" w:cs="仿宋"/>
          <w:spacing w:val="-4"/>
          <w:lang w:val="en-US" w:eastAsia="zh-CN"/>
        </w:rPr>
        <w:t>第十六条 提出实质性异议的单位或者个人应当提供书面异议材料，并提供必要的证明文件，及时报送中国香妆协会。以个人名义提出的，应当在书面异议材料上签署真实姓名和联系方式，并提供身份证复印件；以单位名义提出的，应当在书面异议材料上提供联系人和联系方式，并加盖本单位公章；以匿名方式提出的不予受理。中国香妆协会对提出实质性异议的单位或个人负有保密责任。</w:t>
      </w:r>
    </w:p>
    <w:p w14:paraId="092B40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第十七条 中国香妆协会在收到实质性异议材料后及时进行审查，对符合规定并能提供充分证据的实质性异议，在正式受理后及时予以处理。</w:t>
      </w:r>
    </w:p>
    <w:p w14:paraId="6AFB94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3405"/>
        <w:textAlignment w:val="baseline"/>
        <w:outlineLvl w:val="0"/>
        <w:rPr>
          <w:rFonts w:hint="eastAsia" w:ascii="华文中宋" w:hAnsi="华文中宋" w:eastAsia="华文中宋" w:cs="华文中宋"/>
          <w:b w:val="0"/>
          <w:bCs w:val="0"/>
          <w:spacing w:val="-7"/>
        </w:rPr>
      </w:pPr>
      <w:r>
        <w:rPr>
          <w:rFonts w:hint="eastAsia" w:ascii="华文中宋" w:hAnsi="华文中宋" w:eastAsia="华文中宋" w:cs="华文中宋"/>
          <w:b w:val="0"/>
          <w:bCs w:val="0"/>
          <w:spacing w:val="-7"/>
        </w:rPr>
        <w:t>第七章 附则</w:t>
      </w:r>
    </w:p>
    <w:p w14:paraId="26F2A8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 xml:space="preserve">第十八条 本办法由中国香妆协会负责解释。 </w:t>
      </w:r>
    </w:p>
    <w:p w14:paraId="547404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r>
        <w:rPr>
          <w:rFonts w:hint="eastAsia" w:ascii="仿宋" w:hAnsi="仿宋" w:eastAsia="仿宋" w:cs="仿宋"/>
          <w:spacing w:val="-4"/>
          <w:lang w:val="en-US" w:eastAsia="zh-CN"/>
        </w:rPr>
        <w:t>第十九条 本办法自发布之日起施行。</w:t>
      </w:r>
    </w:p>
    <w:p w14:paraId="4E78973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544" w:firstLineChars="200"/>
        <w:jc w:val="both"/>
        <w:textAlignment w:val="baseline"/>
        <w:rPr>
          <w:rFonts w:hint="eastAsia" w:ascii="仿宋" w:hAnsi="仿宋" w:eastAsia="仿宋" w:cs="仿宋"/>
          <w:spacing w:val="-4"/>
          <w:lang w:val="en-US" w:eastAsia="zh-CN"/>
        </w:rPr>
      </w:pPr>
    </w:p>
    <w:p w14:paraId="141D230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12" w:rightChars="0"/>
        <w:jc w:val="both"/>
        <w:textAlignment w:val="baseline"/>
        <w:rPr>
          <w:rFonts w:hint="eastAsia" w:ascii="仿宋" w:hAnsi="仿宋" w:eastAsia="仿宋" w:cs="仿宋"/>
          <w:spacing w:val="6"/>
          <w:lang w:val="en-US" w:eastAsia="zh-CN"/>
        </w:rPr>
      </w:pPr>
      <w:r>
        <w:rPr>
          <w:rFonts w:hint="eastAsia" w:ascii="仿宋" w:hAnsi="仿宋" w:eastAsia="仿宋" w:cs="仿宋"/>
          <w:spacing w:val="6"/>
          <w:lang w:val="en-US" w:eastAsia="zh-CN"/>
        </w:rPr>
        <w:t>附件1.</w:t>
      </w:r>
      <w:r>
        <w:rPr>
          <w:rFonts w:hint="eastAsia" w:ascii="仿宋" w:hAnsi="仿宋" w:eastAsia="仿宋" w:cs="仿宋"/>
          <w:spacing w:val="6"/>
        </w:rPr>
        <w:t>中国</w:t>
      </w:r>
      <w:r>
        <w:rPr>
          <w:rFonts w:hint="eastAsia" w:ascii="仿宋" w:hAnsi="仿宋" w:eastAsia="仿宋" w:cs="仿宋"/>
          <w:spacing w:val="6"/>
          <w:lang w:val="en-US" w:eastAsia="zh-CN"/>
        </w:rPr>
        <w:t>香料香精</w:t>
      </w:r>
      <w:r>
        <w:rPr>
          <w:rFonts w:hint="eastAsia" w:ascii="仿宋" w:hAnsi="仿宋" w:eastAsia="仿宋" w:cs="仿宋"/>
          <w:spacing w:val="6"/>
          <w:lang w:eastAsia="zh-CN"/>
        </w:rPr>
        <w:t>行业十大科技进展</w:t>
      </w:r>
      <w:r>
        <w:rPr>
          <w:rFonts w:hint="eastAsia" w:ascii="仿宋" w:hAnsi="仿宋" w:eastAsia="仿宋" w:cs="仿宋"/>
          <w:spacing w:val="6"/>
        </w:rPr>
        <w:t>评价</w:t>
      </w:r>
      <w:r>
        <w:rPr>
          <w:rFonts w:hint="eastAsia" w:ascii="仿宋" w:hAnsi="仿宋" w:eastAsia="仿宋" w:cs="仿宋"/>
          <w:spacing w:val="6"/>
          <w:lang w:val="en-US" w:eastAsia="zh-CN"/>
        </w:rPr>
        <w:t>标准及指标体系</w:t>
      </w:r>
    </w:p>
    <w:p w14:paraId="04A235F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12"/>
        <w:jc w:val="both"/>
        <w:textAlignment w:val="baseline"/>
        <w:rPr>
          <w:rFonts w:hint="eastAsia" w:ascii="仿宋" w:hAnsi="仿宋" w:eastAsia="仿宋" w:cs="仿宋"/>
          <w:spacing w:val="6"/>
        </w:rPr>
      </w:pPr>
      <w:r>
        <w:rPr>
          <w:rFonts w:hint="eastAsia" w:ascii="仿宋" w:hAnsi="仿宋" w:eastAsia="仿宋" w:cs="仿宋"/>
          <w:spacing w:val="6"/>
        </w:rPr>
        <w:t>附件2</w:t>
      </w:r>
      <w:r>
        <w:rPr>
          <w:rFonts w:hint="eastAsia" w:ascii="仿宋" w:hAnsi="仿宋" w:eastAsia="仿宋" w:cs="仿宋"/>
          <w:spacing w:val="6"/>
          <w:lang w:val="en-US" w:eastAsia="zh-CN"/>
        </w:rPr>
        <w:t>.</w:t>
      </w:r>
      <w:r>
        <w:rPr>
          <w:rFonts w:hint="eastAsia" w:ascii="仿宋" w:hAnsi="仿宋" w:eastAsia="仿宋" w:cs="仿宋"/>
          <w:spacing w:val="6"/>
        </w:rPr>
        <w:t>中国香料香精行业十大科技进展征集表</w:t>
      </w:r>
    </w:p>
    <w:p w14:paraId="5CBF54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6"/>
        </w:rPr>
      </w:pPr>
      <w:r>
        <w:rPr>
          <w:rFonts w:hint="eastAsia" w:ascii="仿宋" w:hAnsi="仿宋" w:eastAsia="仿宋" w:cs="仿宋"/>
          <w:spacing w:val="6"/>
        </w:rPr>
        <w:br w:type="page"/>
      </w:r>
    </w:p>
    <w:p w14:paraId="7A79068C">
      <w:pPr>
        <w:pStyle w:val="3"/>
        <w:numPr>
          <w:ilvl w:val="0"/>
          <w:numId w:val="0"/>
        </w:numPr>
        <w:spacing w:before="44" w:line="360" w:lineRule="auto"/>
        <w:ind w:right="212"/>
        <w:jc w:val="both"/>
        <w:rPr>
          <w:rFonts w:hint="eastAsia" w:ascii="仿宋" w:hAnsi="仿宋" w:eastAsia="仿宋" w:cs="仿宋"/>
          <w:spacing w:val="6"/>
        </w:rPr>
        <w:sectPr>
          <w:pgSz w:w="11906" w:h="16838"/>
          <w:pgMar w:top="1440" w:right="1800" w:bottom="1440" w:left="1800" w:header="851" w:footer="992" w:gutter="0"/>
          <w:cols w:space="425" w:num="1"/>
          <w:docGrid w:type="lines" w:linePitch="312" w:charSpace="0"/>
        </w:sectPr>
      </w:pPr>
    </w:p>
    <w:p w14:paraId="78FB9EB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华文中宋" w:hAnsi="华文中宋" w:eastAsia="华文中宋" w:cs="华文中宋"/>
          <w:color w:val="auto"/>
          <w:spacing w:val="0"/>
          <w:sz w:val="32"/>
          <w:szCs w:val="32"/>
          <w:lang w:val="en-US" w:eastAsia="zh-CN"/>
        </w:rPr>
      </w:pPr>
      <w:r>
        <w:rPr>
          <w:rFonts w:hint="eastAsia" w:ascii="华文中宋" w:hAnsi="华文中宋" w:eastAsia="华文中宋" w:cs="华文中宋"/>
          <w:color w:val="auto"/>
          <w:spacing w:val="0"/>
          <w:sz w:val="32"/>
          <w:szCs w:val="32"/>
          <w:lang w:val="en-US" w:eastAsia="zh-CN"/>
        </w:rPr>
        <w:t>附件1：</w:t>
      </w:r>
    </w:p>
    <w:p w14:paraId="5FD81BC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rPr>
      </w:pPr>
      <w:r>
        <w:rPr>
          <w:rFonts w:hint="eastAsia" w:ascii="华文中宋" w:hAnsi="华文中宋" w:eastAsia="华文中宋" w:cs="华文中宋"/>
          <w:color w:val="auto"/>
          <w:spacing w:val="0"/>
          <w:sz w:val="32"/>
          <w:szCs w:val="32"/>
          <w:lang w:val="en-US" w:eastAsia="zh-CN"/>
        </w:rPr>
        <w:t>中国香料香精行业十大科技进展评价标准及指标体系</w:t>
      </w:r>
    </w:p>
    <w:tbl>
      <w:tblPr>
        <w:tblStyle w:val="4"/>
        <w:tblW w:w="12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59"/>
        <w:gridCol w:w="1193"/>
        <w:gridCol w:w="6134"/>
        <w:gridCol w:w="2474"/>
      </w:tblGrid>
      <w:tr w14:paraId="1CB0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noWrap w:val="0"/>
            <w:vAlign w:val="center"/>
          </w:tcPr>
          <w:p w14:paraId="3FEF97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一级指标</w:t>
            </w:r>
          </w:p>
        </w:tc>
        <w:tc>
          <w:tcPr>
            <w:tcW w:w="1359" w:type="dxa"/>
            <w:noWrap w:val="0"/>
            <w:vAlign w:val="center"/>
          </w:tcPr>
          <w:p w14:paraId="2CF982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二级指标</w:t>
            </w:r>
          </w:p>
        </w:tc>
        <w:tc>
          <w:tcPr>
            <w:tcW w:w="1193" w:type="dxa"/>
            <w:noWrap w:val="0"/>
            <w:vAlign w:val="center"/>
          </w:tcPr>
          <w:p w14:paraId="0BF321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highlight w:val="none"/>
                <w:lang w:val="en-US" w:eastAsia="zh-CN"/>
              </w:rPr>
              <w:t>评价分值</w:t>
            </w:r>
          </w:p>
        </w:tc>
        <w:tc>
          <w:tcPr>
            <w:tcW w:w="6134" w:type="dxa"/>
            <w:noWrap w:val="0"/>
            <w:vAlign w:val="center"/>
          </w:tcPr>
          <w:p w14:paraId="757723C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评价标准</w:t>
            </w:r>
          </w:p>
        </w:tc>
        <w:tc>
          <w:tcPr>
            <w:tcW w:w="2474" w:type="dxa"/>
            <w:noWrap w:val="0"/>
            <w:vAlign w:val="center"/>
          </w:tcPr>
          <w:p w14:paraId="023FA04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主要评价方式/主要佐证材料</w:t>
            </w:r>
          </w:p>
        </w:tc>
      </w:tr>
      <w:tr w14:paraId="3788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restart"/>
            <w:noWrap w:val="0"/>
            <w:vAlign w:val="center"/>
          </w:tcPr>
          <w:p w14:paraId="30EFD1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科学价值（16分）</w:t>
            </w:r>
          </w:p>
        </w:tc>
        <w:tc>
          <w:tcPr>
            <w:tcW w:w="1359" w:type="dxa"/>
            <w:noWrap w:val="0"/>
            <w:vAlign w:val="center"/>
          </w:tcPr>
          <w:p w14:paraId="11F22B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科学创新度</w:t>
            </w:r>
          </w:p>
        </w:tc>
        <w:tc>
          <w:tcPr>
            <w:tcW w:w="1193" w:type="dxa"/>
            <w:noWrap w:val="0"/>
            <w:vAlign w:val="center"/>
          </w:tcPr>
          <w:p w14:paraId="724B08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1-8分</w:t>
            </w:r>
          </w:p>
        </w:tc>
        <w:tc>
          <w:tcPr>
            <w:tcW w:w="6134" w:type="dxa"/>
            <w:noWrap w:val="0"/>
            <w:vAlign w:val="center"/>
          </w:tcPr>
          <w:p w14:paraId="7498DC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评价科技进展的现有理论基础，以及对现有理论体系的突破</w:t>
            </w:r>
          </w:p>
        </w:tc>
        <w:tc>
          <w:tcPr>
            <w:tcW w:w="2474" w:type="dxa"/>
            <w:noWrap w:val="0"/>
            <w:vAlign w:val="center"/>
          </w:tcPr>
          <w:p w14:paraId="313E84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论文/查新报告</w:t>
            </w:r>
          </w:p>
        </w:tc>
      </w:tr>
      <w:tr w14:paraId="2976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5BF1047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p>
        </w:tc>
        <w:tc>
          <w:tcPr>
            <w:tcW w:w="1359" w:type="dxa"/>
            <w:noWrap w:val="0"/>
            <w:vAlign w:val="center"/>
          </w:tcPr>
          <w:p w14:paraId="58EB57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学科影响力</w:t>
            </w:r>
          </w:p>
        </w:tc>
        <w:tc>
          <w:tcPr>
            <w:tcW w:w="1193" w:type="dxa"/>
            <w:noWrap w:val="0"/>
            <w:vAlign w:val="center"/>
          </w:tcPr>
          <w:p w14:paraId="1AB85C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1-8分</w:t>
            </w:r>
          </w:p>
        </w:tc>
        <w:tc>
          <w:tcPr>
            <w:tcW w:w="6134" w:type="dxa"/>
            <w:noWrap w:val="0"/>
            <w:vAlign w:val="center"/>
          </w:tcPr>
          <w:p w14:paraId="304E5B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评价科技进展的传播范围（同行引用、评论、跟进研究）</w:t>
            </w:r>
          </w:p>
        </w:tc>
        <w:tc>
          <w:tcPr>
            <w:tcW w:w="2474" w:type="dxa"/>
            <w:noWrap w:val="0"/>
            <w:vAlign w:val="center"/>
          </w:tcPr>
          <w:p w14:paraId="2F2CE0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论文/学术会议报告/论文引证检索报告</w:t>
            </w:r>
          </w:p>
        </w:tc>
      </w:tr>
      <w:tr w14:paraId="2C31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restart"/>
            <w:noWrap w:val="0"/>
            <w:vAlign w:val="center"/>
          </w:tcPr>
          <w:p w14:paraId="29FD14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技术</w:t>
            </w:r>
            <w:r>
              <w:rPr>
                <w:rFonts w:hint="eastAsia" w:ascii="仿宋" w:hAnsi="仿宋" w:eastAsia="仿宋" w:cs="仿宋"/>
                <w:color w:val="auto"/>
                <w:spacing w:val="0"/>
                <w:sz w:val="21"/>
                <w:szCs w:val="21"/>
                <w:lang w:val="en-US" w:eastAsia="zh-CN"/>
              </w:rPr>
              <w:t>价值</w:t>
            </w:r>
          </w:p>
          <w:p w14:paraId="2BFF0E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（30分）</w:t>
            </w:r>
          </w:p>
        </w:tc>
        <w:tc>
          <w:tcPr>
            <w:tcW w:w="1359" w:type="dxa"/>
            <w:noWrap w:val="0"/>
            <w:vAlign w:val="center"/>
          </w:tcPr>
          <w:p w14:paraId="12FD88C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技术成熟度</w:t>
            </w:r>
          </w:p>
        </w:tc>
        <w:tc>
          <w:tcPr>
            <w:tcW w:w="1193" w:type="dxa"/>
            <w:noWrap w:val="0"/>
            <w:vAlign w:val="center"/>
          </w:tcPr>
          <w:p w14:paraId="7F0CCD0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10分</w:t>
            </w:r>
          </w:p>
        </w:tc>
        <w:tc>
          <w:tcPr>
            <w:tcW w:w="6134" w:type="dxa"/>
            <w:noWrap w:val="0"/>
            <w:vAlign w:val="center"/>
          </w:tcPr>
          <w:p w14:paraId="336713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在技术创新全过程中所处的阶段</w:t>
            </w:r>
          </w:p>
        </w:tc>
        <w:tc>
          <w:tcPr>
            <w:tcW w:w="2474" w:type="dxa"/>
            <w:noWrap w:val="0"/>
            <w:vAlign w:val="center"/>
          </w:tcPr>
          <w:p w14:paraId="780D15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应用证明</w:t>
            </w:r>
          </w:p>
        </w:tc>
      </w:tr>
      <w:tr w14:paraId="630F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49EB21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25831A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技术创新度</w:t>
            </w:r>
          </w:p>
        </w:tc>
        <w:tc>
          <w:tcPr>
            <w:tcW w:w="1193" w:type="dxa"/>
            <w:noWrap w:val="0"/>
            <w:vAlign w:val="center"/>
          </w:tcPr>
          <w:p w14:paraId="10E50D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1-10分</w:t>
            </w:r>
          </w:p>
        </w:tc>
        <w:tc>
          <w:tcPr>
            <w:tcW w:w="6134" w:type="dxa"/>
            <w:noWrap w:val="0"/>
            <w:vAlign w:val="center"/>
          </w:tcPr>
          <w:p w14:paraId="03DC31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对现有技术和应用场景的突破和拓展程度</w:t>
            </w:r>
          </w:p>
          <w:p w14:paraId="0FE5034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在</w:t>
            </w:r>
            <w:r>
              <w:rPr>
                <w:rFonts w:hint="eastAsia" w:ascii="仿宋" w:hAnsi="仿宋" w:eastAsia="仿宋" w:cs="仿宋"/>
                <w:color w:val="auto"/>
                <w:spacing w:val="0"/>
                <w:sz w:val="21"/>
                <w:szCs w:val="21"/>
                <w:lang w:val="en-US" w:eastAsia="zh-CN"/>
              </w:rPr>
              <w:t>国内外</w:t>
            </w:r>
            <w:r>
              <w:rPr>
                <w:rFonts w:hint="eastAsia" w:ascii="仿宋" w:hAnsi="仿宋" w:eastAsia="仿宋" w:cs="仿宋"/>
                <w:color w:val="auto"/>
                <w:spacing w:val="0"/>
                <w:sz w:val="21"/>
                <w:szCs w:val="21"/>
              </w:rPr>
              <w:t>的公开文献报道情况</w:t>
            </w:r>
            <w:r>
              <w:rPr>
                <w:rFonts w:hint="eastAsia" w:ascii="仿宋" w:hAnsi="仿宋" w:eastAsia="仿宋" w:cs="仿宋"/>
                <w:color w:val="auto"/>
                <w:spacing w:val="0"/>
                <w:sz w:val="21"/>
                <w:szCs w:val="21"/>
                <w:lang w:val="en-US" w:eastAsia="zh-CN"/>
              </w:rPr>
              <w:t>或在国内外的专利情况</w:t>
            </w:r>
            <w:r>
              <w:rPr>
                <w:rFonts w:hint="eastAsia" w:ascii="仿宋" w:hAnsi="仿宋" w:eastAsia="仿宋" w:cs="仿宋"/>
                <w:color w:val="auto"/>
                <w:spacing w:val="0"/>
                <w:sz w:val="21"/>
                <w:szCs w:val="21"/>
              </w:rPr>
              <w:t xml:space="preserve"> </w:t>
            </w:r>
          </w:p>
        </w:tc>
        <w:tc>
          <w:tcPr>
            <w:tcW w:w="2474" w:type="dxa"/>
            <w:noWrap w:val="0"/>
            <w:vAlign w:val="center"/>
          </w:tcPr>
          <w:p w14:paraId="40E943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查新报告、“代表作”</w:t>
            </w:r>
          </w:p>
        </w:tc>
      </w:tr>
      <w:tr w14:paraId="2F1A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2DAF79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95354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技术先进度</w:t>
            </w:r>
          </w:p>
        </w:tc>
        <w:tc>
          <w:tcPr>
            <w:tcW w:w="1193" w:type="dxa"/>
            <w:noWrap w:val="0"/>
            <w:vAlign w:val="center"/>
          </w:tcPr>
          <w:p w14:paraId="7BC125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10分</w:t>
            </w:r>
          </w:p>
        </w:tc>
        <w:tc>
          <w:tcPr>
            <w:tcW w:w="6134" w:type="dxa"/>
            <w:noWrap w:val="0"/>
            <w:vAlign w:val="center"/>
          </w:tcPr>
          <w:p w14:paraId="0CEC2C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关键技术</w:t>
            </w:r>
            <w:r>
              <w:rPr>
                <w:rFonts w:hint="eastAsia" w:ascii="仿宋" w:hAnsi="仿宋" w:eastAsia="仿宋" w:cs="仿宋"/>
                <w:color w:val="auto"/>
                <w:spacing w:val="0"/>
                <w:sz w:val="21"/>
                <w:szCs w:val="21"/>
                <w:lang w:val="en-US" w:eastAsia="zh-CN"/>
              </w:rPr>
              <w:t>指标在相同应用目的的技术中的水平</w:t>
            </w:r>
          </w:p>
        </w:tc>
        <w:tc>
          <w:tcPr>
            <w:tcW w:w="2474" w:type="dxa"/>
            <w:noWrap w:val="0"/>
            <w:vAlign w:val="center"/>
          </w:tcPr>
          <w:p w14:paraId="39113E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检索报告、“代表作”</w:t>
            </w:r>
          </w:p>
        </w:tc>
      </w:tr>
      <w:tr w14:paraId="09F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183" w:type="dxa"/>
            <w:vMerge w:val="restart"/>
            <w:noWrap w:val="0"/>
            <w:vAlign w:val="center"/>
          </w:tcPr>
          <w:p w14:paraId="0EC1A0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18"/>
                <w:szCs w:val="18"/>
              </w:rPr>
            </w:pPr>
            <w:r>
              <w:rPr>
                <w:rFonts w:hint="eastAsia" w:ascii="仿宋" w:hAnsi="仿宋" w:eastAsia="仿宋" w:cs="仿宋"/>
                <w:color w:val="auto"/>
                <w:spacing w:val="0"/>
                <w:sz w:val="21"/>
                <w:szCs w:val="21"/>
                <w:lang w:val="en-US" w:eastAsia="zh-CN"/>
              </w:rPr>
              <w:t>应</w:t>
            </w:r>
            <w:r>
              <w:rPr>
                <w:rFonts w:hint="eastAsia" w:ascii="仿宋" w:hAnsi="仿宋" w:eastAsia="仿宋" w:cs="仿宋"/>
                <w:color w:val="auto"/>
                <w:spacing w:val="0"/>
                <w:sz w:val="18"/>
                <w:szCs w:val="18"/>
                <w:lang w:val="en-US" w:eastAsia="zh-CN"/>
              </w:rPr>
              <w:t>用</w:t>
            </w:r>
            <w:r>
              <w:rPr>
                <w:rFonts w:hint="eastAsia" w:ascii="仿宋" w:hAnsi="仿宋" w:eastAsia="仿宋" w:cs="仿宋"/>
                <w:color w:val="auto"/>
                <w:spacing w:val="0"/>
                <w:sz w:val="18"/>
                <w:szCs w:val="18"/>
              </w:rPr>
              <w:t>效益</w:t>
            </w:r>
          </w:p>
          <w:p w14:paraId="2AB1909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18"/>
                <w:szCs w:val="18"/>
                <w:lang w:eastAsia="zh-CN"/>
              </w:rPr>
              <w:t>（</w:t>
            </w:r>
            <w:r>
              <w:rPr>
                <w:rFonts w:hint="eastAsia" w:ascii="仿宋" w:hAnsi="仿宋" w:eastAsia="仿宋" w:cs="仿宋"/>
                <w:color w:val="auto"/>
                <w:spacing w:val="0"/>
                <w:sz w:val="18"/>
                <w:szCs w:val="18"/>
                <w:lang w:val="en-US" w:eastAsia="zh-CN"/>
              </w:rPr>
              <w:t>24分</w:t>
            </w:r>
            <w:r>
              <w:rPr>
                <w:rFonts w:hint="eastAsia" w:ascii="仿宋" w:hAnsi="仿宋" w:eastAsia="仿宋" w:cs="仿宋"/>
                <w:color w:val="auto"/>
                <w:spacing w:val="0"/>
                <w:sz w:val="18"/>
                <w:szCs w:val="18"/>
                <w:lang w:eastAsia="zh-CN"/>
              </w:rPr>
              <w:t>）</w:t>
            </w:r>
          </w:p>
        </w:tc>
        <w:tc>
          <w:tcPr>
            <w:tcW w:w="1359" w:type="dxa"/>
            <w:noWrap w:val="0"/>
            <w:vAlign w:val="center"/>
          </w:tcPr>
          <w:p w14:paraId="1C3EEBF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w:t>
            </w:r>
          </w:p>
        </w:tc>
        <w:tc>
          <w:tcPr>
            <w:tcW w:w="1193" w:type="dxa"/>
            <w:noWrap w:val="0"/>
            <w:vAlign w:val="center"/>
          </w:tcPr>
          <w:p w14:paraId="58D66A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8分</w:t>
            </w:r>
          </w:p>
        </w:tc>
        <w:tc>
          <w:tcPr>
            <w:tcW w:w="6134" w:type="dxa"/>
            <w:noWrap w:val="0"/>
            <w:vAlign w:val="center"/>
          </w:tcPr>
          <w:p w14:paraId="05F908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对本领域基础研究的贡献和相关学科发展的影响</w:t>
            </w:r>
          </w:p>
        </w:tc>
        <w:tc>
          <w:tcPr>
            <w:tcW w:w="2474" w:type="dxa"/>
            <w:noWrap w:val="0"/>
            <w:vAlign w:val="center"/>
          </w:tcPr>
          <w:p w14:paraId="53C1BB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社会效益证明</w:t>
            </w:r>
          </w:p>
        </w:tc>
      </w:tr>
      <w:tr w14:paraId="0F30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63C655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5D08E3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w:t>
            </w:r>
          </w:p>
        </w:tc>
        <w:tc>
          <w:tcPr>
            <w:tcW w:w="1193" w:type="dxa"/>
            <w:noWrap w:val="0"/>
            <w:vAlign w:val="center"/>
          </w:tcPr>
          <w:p w14:paraId="4C7E18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8分</w:t>
            </w:r>
          </w:p>
        </w:tc>
        <w:tc>
          <w:tcPr>
            <w:tcW w:w="6134" w:type="dxa"/>
            <w:noWrap w:val="0"/>
            <w:vAlign w:val="center"/>
          </w:tcPr>
          <w:p w14:paraId="15BDEF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对相关产业发展的预期带动作用</w:t>
            </w:r>
          </w:p>
        </w:tc>
        <w:tc>
          <w:tcPr>
            <w:tcW w:w="2474" w:type="dxa"/>
            <w:noWrap w:val="0"/>
            <w:vAlign w:val="center"/>
          </w:tcPr>
          <w:p w14:paraId="241F2F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经济效益证明</w:t>
            </w:r>
          </w:p>
        </w:tc>
      </w:tr>
      <w:tr w14:paraId="3E7E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6C63A9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7222C9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w:t>
            </w:r>
          </w:p>
        </w:tc>
        <w:tc>
          <w:tcPr>
            <w:tcW w:w="1193" w:type="dxa"/>
            <w:noWrap w:val="0"/>
            <w:vAlign w:val="center"/>
          </w:tcPr>
          <w:p w14:paraId="4E63A5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8分</w:t>
            </w:r>
          </w:p>
        </w:tc>
        <w:tc>
          <w:tcPr>
            <w:tcW w:w="6134" w:type="dxa"/>
            <w:noWrap w:val="0"/>
            <w:vAlign w:val="center"/>
          </w:tcPr>
          <w:p w14:paraId="56389E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在营造创新文化、加强科技伦理治理</w:t>
            </w:r>
            <w:r>
              <w:rPr>
                <w:rFonts w:hint="eastAsia" w:ascii="仿宋" w:hAnsi="仿宋" w:eastAsia="仿宋" w:cs="仿宋"/>
                <w:color w:val="auto"/>
                <w:spacing w:val="0"/>
                <w:sz w:val="21"/>
                <w:szCs w:val="21"/>
                <w:lang w:eastAsia="zh-CN"/>
              </w:rPr>
              <w:t>、</w:t>
            </w:r>
            <w:r>
              <w:rPr>
                <w:rFonts w:hint="eastAsia" w:ascii="仿宋" w:hAnsi="仿宋" w:eastAsia="仿宋" w:cs="仿宋"/>
                <w:spacing w:val="-4"/>
                <w:lang w:val="en-US" w:eastAsia="zh-CN"/>
              </w:rPr>
              <w:t>在推动行业可持续发展</w:t>
            </w:r>
            <w:r>
              <w:rPr>
                <w:rFonts w:hint="eastAsia" w:ascii="仿宋" w:hAnsi="仿宋" w:eastAsia="仿宋" w:cs="仿宋"/>
                <w:color w:val="auto"/>
                <w:spacing w:val="0"/>
                <w:sz w:val="21"/>
                <w:szCs w:val="21"/>
              </w:rPr>
              <w:t>等方面的影响与贡献</w:t>
            </w:r>
          </w:p>
        </w:tc>
        <w:tc>
          <w:tcPr>
            <w:tcW w:w="2474" w:type="dxa"/>
            <w:noWrap w:val="0"/>
            <w:vAlign w:val="center"/>
          </w:tcPr>
          <w:p w14:paraId="420B52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文化效益证明</w:t>
            </w:r>
          </w:p>
        </w:tc>
      </w:tr>
      <w:tr w14:paraId="52A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restart"/>
            <w:noWrap w:val="0"/>
            <w:vAlign w:val="center"/>
          </w:tcPr>
          <w:p w14:paraId="5891B4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研发团队</w:t>
            </w:r>
          </w:p>
          <w:p w14:paraId="6C8E28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8分</w:t>
            </w:r>
            <w:r>
              <w:rPr>
                <w:rFonts w:hint="eastAsia" w:ascii="仿宋" w:hAnsi="仿宋" w:eastAsia="仿宋" w:cs="仿宋"/>
                <w:color w:val="auto"/>
                <w:spacing w:val="0"/>
                <w:sz w:val="21"/>
                <w:szCs w:val="21"/>
                <w:lang w:eastAsia="zh-CN"/>
              </w:rPr>
              <w:t>）</w:t>
            </w:r>
          </w:p>
        </w:tc>
        <w:tc>
          <w:tcPr>
            <w:tcW w:w="1359" w:type="dxa"/>
            <w:noWrap w:val="0"/>
            <w:vAlign w:val="center"/>
          </w:tcPr>
          <w:p w14:paraId="366AD39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学术能力</w:t>
            </w:r>
          </w:p>
        </w:tc>
        <w:tc>
          <w:tcPr>
            <w:tcW w:w="1193" w:type="dxa"/>
            <w:noWrap w:val="0"/>
            <w:vAlign w:val="center"/>
          </w:tcPr>
          <w:p w14:paraId="3172BB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379D2B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研发团队带头人的学科领域活跃度和影响力、重要学术组织或期刊的任职情况</w:t>
            </w:r>
          </w:p>
        </w:tc>
        <w:tc>
          <w:tcPr>
            <w:tcW w:w="2474" w:type="dxa"/>
            <w:noWrap w:val="0"/>
            <w:vAlign w:val="center"/>
          </w:tcPr>
          <w:p w14:paraId="61230C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“代表作”检索报告</w:t>
            </w:r>
          </w:p>
        </w:tc>
      </w:tr>
      <w:tr w14:paraId="4CD4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60AD670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4533B8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创新能力</w:t>
            </w:r>
          </w:p>
        </w:tc>
        <w:tc>
          <w:tcPr>
            <w:tcW w:w="1193" w:type="dxa"/>
            <w:noWrap w:val="0"/>
            <w:vAlign w:val="center"/>
          </w:tcPr>
          <w:p w14:paraId="319F1A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1-4</w:t>
            </w:r>
            <w:r>
              <w:rPr>
                <w:rFonts w:hint="eastAsia" w:ascii="仿宋" w:hAnsi="仿宋" w:eastAsia="仿宋" w:cs="仿宋"/>
                <w:color w:val="auto"/>
                <w:spacing w:val="0"/>
                <w:sz w:val="21"/>
                <w:szCs w:val="21"/>
                <w:lang w:val="en-US" w:eastAsia="zh-CN"/>
              </w:rPr>
              <w:t>分</w:t>
            </w:r>
          </w:p>
        </w:tc>
        <w:tc>
          <w:tcPr>
            <w:tcW w:w="6134" w:type="dxa"/>
            <w:noWrap w:val="0"/>
            <w:vAlign w:val="center"/>
          </w:tcPr>
          <w:p w14:paraId="01F67E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“代表作”的学术思想、观点、方法被他人引用与证实情况，在国内外学术界的影响与地位</w:t>
            </w:r>
          </w:p>
        </w:tc>
        <w:tc>
          <w:tcPr>
            <w:tcW w:w="2474" w:type="dxa"/>
            <w:noWrap w:val="0"/>
            <w:vAlign w:val="center"/>
          </w:tcPr>
          <w:p w14:paraId="029C64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“代表作”检索报告</w:t>
            </w:r>
          </w:p>
        </w:tc>
      </w:tr>
      <w:tr w14:paraId="6F5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183" w:type="dxa"/>
            <w:vMerge w:val="restart"/>
            <w:noWrap w:val="0"/>
            <w:vAlign w:val="center"/>
          </w:tcPr>
          <w:p w14:paraId="522333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科研产出</w:t>
            </w:r>
          </w:p>
          <w:p w14:paraId="426EF8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10分</w:t>
            </w:r>
            <w:r>
              <w:rPr>
                <w:rFonts w:hint="eastAsia" w:ascii="仿宋" w:hAnsi="仿宋" w:eastAsia="仿宋" w:cs="仿宋"/>
                <w:color w:val="auto"/>
                <w:spacing w:val="0"/>
                <w:sz w:val="21"/>
                <w:szCs w:val="21"/>
                <w:lang w:eastAsia="zh-CN"/>
              </w:rPr>
              <w:t>）</w:t>
            </w:r>
          </w:p>
        </w:tc>
        <w:tc>
          <w:tcPr>
            <w:tcW w:w="1359" w:type="dxa"/>
            <w:noWrap w:val="0"/>
            <w:vAlign w:val="center"/>
          </w:tcPr>
          <w:p w14:paraId="5BC57F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产出水平</w:t>
            </w:r>
          </w:p>
        </w:tc>
        <w:tc>
          <w:tcPr>
            <w:tcW w:w="1193" w:type="dxa"/>
            <w:noWrap w:val="0"/>
            <w:vAlign w:val="center"/>
          </w:tcPr>
          <w:p w14:paraId="00027CE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5分</w:t>
            </w:r>
          </w:p>
        </w:tc>
        <w:tc>
          <w:tcPr>
            <w:tcW w:w="6134" w:type="dxa"/>
            <w:noWrap w:val="0"/>
            <w:vAlign w:val="center"/>
          </w:tcPr>
          <w:p w14:paraId="25546B8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科研产出的数量与相关性</w:t>
            </w:r>
          </w:p>
        </w:tc>
        <w:tc>
          <w:tcPr>
            <w:tcW w:w="2474" w:type="dxa"/>
            <w:noWrap w:val="0"/>
            <w:vAlign w:val="center"/>
          </w:tcPr>
          <w:p w14:paraId="51E23C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科研产出检索报告</w:t>
            </w:r>
          </w:p>
        </w:tc>
      </w:tr>
      <w:tr w14:paraId="589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1A2316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DB6AC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w:t>
            </w:r>
          </w:p>
        </w:tc>
        <w:tc>
          <w:tcPr>
            <w:tcW w:w="1193" w:type="dxa"/>
            <w:noWrap w:val="0"/>
            <w:vAlign w:val="center"/>
          </w:tcPr>
          <w:p w14:paraId="1903C7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5分</w:t>
            </w:r>
          </w:p>
        </w:tc>
        <w:tc>
          <w:tcPr>
            <w:tcW w:w="6134" w:type="dxa"/>
            <w:noWrap w:val="0"/>
            <w:vAlign w:val="center"/>
          </w:tcPr>
          <w:p w14:paraId="1D4543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科研产出的知识产权情况</w:t>
            </w:r>
          </w:p>
        </w:tc>
        <w:tc>
          <w:tcPr>
            <w:tcW w:w="2474" w:type="dxa"/>
            <w:noWrap w:val="0"/>
            <w:vAlign w:val="center"/>
          </w:tcPr>
          <w:p w14:paraId="38A728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知识产权检索报告</w:t>
            </w:r>
          </w:p>
        </w:tc>
      </w:tr>
      <w:tr w14:paraId="434C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restart"/>
            <w:noWrap w:val="0"/>
            <w:vAlign w:val="center"/>
          </w:tcPr>
          <w:p w14:paraId="0B5E8E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转化风险</w:t>
            </w:r>
          </w:p>
          <w:p w14:paraId="42E3F0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lang w:val="en-US" w:eastAsia="zh-CN"/>
              </w:rPr>
              <w:t>12分</w:t>
            </w:r>
            <w:r>
              <w:rPr>
                <w:rFonts w:hint="eastAsia" w:ascii="仿宋" w:hAnsi="仿宋" w:eastAsia="仿宋" w:cs="仿宋"/>
                <w:color w:val="auto"/>
                <w:spacing w:val="0"/>
                <w:sz w:val="21"/>
                <w:szCs w:val="21"/>
                <w:lang w:eastAsia="zh-CN"/>
              </w:rPr>
              <w:t>）</w:t>
            </w:r>
          </w:p>
        </w:tc>
        <w:tc>
          <w:tcPr>
            <w:tcW w:w="1359" w:type="dxa"/>
            <w:noWrap w:val="0"/>
            <w:vAlign w:val="center"/>
          </w:tcPr>
          <w:p w14:paraId="42E949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技术风险</w:t>
            </w:r>
          </w:p>
        </w:tc>
        <w:tc>
          <w:tcPr>
            <w:tcW w:w="1193" w:type="dxa"/>
            <w:noWrap w:val="0"/>
            <w:vAlign w:val="center"/>
          </w:tcPr>
          <w:p w14:paraId="25E0F70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3分</w:t>
            </w:r>
          </w:p>
        </w:tc>
        <w:tc>
          <w:tcPr>
            <w:tcW w:w="6134" w:type="dxa"/>
            <w:noWrap w:val="0"/>
            <w:vAlign w:val="center"/>
          </w:tcPr>
          <w:p w14:paraId="2786B4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核心技术的潜在替代风险</w:t>
            </w:r>
          </w:p>
        </w:tc>
        <w:tc>
          <w:tcPr>
            <w:tcW w:w="2474" w:type="dxa"/>
            <w:noWrap w:val="0"/>
            <w:vAlign w:val="center"/>
          </w:tcPr>
          <w:p w14:paraId="7DDFDA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r>
      <w:tr w14:paraId="7856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616F65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3072BC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政策风险</w:t>
            </w:r>
          </w:p>
        </w:tc>
        <w:tc>
          <w:tcPr>
            <w:tcW w:w="1193" w:type="dxa"/>
            <w:noWrap w:val="0"/>
            <w:vAlign w:val="center"/>
          </w:tcPr>
          <w:p w14:paraId="3141BC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3分</w:t>
            </w:r>
          </w:p>
        </w:tc>
        <w:tc>
          <w:tcPr>
            <w:tcW w:w="6134" w:type="dxa"/>
            <w:noWrap w:val="0"/>
            <w:vAlign w:val="center"/>
          </w:tcPr>
          <w:p w14:paraId="6E2E05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核心技术的政策适应性风险</w:t>
            </w:r>
          </w:p>
        </w:tc>
        <w:tc>
          <w:tcPr>
            <w:tcW w:w="2474" w:type="dxa"/>
            <w:noWrap w:val="0"/>
            <w:vAlign w:val="center"/>
          </w:tcPr>
          <w:p w14:paraId="1DCD2B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r>
      <w:tr w14:paraId="0ACD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183" w:type="dxa"/>
            <w:vMerge w:val="continue"/>
            <w:noWrap w:val="0"/>
            <w:vAlign w:val="center"/>
          </w:tcPr>
          <w:p w14:paraId="206BA8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3F658E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法律风险</w:t>
            </w:r>
          </w:p>
        </w:tc>
        <w:tc>
          <w:tcPr>
            <w:tcW w:w="1193" w:type="dxa"/>
            <w:noWrap w:val="0"/>
            <w:vAlign w:val="center"/>
          </w:tcPr>
          <w:p w14:paraId="51E7BA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3分</w:t>
            </w:r>
          </w:p>
        </w:tc>
        <w:tc>
          <w:tcPr>
            <w:tcW w:w="6134" w:type="dxa"/>
            <w:noWrap w:val="0"/>
            <w:vAlign w:val="center"/>
          </w:tcPr>
          <w:p w14:paraId="28B729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核心技术的潜在法律风险</w:t>
            </w:r>
          </w:p>
        </w:tc>
        <w:tc>
          <w:tcPr>
            <w:tcW w:w="2474" w:type="dxa"/>
            <w:noWrap w:val="0"/>
            <w:vAlign w:val="center"/>
          </w:tcPr>
          <w:p w14:paraId="24DE66A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r>
      <w:tr w14:paraId="11B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183" w:type="dxa"/>
            <w:vMerge w:val="continue"/>
            <w:noWrap w:val="0"/>
            <w:vAlign w:val="center"/>
          </w:tcPr>
          <w:p w14:paraId="107A1E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p>
        </w:tc>
        <w:tc>
          <w:tcPr>
            <w:tcW w:w="1359" w:type="dxa"/>
            <w:noWrap w:val="0"/>
            <w:vAlign w:val="center"/>
          </w:tcPr>
          <w:p w14:paraId="173463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市场风险</w:t>
            </w:r>
          </w:p>
        </w:tc>
        <w:tc>
          <w:tcPr>
            <w:tcW w:w="1193" w:type="dxa"/>
            <w:noWrap w:val="0"/>
            <w:vAlign w:val="center"/>
          </w:tcPr>
          <w:p w14:paraId="02AEFF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1-</w:t>
            </w:r>
            <w:r>
              <w:rPr>
                <w:rFonts w:hint="eastAsia" w:ascii="仿宋" w:hAnsi="仿宋" w:eastAsia="仿宋" w:cs="仿宋"/>
                <w:color w:val="auto"/>
                <w:spacing w:val="0"/>
                <w:sz w:val="21"/>
                <w:szCs w:val="21"/>
                <w:lang w:val="en-US" w:eastAsia="zh-CN"/>
              </w:rPr>
              <w:t>3分</w:t>
            </w:r>
          </w:p>
        </w:tc>
        <w:tc>
          <w:tcPr>
            <w:tcW w:w="6134" w:type="dxa"/>
            <w:noWrap w:val="0"/>
            <w:vAlign w:val="center"/>
          </w:tcPr>
          <w:p w14:paraId="714F0F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评价科技</w:t>
            </w:r>
            <w:r>
              <w:rPr>
                <w:rFonts w:hint="eastAsia" w:ascii="仿宋" w:hAnsi="仿宋" w:eastAsia="仿宋" w:cs="仿宋"/>
                <w:color w:val="auto"/>
                <w:spacing w:val="0"/>
                <w:sz w:val="21"/>
                <w:szCs w:val="21"/>
                <w:lang w:val="en-US" w:eastAsia="zh-CN"/>
              </w:rPr>
              <w:t>进展</w:t>
            </w:r>
            <w:r>
              <w:rPr>
                <w:rFonts w:hint="eastAsia" w:ascii="仿宋" w:hAnsi="仿宋" w:eastAsia="仿宋" w:cs="仿宋"/>
                <w:color w:val="auto"/>
                <w:spacing w:val="0"/>
                <w:sz w:val="21"/>
                <w:szCs w:val="21"/>
              </w:rPr>
              <w:t>核心技术的市场接纳潜在风险</w:t>
            </w:r>
          </w:p>
        </w:tc>
        <w:tc>
          <w:tcPr>
            <w:tcW w:w="2474" w:type="dxa"/>
            <w:noWrap w:val="0"/>
            <w:vAlign w:val="center"/>
          </w:tcPr>
          <w:p w14:paraId="42F477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社会评价/其他证明材料</w:t>
            </w:r>
          </w:p>
        </w:tc>
      </w:tr>
    </w:tbl>
    <w:p w14:paraId="7F24A3DF">
      <w:pPr>
        <w:pStyle w:val="2"/>
      </w:pPr>
    </w:p>
    <w:p w14:paraId="1E9D5624">
      <w:pPr>
        <w:sectPr>
          <w:pgSz w:w="16838" w:h="11906" w:orient="landscape"/>
          <w:pgMar w:top="1800" w:right="1440" w:bottom="1800" w:left="1440" w:header="851" w:footer="992" w:gutter="0"/>
          <w:cols w:space="425" w:num="1"/>
          <w:docGrid w:type="lines" w:linePitch="312" w:charSpace="0"/>
        </w:sectPr>
      </w:pPr>
      <w:r>
        <w:br w:type="page"/>
      </w:r>
    </w:p>
    <w:p w14:paraId="35CD0BAD">
      <w:pPr>
        <w:pStyle w:val="2"/>
      </w:pPr>
    </w:p>
    <w:p w14:paraId="18823B0E">
      <w:pPr>
        <w:pStyle w:val="3"/>
        <w:widowControl/>
        <w:kinsoku w:val="0"/>
        <w:autoSpaceDE w:val="0"/>
        <w:autoSpaceDN w:val="0"/>
        <w:adjustRightInd w:val="0"/>
        <w:snapToGrid w:val="0"/>
        <w:spacing w:before="253" w:line="218" w:lineRule="auto"/>
        <w:ind w:left="0" w:leftChars="0" w:firstLine="0" w:firstLineChars="0"/>
        <w:jc w:val="both"/>
        <w:textAlignment w:val="baseline"/>
        <w:outlineLvl w:val="0"/>
        <w:rPr>
          <w:rFonts w:hint="eastAsia" w:ascii="华文中宋" w:hAnsi="华文中宋" w:eastAsia="华文中宋" w:cs="华文中宋"/>
          <w:snapToGrid w:val="0"/>
          <w:color w:val="auto"/>
          <w:spacing w:val="0"/>
          <w:kern w:val="0"/>
          <w:sz w:val="32"/>
          <w:szCs w:val="32"/>
          <w:lang w:val="en-US" w:eastAsia="zh-CN"/>
        </w:rPr>
      </w:pPr>
      <w:r>
        <w:rPr>
          <w:rFonts w:hint="eastAsia" w:ascii="华文中宋" w:hAnsi="华文中宋" w:eastAsia="华文中宋" w:cs="华文中宋"/>
          <w:snapToGrid w:val="0"/>
          <w:color w:val="auto"/>
          <w:spacing w:val="0"/>
          <w:kern w:val="0"/>
          <w:sz w:val="32"/>
          <w:szCs w:val="32"/>
          <w:lang w:val="en-US" w:eastAsia="zh-CN"/>
        </w:rPr>
        <w:t>附件2：</w:t>
      </w:r>
    </w:p>
    <w:p w14:paraId="7E916539">
      <w:pPr>
        <w:snapToGrid w:val="0"/>
        <w:spacing w:line="560" w:lineRule="exact"/>
        <w:rPr>
          <w:rFonts w:ascii="仿宋_GB2312" w:eastAsia="仿宋_GB2312"/>
          <w:sz w:val="32"/>
        </w:rPr>
      </w:pPr>
      <w:bookmarkStart w:id="0" w:name="RANGE!A1:F14"/>
    </w:p>
    <w:p w14:paraId="34F788CE">
      <w:pPr>
        <w:rPr>
          <w:rFonts w:ascii="黑体" w:eastAsia="黑体"/>
        </w:rPr>
      </w:pPr>
    </w:p>
    <w:p w14:paraId="67291D0A">
      <w:pPr>
        <w:rPr>
          <w:rFonts w:ascii="黑体" w:eastAsia="黑体"/>
        </w:rPr>
      </w:pPr>
    </w:p>
    <w:p w14:paraId="02848CC3">
      <w:pPr>
        <w:rPr>
          <w:rFonts w:ascii="黑体" w:eastAsia="黑体"/>
        </w:rPr>
      </w:pPr>
    </w:p>
    <w:p w14:paraId="1BE11E52">
      <w:pPr>
        <w:rPr>
          <w:rFonts w:ascii="黑体" w:eastAsia="黑体"/>
        </w:rPr>
      </w:pPr>
    </w:p>
    <w:p w14:paraId="7C80783D">
      <w:pPr>
        <w:jc w:val="center"/>
        <w:rPr>
          <w:rFonts w:hint="eastAsia" w:eastAsia="方正小标宋简体"/>
          <w:sz w:val="52"/>
        </w:rPr>
      </w:pPr>
      <w:r>
        <w:rPr>
          <w:rFonts w:hint="eastAsia" w:eastAsia="方正小标宋简体"/>
          <w:sz w:val="52"/>
        </w:rPr>
        <w:t>中国</w:t>
      </w:r>
      <w:r>
        <w:rPr>
          <w:rFonts w:hint="eastAsia" w:eastAsia="方正小标宋简体"/>
          <w:sz w:val="52"/>
          <w:lang w:val="en-US" w:eastAsia="zh-CN"/>
        </w:rPr>
        <w:t>香料香精</w:t>
      </w:r>
      <w:r>
        <w:rPr>
          <w:rFonts w:hint="eastAsia" w:eastAsia="方正小标宋简体"/>
          <w:sz w:val="52"/>
        </w:rPr>
        <w:t>行业十大科技进展</w:t>
      </w:r>
    </w:p>
    <w:p w14:paraId="0274CCED">
      <w:pPr>
        <w:jc w:val="center"/>
        <w:rPr>
          <w:rFonts w:eastAsia="方正小标宋简体"/>
          <w:sz w:val="52"/>
        </w:rPr>
      </w:pPr>
      <w:r>
        <w:rPr>
          <w:rFonts w:hint="eastAsia" w:eastAsia="方正小标宋简体"/>
          <w:sz w:val="52"/>
        </w:rPr>
        <w:t>项目</w:t>
      </w:r>
      <w:r>
        <w:rPr>
          <w:rFonts w:hint="eastAsia" w:eastAsia="方正小标宋简体"/>
          <w:sz w:val="52"/>
          <w:lang w:val="en-US" w:eastAsia="zh-CN"/>
        </w:rPr>
        <w:t>申报</w:t>
      </w:r>
      <w:r>
        <w:rPr>
          <w:rFonts w:hint="eastAsia" w:eastAsia="方正小标宋简体"/>
          <w:sz w:val="52"/>
        </w:rPr>
        <w:t>表</w:t>
      </w:r>
    </w:p>
    <w:p w14:paraId="27DC29C7">
      <w:pPr>
        <w:jc w:val="center"/>
        <w:rPr>
          <w:rFonts w:eastAsia="楷体_GB2312"/>
          <w:sz w:val="36"/>
        </w:rPr>
      </w:pPr>
    </w:p>
    <w:p w14:paraId="1C119C2B">
      <w:pPr>
        <w:jc w:val="center"/>
        <w:rPr>
          <w:sz w:val="48"/>
        </w:rPr>
      </w:pPr>
    </w:p>
    <w:p w14:paraId="3A2E89D1">
      <w:pPr>
        <w:jc w:val="center"/>
        <w:rPr>
          <w:sz w:val="48"/>
        </w:rPr>
      </w:pPr>
    </w:p>
    <w:p w14:paraId="7A835720">
      <w:pPr>
        <w:spacing w:line="360" w:lineRule="auto"/>
        <w:ind w:firstLine="540" w:firstLineChars="150"/>
        <w:rPr>
          <w:rFonts w:eastAsia="楷体_GB2312"/>
          <w:sz w:val="36"/>
          <w:u w:val="single"/>
        </w:rPr>
      </w:pPr>
      <w:r>
        <w:rPr>
          <w:rFonts w:hint="eastAsia" w:eastAsia="楷体_GB2312"/>
          <w:sz w:val="36"/>
          <w:lang w:val="en-US" w:eastAsia="zh-CN"/>
        </w:rPr>
        <w:t>项目名称</w:t>
      </w:r>
      <w:r>
        <w:rPr>
          <w:rFonts w:hint="eastAsia" w:eastAsia="楷体_GB2312"/>
          <w:sz w:val="36"/>
        </w:rPr>
        <w:t>：</w:t>
      </w:r>
      <w:r>
        <w:rPr>
          <w:rFonts w:hint="eastAsia" w:eastAsia="楷体_GB2312"/>
          <w:sz w:val="36"/>
          <w:u w:val="single"/>
        </w:rPr>
        <w:t xml:space="preserve"> </w:t>
      </w:r>
      <w:r>
        <w:rPr>
          <w:rFonts w:hint="eastAsia" w:eastAsia="楷体_GB2312"/>
          <w:sz w:val="28"/>
          <w:szCs w:val="28"/>
          <w:u w:val="single"/>
        </w:rPr>
        <w:t xml:space="preserve">                                      </w:t>
      </w:r>
    </w:p>
    <w:p w14:paraId="43B09A12">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r>
        <w:rPr>
          <w:rFonts w:hint="eastAsia" w:eastAsia="楷体_GB2312"/>
          <w:sz w:val="28"/>
          <w:szCs w:val="28"/>
          <w:u w:val="single"/>
        </w:rPr>
        <w:t xml:space="preserve">                                    </w:t>
      </w:r>
    </w:p>
    <w:p w14:paraId="1279F690">
      <w:pPr>
        <w:spacing w:line="360" w:lineRule="auto"/>
        <w:jc w:val="center"/>
        <w:rPr>
          <w:rFonts w:eastAsia="楷体_GB2312"/>
          <w:sz w:val="36"/>
        </w:rPr>
      </w:pPr>
    </w:p>
    <w:p w14:paraId="5094D907">
      <w:pPr>
        <w:spacing w:line="360" w:lineRule="auto"/>
        <w:jc w:val="center"/>
        <w:rPr>
          <w:rFonts w:eastAsia="楷体_GB2312"/>
          <w:sz w:val="36"/>
        </w:rPr>
      </w:pPr>
    </w:p>
    <w:p w14:paraId="7FC66619">
      <w:pPr>
        <w:spacing w:line="360" w:lineRule="auto"/>
        <w:jc w:val="center"/>
        <w:rPr>
          <w:rFonts w:eastAsia="楷体_GB2312"/>
          <w:sz w:val="36"/>
        </w:rPr>
      </w:pPr>
    </w:p>
    <w:p w14:paraId="7CF9D3DF">
      <w:pPr>
        <w:spacing w:line="360" w:lineRule="auto"/>
        <w:jc w:val="center"/>
        <w:rPr>
          <w:rFonts w:eastAsia="楷体_GB2312"/>
          <w:sz w:val="36"/>
        </w:rPr>
      </w:pPr>
    </w:p>
    <w:p w14:paraId="04AF902B">
      <w:pPr>
        <w:spacing w:line="360" w:lineRule="auto"/>
        <w:jc w:val="center"/>
        <w:rPr>
          <w:rFonts w:eastAsia="楷体_GB2312"/>
          <w:sz w:val="36"/>
        </w:rPr>
      </w:pPr>
    </w:p>
    <w:p w14:paraId="3424C2CD">
      <w:pPr>
        <w:jc w:val="center"/>
        <w:rPr>
          <w:rFonts w:eastAsia="楷体_GB2312"/>
          <w:sz w:val="36"/>
        </w:rPr>
      </w:pPr>
      <w:r>
        <w:rPr>
          <w:rFonts w:hint="eastAsia" w:eastAsia="楷体_GB2312"/>
          <w:sz w:val="36"/>
        </w:rPr>
        <w:t>二〇二</w:t>
      </w:r>
      <w:r>
        <w:rPr>
          <w:rFonts w:hint="eastAsia" w:eastAsia="楷体_GB2312"/>
          <w:sz w:val="36"/>
          <w:lang w:val="en-US" w:eastAsia="zh-CN"/>
        </w:rPr>
        <w:t>六</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662BFD5D">
      <w:pPr>
        <w:spacing w:line="560" w:lineRule="exact"/>
        <w:rPr>
          <w:rFonts w:eastAsia="黑体"/>
        </w:rPr>
      </w:pPr>
      <w:r>
        <w:rPr>
          <w:rFonts w:eastAsia="黑体"/>
        </w:rPr>
        <w:br w:type="page"/>
      </w:r>
    </w:p>
    <w:p w14:paraId="0FC058C1">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一、项目基本信息</w:t>
      </w:r>
      <w:bookmarkEnd w:id="0"/>
    </w:p>
    <w:p w14:paraId="63F42462">
      <w:pPr>
        <w:jc w:val="center"/>
        <w:rPr>
          <w:rFonts w:ascii="方正小标宋简体" w:hAnsi="宋体" w:eastAsia="方正小标宋简体" w:cs="宋体"/>
          <w:b/>
          <w:kern w:val="0"/>
          <w:sz w:val="44"/>
          <w:szCs w:val="44"/>
        </w:rPr>
      </w:pPr>
    </w:p>
    <w:tbl>
      <w:tblPr>
        <w:tblStyle w:val="4"/>
        <w:tblW w:w="8522" w:type="dxa"/>
        <w:tblInd w:w="0" w:type="dxa"/>
        <w:tblLayout w:type="fixed"/>
        <w:tblCellMar>
          <w:top w:w="0" w:type="dxa"/>
          <w:left w:w="108" w:type="dxa"/>
          <w:bottom w:w="0" w:type="dxa"/>
          <w:right w:w="108" w:type="dxa"/>
        </w:tblCellMar>
      </w:tblPr>
      <w:tblGrid>
        <w:gridCol w:w="2236"/>
        <w:gridCol w:w="1890"/>
        <w:gridCol w:w="2199"/>
        <w:gridCol w:w="2197"/>
      </w:tblGrid>
      <w:tr w14:paraId="385E9926">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14:paraId="64A66AFD">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主要完成人</w:t>
            </w:r>
          </w:p>
        </w:tc>
        <w:tc>
          <w:tcPr>
            <w:tcW w:w="6286" w:type="dxa"/>
            <w:gridSpan w:val="3"/>
            <w:tcBorders>
              <w:top w:val="single" w:color="auto" w:sz="8" w:space="0"/>
              <w:left w:val="nil"/>
              <w:bottom w:val="single" w:color="auto" w:sz="4" w:space="0"/>
              <w:right w:val="single" w:color="000000" w:sz="8" w:space="0"/>
            </w:tcBorders>
            <w:vAlign w:val="center"/>
          </w:tcPr>
          <w:p w14:paraId="63349B0D">
            <w:pPr>
              <w:widowControl/>
              <w:jc w:val="center"/>
              <w:rPr>
                <w:rFonts w:ascii="仿宋_GB2312" w:hAnsi="宋体" w:eastAsia="仿宋_GB2312" w:cs="宋体"/>
                <w:kern w:val="0"/>
                <w:sz w:val="28"/>
                <w:szCs w:val="28"/>
              </w:rPr>
            </w:pPr>
          </w:p>
        </w:tc>
      </w:tr>
      <w:tr w14:paraId="5269DC4F">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CB17A97">
            <w:pPr>
              <w:widowControl/>
              <w:jc w:val="center"/>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主要完成单位</w:t>
            </w:r>
          </w:p>
        </w:tc>
        <w:tc>
          <w:tcPr>
            <w:tcW w:w="6286" w:type="dxa"/>
            <w:gridSpan w:val="3"/>
            <w:tcBorders>
              <w:top w:val="single" w:color="auto" w:sz="4" w:space="0"/>
              <w:left w:val="nil"/>
              <w:bottom w:val="single" w:color="auto" w:sz="4" w:space="0"/>
              <w:right w:val="single" w:color="000000" w:sz="8" w:space="0"/>
            </w:tcBorders>
            <w:vAlign w:val="center"/>
          </w:tcPr>
          <w:p w14:paraId="1BB13D18">
            <w:pPr>
              <w:widowControl/>
              <w:jc w:val="center"/>
              <w:rPr>
                <w:rFonts w:ascii="仿宋_GB2312" w:hAnsi="宋体" w:eastAsia="仿宋_GB2312" w:cs="宋体"/>
                <w:kern w:val="0"/>
                <w:sz w:val="28"/>
                <w:szCs w:val="28"/>
              </w:rPr>
            </w:pPr>
          </w:p>
        </w:tc>
      </w:tr>
      <w:tr w14:paraId="62D1431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E5D08F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38A3958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14:paraId="560C9AD3">
            <w:pPr>
              <w:widowControl/>
              <w:rPr>
                <w:rFonts w:ascii="仿宋_GB2312" w:hAnsi="宋体" w:eastAsia="仿宋_GB2312" w:cs="宋体"/>
                <w:kern w:val="0"/>
                <w:sz w:val="28"/>
                <w:szCs w:val="28"/>
              </w:rPr>
            </w:pPr>
          </w:p>
          <w:p w14:paraId="0732022B">
            <w:pPr>
              <w:widowControl/>
              <w:rPr>
                <w:rFonts w:ascii="仿宋_GB2312" w:hAnsi="宋体" w:eastAsia="仿宋_GB2312" w:cs="宋体"/>
                <w:kern w:val="0"/>
                <w:sz w:val="28"/>
                <w:szCs w:val="28"/>
              </w:rPr>
            </w:pPr>
          </w:p>
        </w:tc>
      </w:tr>
      <w:tr w14:paraId="2D0A6737">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59A8EAE4">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038F84B9">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707F65BD">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169A73FD">
            <w:pPr>
              <w:widowControl/>
              <w:jc w:val="center"/>
              <w:rPr>
                <w:rFonts w:ascii="仿宋_GB2312" w:hAnsi="宋体" w:eastAsia="仿宋_GB2312" w:cs="宋体"/>
                <w:kern w:val="0"/>
                <w:sz w:val="28"/>
                <w:szCs w:val="28"/>
              </w:rPr>
            </w:pPr>
          </w:p>
        </w:tc>
      </w:tr>
      <w:tr w14:paraId="349845D0">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3123B44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460B48E9">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2315ADB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34152F18">
            <w:pPr>
              <w:widowControl/>
              <w:jc w:val="center"/>
              <w:rPr>
                <w:rFonts w:ascii="仿宋_GB2312" w:hAnsi="宋体" w:eastAsia="仿宋_GB2312" w:cs="宋体"/>
                <w:b/>
                <w:bCs/>
                <w:kern w:val="0"/>
                <w:sz w:val="28"/>
                <w:szCs w:val="28"/>
              </w:rPr>
            </w:pPr>
          </w:p>
        </w:tc>
      </w:tr>
      <w:tr w14:paraId="79D17FC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14F0806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321ECA7B">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07098B82">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73D558AC">
            <w:pPr>
              <w:widowControl/>
              <w:jc w:val="center"/>
              <w:rPr>
                <w:rFonts w:ascii="仿宋_GB2312" w:hAnsi="宋体" w:eastAsia="仿宋_GB2312" w:cs="宋体"/>
                <w:kern w:val="0"/>
                <w:sz w:val="28"/>
                <w:szCs w:val="28"/>
              </w:rPr>
            </w:pPr>
          </w:p>
        </w:tc>
      </w:tr>
      <w:tr w14:paraId="19131A5F">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345620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4F786A82">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42CDB64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04CE4F42">
            <w:pPr>
              <w:widowControl/>
              <w:jc w:val="center"/>
              <w:rPr>
                <w:rFonts w:ascii="仿宋_GB2312" w:hAnsi="宋体" w:eastAsia="仿宋_GB2312" w:cs="宋体"/>
                <w:b/>
                <w:bCs/>
                <w:kern w:val="0"/>
                <w:sz w:val="28"/>
                <w:szCs w:val="28"/>
              </w:rPr>
            </w:pPr>
          </w:p>
        </w:tc>
      </w:tr>
    </w:tbl>
    <w:p w14:paraId="2B6DEA7E"/>
    <w:p w14:paraId="05B0331A"/>
    <w:p w14:paraId="3AE7D074">
      <w:pPr>
        <w:jc w:val="center"/>
        <w:rPr>
          <w:rFonts w:hint="default" w:eastAsia="方正小标宋简体"/>
          <w:b/>
          <w:sz w:val="44"/>
          <w:lang w:val="en-US" w:eastAsia="zh-CN"/>
        </w:rPr>
      </w:pPr>
      <w:r>
        <w:rPr>
          <w:rFonts w:eastAsia="方正小标宋简体"/>
          <w:sz w:val="44"/>
        </w:rPr>
        <w:br w:type="page"/>
      </w:r>
      <w:r>
        <w:rPr>
          <w:rFonts w:hint="eastAsia" w:eastAsia="方正小标宋简体"/>
          <w:b/>
          <w:sz w:val="44"/>
        </w:rPr>
        <w:t>二、</w:t>
      </w:r>
      <w:r>
        <w:rPr>
          <w:rFonts w:hint="eastAsia" w:eastAsia="方正小标宋简体"/>
          <w:b/>
          <w:sz w:val="44"/>
          <w:lang w:val="en-US" w:eastAsia="zh-CN"/>
        </w:rPr>
        <w:t>项目简介</w:t>
      </w:r>
    </w:p>
    <w:p w14:paraId="4D31706A">
      <w:pPr>
        <w:jc w:val="center"/>
        <w:rPr>
          <w:rFonts w:eastAsia="方正小标宋简体"/>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32B4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06728083">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细介绍项目的背景、意义、必要性，应用情况以及研发团队（学科领域活跃度、影响力、重要学术组织或期刊任职情况、研发成果原创性或论文他引的数量/发表的年限或专利价值度、成果转化收益、用户评价满意度等）和相关科研产出情况（论文、专利、标准、著作权等）。</w:t>
            </w:r>
          </w:p>
          <w:p w14:paraId="351BA4B6">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后附相关证明资料，如应用情况证明，发表的著作、论文、授权专利、标准等相关信息，检索报告，等。</w:t>
            </w:r>
          </w:p>
          <w:p w14:paraId="22186A3F">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以上材料不超过3000字。</w:t>
            </w:r>
          </w:p>
          <w:p w14:paraId="5EF8FB65">
            <w:pPr>
              <w:spacing w:line="360" w:lineRule="auto"/>
              <w:ind w:firstLine="480" w:firstLineChars="200"/>
              <w:rPr>
                <w:rFonts w:hint="eastAsia" w:ascii="方正仿宋_GB2312" w:hAnsi="方正仿宋_GB2312" w:eastAsia="方正仿宋_GB2312" w:cs="方正仿宋_GB2312"/>
                <w:sz w:val="24"/>
              </w:rPr>
            </w:pPr>
          </w:p>
        </w:tc>
      </w:tr>
    </w:tbl>
    <w:p w14:paraId="05A56C7A"/>
    <w:p w14:paraId="4F4101A5">
      <w:pPr>
        <w:spacing w:line="660" w:lineRule="exact"/>
        <w:jc w:val="center"/>
        <w:rPr>
          <w:rFonts w:hint="default" w:eastAsia="方正小标宋简体"/>
          <w:b/>
          <w:sz w:val="44"/>
          <w:lang w:val="en-US"/>
        </w:rPr>
      </w:pPr>
      <w:r>
        <w:rPr>
          <w:rFonts w:hint="eastAsia" w:eastAsia="方正小标宋简体"/>
          <w:b/>
          <w:sz w:val="44"/>
        </w:rPr>
        <w:t>三、</w:t>
      </w:r>
      <w:r>
        <w:rPr>
          <w:rFonts w:hint="eastAsia" w:eastAsia="方正小标宋简体"/>
          <w:b/>
          <w:sz w:val="44"/>
          <w:lang w:val="en-US" w:eastAsia="zh-CN"/>
        </w:rPr>
        <w:t>项目科学价值、技术价值简介</w:t>
      </w:r>
    </w:p>
    <w:p w14:paraId="209EEE16">
      <w:pPr>
        <w:spacing w:line="660" w:lineRule="exact"/>
        <w:jc w:val="center"/>
        <w:rPr>
          <w:rFonts w:eastAsia="方正小标宋简体"/>
          <w:sz w:val="44"/>
        </w:rPr>
      </w:pPr>
    </w:p>
    <w:tbl>
      <w:tblPr>
        <w:tblStyle w:val="4"/>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858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5BFFBE7F">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结合技术要点，详细说明项目科学价值（科学创新度（是否突破现有理论基础）、学科影响力（是否推动学科发展））和技术价值（技术成熟度（处于方案规划中、实验中，还是已经应用）、技术创新度（关键技术指标在国内外是否有文献报道或专利）、技术先进度（关键技术指标在国内外的先进水平））。</w:t>
            </w:r>
          </w:p>
          <w:p w14:paraId="69281E0E">
            <w:pPr>
              <w:widowControl/>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highlight w:val="none"/>
                <w:lang w:val="en-US" w:eastAsia="zh-CN"/>
              </w:rPr>
              <w:t>后附相关证明资料，如论文著作相关信息、查新报告、应用证明</w:t>
            </w:r>
            <w:r>
              <w:rPr>
                <w:rFonts w:hint="eastAsia" w:ascii="仿宋" w:hAnsi="仿宋" w:eastAsia="仿宋" w:cs="仿宋"/>
                <w:kern w:val="0"/>
                <w:sz w:val="28"/>
                <w:szCs w:val="28"/>
                <w:lang w:val="en-US" w:eastAsia="zh-CN"/>
              </w:rPr>
              <w:t>等。</w:t>
            </w:r>
          </w:p>
          <w:p w14:paraId="398EF0CD">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以上材料不超过3000字。</w:t>
            </w:r>
          </w:p>
          <w:p w14:paraId="63659832">
            <w:pPr>
              <w:spacing w:line="360" w:lineRule="auto"/>
              <w:ind w:firstLine="480" w:firstLineChars="200"/>
              <w:rPr>
                <w:rFonts w:ascii="仿宋_GB2312" w:eastAsia="仿宋_GB2312"/>
                <w:sz w:val="24"/>
              </w:rPr>
            </w:pPr>
          </w:p>
          <w:p w14:paraId="63BD420A">
            <w:pPr>
              <w:spacing w:line="360" w:lineRule="auto"/>
              <w:ind w:firstLine="480" w:firstLineChars="200"/>
              <w:rPr>
                <w:rFonts w:ascii="仿宋_GB2312" w:eastAsia="仿宋_GB2312"/>
                <w:sz w:val="24"/>
              </w:rPr>
            </w:pPr>
          </w:p>
        </w:tc>
      </w:tr>
    </w:tbl>
    <w:p w14:paraId="4A7B14EB"/>
    <w:p w14:paraId="0AD12BAD"/>
    <w:p w14:paraId="08734E04">
      <w:pPr>
        <w:numPr>
          <w:ilvl w:val="0"/>
          <w:numId w:val="1"/>
        </w:numPr>
        <w:jc w:val="center"/>
        <w:rPr>
          <w:rFonts w:hint="eastAsia" w:eastAsia="方正小标宋简体"/>
          <w:b/>
          <w:sz w:val="44"/>
          <w:lang w:val="en-US" w:eastAsia="zh-CN"/>
        </w:rPr>
      </w:pPr>
      <w:r>
        <w:rPr>
          <w:rFonts w:hint="eastAsia" w:eastAsia="方正小标宋简体"/>
          <w:b/>
          <w:sz w:val="44"/>
          <w:lang w:val="en-US" w:eastAsia="zh-CN"/>
        </w:rPr>
        <w:t>项目应用效益简介</w:t>
      </w:r>
    </w:p>
    <w:p w14:paraId="0146EAFA">
      <w:pPr>
        <w:numPr>
          <w:ilvl w:val="0"/>
          <w:numId w:val="0"/>
        </w:numPr>
        <w:jc w:val="both"/>
        <w:rPr>
          <w:rFonts w:hint="eastAsia" w:eastAsia="方正小标宋简体"/>
          <w:b/>
          <w:sz w:val="44"/>
          <w:lang w:val="en-US" w:eastAsia="zh-CN"/>
        </w:rPr>
      </w:pP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14:paraId="37D4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5" w:hRule="atLeast"/>
          <w:jc w:val="center"/>
        </w:trPr>
        <w:tc>
          <w:tcPr>
            <w:tcW w:w="9155" w:type="dxa"/>
            <w:vAlign w:val="top"/>
          </w:tcPr>
          <w:p w14:paraId="4EB89885">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细说明项目的社会效益（对基础研究、学科发展、解决共性问题、在推动行业可持续发展、技术进步和行业发展等方面的促进作用）、经济效益（已取得或预期取得的销售额、投入额、新增产值、新增利润、市场占有率、新增就业、节约支出、减少损失）和文化效益（对传承和创造文化等方面的促进作用）。</w:t>
            </w:r>
          </w:p>
          <w:p w14:paraId="69A9CE49">
            <w:pPr>
              <w:widowControl/>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后附相关证明资料，如社会效益证明、经济效益证明、文化效益证明等。</w:t>
            </w:r>
          </w:p>
          <w:p w14:paraId="0FF17ECD">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以上材料不超过3000字。</w:t>
            </w:r>
          </w:p>
          <w:p w14:paraId="79B2C0A3">
            <w:pPr>
              <w:spacing w:line="400" w:lineRule="exact"/>
              <w:jc w:val="both"/>
              <w:rPr>
                <w:rFonts w:hint="eastAsia" w:ascii="仿宋_GB2312" w:eastAsia="仿宋_GB2312"/>
                <w:b/>
                <w:sz w:val="24"/>
              </w:rPr>
            </w:pPr>
          </w:p>
          <w:p w14:paraId="4B58CC10">
            <w:pPr>
              <w:spacing w:line="400" w:lineRule="exact"/>
              <w:jc w:val="both"/>
              <w:rPr>
                <w:rFonts w:ascii="仿宋_GB2312" w:eastAsia="仿宋_GB2312"/>
                <w:sz w:val="24"/>
              </w:rPr>
            </w:pPr>
          </w:p>
        </w:tc>
      </w:tr>
    </w:tbl>
    <w:p w14:paraId="3136C33C">
      <w:pPr>
        <w:rPr>
          <w:szCs w:val="21"/>
        </w:rPr>
      </w:pPr>
    </w:p>
    <w:p w14:paraId="00689E7C">
      <w:pPr>
        <w:numPr>
          <w:ilvl w:val="0"/>
          <w:numId w:val="1"/>
        </w:numPr>
        <w:jc w:val="center"/>
        <w:rPr>
          <w:rFonts w:hint="eastAsia" w:eastAsia="方正小标宋简体"/>
          <w:b/>
          <w:sz w:val="44"/>
          <w:lang w:val="en-US" w:eastAsia="zh-CN"/>
        </w:rPr>
      </w:pPr>
      <w:r>
        <w:rPr>
          <w:rFonts w:hint="eastAsia" w:eastAsia="方正小标宋简体"/>
          <w:b/>
          <w:sz w:val="44"/>
          <w:lang w:val="en-US" w:eastAsia="zh-CN"/>
        </w:rPr>
        <w:t>项目转化风险简介</w:t>
      </w:r>
    </w:p>
    <w:p w14:paraId="7BE36340">
      <w:pPr>
        <w:numPr>
          <w:ilvl w:val="0"/>
          <w:numId w:val="0"/>
        </w:numPr>
        <w:jc w:val="both"/>
        <w:rPr>
          <w:rFonts w:hint="eastAsia" w:eastAsia="方正小标宋简体"/>
          <w:b/>
          <w:sz w:val="44"/>
          <w:lang w:val="en-US" w:eastAsia="zh-CN"/>
        </w:rPr>
      </w:pP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7142"/>
      </w:tblGrid>
      <w:tr w14:paraId="47AF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2" w:hRule="atLeast"/>
          <w:jc w:val="center"/>
        </w:trPr>
        <w:tc>
          <w:tcPr>
            <w:tcW w:w="9155" w:type="dxa"/>
            <w:gridSpan w:val="2"/>
            <w:vAlign w:val="top"/>
          </w:tcPr>
          <w:p w14:paraId="0667FB37">
            <w:pPr>
              <w:widowControl/>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详细说明项目的技术替代风险、政策适应性风险、潜在法律和市场接纳风险。</w:t>
            </w:r>
          </w:p>
          <w:p w14:paraId="1F45E69E">
            <w:pPr>
              <w:widowControl/>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后附相关证明资料，如社会评价、其他证明材料。</w:t>
            </w:r>
          </w:p>
          <w:p w14:paraId="56CAB1D4">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以上材料不超过3000字。</w:t>
            </w:r>
          </w:p>
          <w:p w14:paraId="77038EA5">
            <w:pPr>
              <w:spacing w:line="400" w:lineRule="exact"/>
              <w:jc w:val="both"/>
              <w:rPr>
                <w:rFonts w:hint="eastAsia" w:ascii="仿宋_GB2312" w:eastAsia="仿宋_GB2312"/>
                <w:b/>
                <w:sz w:val="24"/>
              </w:rPr>
            </w:pPr>
          </w:p>
          <w:p w14:paraId="0318A5B5">
            <w:pPr>
              <w:spacing w:line="400" w:lineRule="exact"/>
              <w:jc w:val="both"/>
              <w:rPr>
                <w:rFonts w:ascii="仿宋_GB2312" w:eastAsia="仿宋_GB2312"/>
                <w:sz w:val="24"/>
              </w:rPr>
            </w:pPr>
          </w:p>
        </w:tc>
      </w:tr>
      <w:tr w14:paraId="6036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4" w:hRule="atLeast"/>
          <w:jc w:val="center"/>
        </w:trPr>
        <w:tc>
          <w:tcPr>
            <w:tcW w:w="2013" w:type="dxa"/>
            <w:vAlign w:val="center"/>
          </w:tcPr>
          <w:p w14:paraId="5EDF0E56">
            <w:pPr>
              <w:widowControl/>
              <w:jc w:val="left"/>
              <w:rPr>
                <w:rFonts w:hint="default" w:ascii="仿宋_GB2312" w:eastAsia="仿宋_GB2312"/>
                <w:sz w:val="24"/>
                <w:lang w:val="en-US" w:eastAsia="zh-CN"/>
              </w:rPr>
            </w:pPr>
            <w:r>
              <w:rPr>
                <w:rFonts w:hint="eastAsia" w:ascii="仿宋" w:hAnsi="仿宋" w:eastAsia="仿宋" w:cs="仿宋"/>
                <w:kern w:val="0"/>
                <w:sz w:val="28"/>
                <w:szCs w:val="28"/>
                <w:lang w:val="en-US" w:eastAsia="zh-CN"/>
              </w:rPr>
              <w:t>申报单位意见</w:t>
            </w:r>
          </w:p>
        </w:tc>
        <w:tc>
          <w:tcPr>
            <w:tcW w:w="7142" w:type="dxa"/>
            <w:vAlign w:val="top"/>
          </w:tcPr>
          <w:p w14:paraId="1D4F2122">
            <w:pPr>
              <w:widowControl/>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本申报单位同意申报并承诺：</w:t>
            </w:r>
          </w:p>
          <w:p w14:paraId="0D4CC36F">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1.填报的内容和相关数据真实准确，无欺瞒和作假行为。</w:t>
            </w:r>
          </w:p>
          <w:p w14:paraId="019E57F8">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2.填报的相关技术系合法使用，知识产权权属清晰，无知识产权纠纷。</w:t>
            </w:r>
          </w:p>
          <w:p w14:paraId="03DF6241">
            <w:pPr>
              <w:widowControl/>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3.提供的所有文件已做脱密处理，不涉及国家、军事、商业秘密。</w:t>
            </w:r>
          </w:p>
          <w:p w14:paraId="1A00DF95">
            <w:pPr>
              <w:widowControl/>
              <w:jc w:val="right"/>
              <w:rPr>
                <w:rFonts w:hint="eastAsia" w:ascii="仿宋_GB2312" w:eastAsia="仿宋_GB2312"/>
                <w:sz w:val="24"/>
                <w:lang w:eastAsia="zh-CN"/>
              </w:rPr>
            </w:pPr>
            <w:r>
              <w:rPr>
                <w:rFonts w:hint="eastAsia" w:ascii="仿宋" w:hAnsi="仿宋" w:eastAsia="仿宋" w:cs="仿宋"/>
                <w:kern w:val="0"/>
                <w:sz w:val="28"/>
                <w:szCs w:val="28"/>
                <w:lang w:val="en-US" w:eastAsia="zh-CN"/>
              </w:rPr>
              <w:t>（盖章）</w:t>
            </w:r>
          </w:p>
        </w:tc>
      </w:tr>
    </w:tbl>
    <w:p w14:paraId="5555E613">
      <w:pPr>
        <w:rPr>
          <w:szCs w:val="21"/>
        </w:rPr>
      </w:pPr>
    </w:p>
    <w:p w14:paraId="607031ED">
      <w:pPr>
        <w:widowControl/>
        <w:jc w:val="left"/>
        <w:rPr>
          <w:rFonts w:hint="default" w:ascii="仿宋" w:hAnsi="仿宋" w:eastAsia="仿宋"/>
          <w:sz w:val="28"/>
          <w:szCs w:val="28"/>
          <w:lang w:val="en-US" w:eastAsia="zh-CN"/>
        </w:rPr>
      </w:pPr>
    </w:p>
    <w:p w14:paraId="61EB05A9"/>
    <w:p w14:paraId="1440EB89">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F587E"/>
    <w:multiLevelType w:val="singleLevel"/>
    <w:tmpl w:val="878F58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169E8"/>
    <w:rsid w:val="00270BE1"/>
    <w:rsid w:val="002B06D1"/>
    <w:rsid w:val="004E2611"/>
    <w:rsid w:val="00CB5A10"/>
    <w:rsid w:val="015754F6"/>
    <w:rsid w:val="01722330"/>
    <w:rsid w:val="01B14C06"/>
    <w:rsid w:val="01EC0334"/>
    <w:rsid w:val="01FD42EF"/>
    <w:rsid w:val="01FD7E4B"/>
    <w:rsid w:val="02571C51"/>
    <w:rsid w:val="027D71DE"/>
    <w:rsid w:val="02A14C7A"/>
    <w:rsid w:val="02A46519"/>
    <w:rsid w:val="02C40969"/>
    <w:rsid w:val="02E4100B"/>
    <w:rsid w:val="02F72AEC"/>
    <w:rsid w:val="03031491"/>
    <w:rsid w:val="03685798"/>
    <w:rsid w:val="03B7227C"/>
    <w:rsid w:val="03D1158F"/>
    <w:rsid w:val="04082BBB"/>
    <w:rsid w:val="042A6F6D"/>
    <w:rsid w:val="04351B1E"/>
    <w:rsid w:val="04367644"/>
    <w:rsid w:val="0449381C"/>
    <w:rsid w:val="04A535F3"/>
    <w:rsid w:val="04B862AB"/>
    <w:rsid w:val="04C2712A"/>
    <w:rsid w:val="04D169E8"/>
    <w:rsid w:val="04EB042F"/>
    <w:rsid w:val="050D2A9B"/>
    <w:rsid w:val="05614908"/>
    <w:rsid w:val="056401E1"/>
    <w:rsid w:val="06CC776B"/>
    <w:rsid w:val="07140111"/>
    <w:rsid w:val="076A5F83"/>
    <w:rsid w:val="078E1545"/>
    <w:rsid w:val="07A70F85"/>
    <w:rsid w:val="07A82607"/>
    <w:rsid w:val="07B92A66"/>
    <w:rsid w:val="07C37441"/>
    <w:rsid w:val="07FD6DF7"/>
    <w:rsid w:val="086E55FF"/>
    <w:rsid w:val="08AF39B2"/>
    <w:rsid w:val="08C276F9"/>
    <w:rsid w:val="092B34F0"/>
    <w:rsid w:val="09505B8D"/>
    <w:rsid w:val="097529BD"/>
    <w:rsid w:val="0992356F"/>
    <w:rsid w:val="09D45935"/>
    <w:rsid w:val="09EB0ED1"/>
    <w:rsid w:val="0A4C1970"/>
    <w:rsid w:val="0A7874C0"/>
    <w:rsid w:val="0ABB4D47"/>
    <w:rsid w:val="0AC115FD"/>
    <w:rsid w:val="0AE0030A"/>
    <w:rsid w:val="0AE20526"/>
    <w:rsid w:val="0AF07C9A"/>
    <w:rsid w:val="0B0C55A3"/>
    <w:rsid w:val="0BBC48D3"/>
    <w:rsid w:val="0BC65752"/>
    <w:rsid w:val="0BF45220"/>
    <w:rsid w:val="0C1B3CF0"/>
    <w:rsid w:val="0C290C29"/>
    <w:rsid w:val="0CAF268A"/>
    <w:rsid w:val="0CE71E24"/>
    <w:rsid w:val="0CFA1B57"/>
    <w:rsid w:val="0D3B5CCB"/>
    <w:rsid w:val="0D466B4A"/>
    <w:rsid w:val="0D6C40D7"/>
    <w:rsid w:val="0D817B82"/>
    <w:rsid w:val="0DA16476"/>
    <w:rsid w:val="0DD04666"/>
    <w:rsid w:val="0DE6032D"/>
    <w:rsid w:val="0E26072A"/>
    <w:rsid w:val="0E71409B"/>
    <w:rsid w:val="0EF34AB0"/>
    <w:rsid w:val="0F182768"/>
    <w:rsid w:val="0F2F360E"/>
    <w:rsid w:val="0F3A26DF"/>
    <w:rsid w:val="0F6B6D3C"/>
    <w:rsid w:val="0F9D0EBF"/>
    <w:rsid w:val="0FCB1589"/>
    <w:rsid w:val="0FE73EE9"/>
    <w:rsid w:val="0FED14FF"/>
    <w:rsid w:val="10196798"/>
    <w:rsid w:val="10401F77"/>
    <w:rsid w:val="106519DD"/>
    <w:rsid w:val="10806817"/>
    <w:rsid w:val="10F16DCD"/>
    <w:rsid w:val="112A29FC"/>
    <w:rsid w:val="11714E91"/>
    <w:rsid w:val="11B85B3D"/>
    <w:rsid w:val="1202500A"/>
    <w:rsid w:val="12086AC4"/>
    <w:rsid w:val="12301B77"/>
    <w:rsid w:val="124B69B1"/>
    <w:rsid w:val="12744159"/>
    <w:rsid w:val="128D0D77"/>
    <w:rsid w:val="12C34799"/>
    <w:rsid w:val="131B45D5"/>
    <w:rsid w:val="132F62D2"/>
    <w:rsid w:val="139E0D62"/>
    <w:rsid w:val="13F60B9E"/>
    <w:rsid w:val="140B464A"/>
    <w:rsid w:val="146855F8"/>
    <w:rsid w:val="146B6E96"/>
    <w:rsid w:val="148937C0"/>
    <w:rsid w:val="14AD74AF"/>
    <w:rsid w:val="14CA0061"/>
    <w:rsid w:val="155E69FB"/>
    <w:rsid w:val="15B11221"/>
    <w:rsid w:val="16806794"/>
    <w:rsid w:val="1683496B"/>
    <w:rsid w:val="16A3500D"/>
    <w:rsid w:val="178C3CF3"/>
    <w:rsid w:val="17920BDE"/>
    <w:rsid w:val="179D1A5D"/>
    <w:rsid w:val="18AD2173"/>
    <w:rsid w:val="18B54B84"/>
    <w:rsid w:val="18C43019"/>
    <w:rsid w:val="19081158"/>
    <w:rsid w:val="190B0C48"/>
    <w:rsid w:val="191250D1"/>
    <w:rsid w:val="19232435"/>
    <w:rsid w:val="1954439D"/>
    <w:rsid w:val="19AC242B"/>
    <w:rsid w:val="1A1B135F"/>
    <w:rsid w:val="1A255D39"/>
    <w:rsid w:val="1A381F10"/>
    <w:rsid w:val="1A420699"/>
    <w:rsid w:val="1A5D3725"/>
    <w:rsid w:val="1A646862"/>
    <w:rsid w:val="1A8962C8"/>
    <w:rsid w:val="1A9B5FFB"/>
    <w:rsid w:val="1AC75042"/>
    <w:rsid w:val="1AD0664C"/>
    <w:rsid w:val="1B5F527B"/>
    <w:rsid w:val="1B8A22F8"/>
    <w:rsid w:val="1BA07D6D"/>
    <w:rsid w:val="1BD56812"/>
    <w:rsid w:val="1BDE43F2"/>
    <w:rsid w:val="1BEA548C"/>
    <w:rsid w:val="1C7F7983"/>
    <w:rsid w:val="1CA70C88"/>
    <w:rsid w:val="1CCB706C"/>
    <w:rsid w:val="1CD001DE"/>
    <w:rsid w:val="1D4D7A81"/>
    <w:rsid w:val="1D7E5E8C"/>
    <w:rsid w:val="1D85546D"/>
    <w:rsid w:val="1DA90A2F"/>
    <w:rsid w:val="1DC835AB"/>
    <w:rsid w:val="1DF60118"/>
    <w:rsid w:val="1DF93765"/>
    <w:rsid w:val="1E2A1B70"/>
    <w:rsid w:val="1E5310C7"/>
    <w:rsid w:val="1E733517"/>
    <w:rsid w:val="1E7352C5"/>
    <w:rsid w:val="1F0625DD"/>
    <w:rsid w:val="1F536EA5"/>
    <w:rsid w:val="1FC61D6D"/>
    <w:rsid w:val="1FCA082F"/>
    <w:rsid w:val="200603BB"/>
    <w:rsid w:val="20F621DE"/>
    <w:rsid w:val="21026DD4"/>
    <w:rsid w:val="213276BA"/>
    <w:rsid w:val="215533A8"/>
    <w:rsid w:val="21A41C3A"/>
    <w:rsid w:val="227E248B"/>
    <w:rsid w:val="22873A35"/>
    <w:rsid w:val="22B80E73"/>
    <w:rsid w:val="22C32593"/>
    <w:rsid w:val="231921B3"/>
    <w:rsid w:val="231A6657"/>
    <w:rsid w:val="2351194D"/>
    <w:rsid w:val="23757D31"/>
    <w:rsid w:val="23E34C9B"/>
    <w:rsid w:val="2413198E"/>
    <w:rsid w:val="243674C1"/>
    <w:rsid w:val="245636BF"/>
    <w:rsid w:val="246E5596"/>
    <w:rsid w:val="24747FE9"/>
    <w:rsid w:val="24A65CC9"/>
    <w:rsid w:val="24CC1BD3"/>
    <w:rsid w:val="24EF141E"/>
    <w:rsid w:val="250A6257"/>
    <w:rsid w:val="251D41DD"/>
    <w:rsid w:val="25207829"/>
    <w:rsid w:val="257B0F03"/>
    <w:rsid w:val="257F27A2"/>
    <w:rsid w:val="25B6018D"/>
    <w:rsid w:val="25D80104"/>
    <w:rsid w:val="25F5515A"/>
    <w:rsid w:val="2613738E"/>
    <w:rsid w:val="26EC030B"/>
    <w:rsid w:val="26F1147D"/>
    <w:rsid w:val="27402404"/>
    <w:rsid w:val="274A5031"/>
    <w:rsid w:val="28164F13"/>
    <w:rsid w:val="283D06F2"/>
    <w:rsid w:val="290336EA"/>
    <w:rsid w:val="292A6EC8"/>
    <w:rsid w:val="2A3C6EB3"/>
    <w:rsid w:val="2A954815"/>
    <w:rsid w:val="2B6C5576"/>
    <w:rsid w:val="2BC23EEE"/>
    <w:rsid w:val="2C3D6F12"/>
    <w:rsid w:val="2C46226B"/>
    <w:rsid w:val="2C7A0859"/>
    <w:rsid w:val="2CA945A8"/>
    <w:rsid w:val="2CBC42DB"/>
    <w:rsid w:val="2CC55886"/>
    <w:rsid w:val="2E76495E"/>
    <w:rsid w:val="2EC27BA3"/>
    <w:rsid w:val="2EE43FBD"/>
    <w:rsid w:val="2F4F1437"/>
    <w:rsid w:val="2F884949"/>
    <w:rsid w:val="2F8D1F5F"/>
    <w:rsid w:val="2FBC45F2"/>
    <w:rsid w:val="2FC040E2"/>
    <w:rsid w:val="2FCA6D0F"/>
    <w:rsid w:val="2FE7788B"/>
    <w:rsid w:val="302C1778"/>
    <w:rsid w:val="3078676B"/>
    <w:rsid w:val="31992E3D"/>
    <w:rsid w:val="31E87920"/>
    <w:rsid w:val="32056724"/>
    <w:rsid w:val="325E7BE3"/>
    <w:rsid w:val="32A93554"/>
    <w:rsid w:val="331A7AA9"/>
    <w:rsid w:val="335D7E9A"/>
    <w:rsid w:val="337376BE"/>
    <w:rsid w:val="33B2468A"/>
    <w:rsid w:val="33CF2B46"/>
    <w:rsid w:val="33E365F1"/>
    <w:rsid w:val="340B78F6"/>
    <w:rsid w:val="34C04B85"/>
    <w:rsid w:val="34D73209"/>
    <w:rsid w:val="34DD74E5"/>
    <w:rsid w:val="34F12F90"/>
    <w:rsid w:val="35213875"/>
    <w:rsid w:val="355C48AD"/>
    <w:rsid w:val="359960F1"/>
    <w:rsid w:val="35AE2C2F"/>
    <w:rsid w:val="35F20D6E"/>
    <w:rsid w:val="360F36CE"/>
    <w:rsid w:val="361E6007"/>
    <w:rsid w:val="364315C9"/>
    <w:rsid w:val="36533F02"/>
    <w:rsid w:val="3676374D"/>
    <w:rsid w:val="368A544A"/>
    <w:rsid w:val="368C2F70"/>
    <w:rsid w:val="369260AD"/>
    <w:rsid w:val="36CE3589"/>
    <w:rsid w:val="36CF29CE"/>
    <w:rsid w:val="36D13079"/>
    <w:rsid w:val="36D36DF1"/>
    <w:rsid w:val="36D641EB"/>
    <w:rsid w:val="36D861B6"/>
    <w:rsid w:val="36E52680"/>
    <w:rsid w:val="37841E99"/>
    <w:rsid w:val="378E0F6A"/>
    <w:rsid w:val="37D515F8"/>
    <w:rsid w:val="37F30DCD"/>
    <w:rsid w:val="38060B00"/>
    <w:rsid w:val="380B25BB"/>
    <w:rsid w:val="381A45AC"/>
    <w:rsid w:val="381F1BC2"/>
    <w:rsid w:val="382B67B9"/>
    <w:rsid w:val="387737AC"/>
    <w:rsid w:val="38C05651"/>
    <w:rsid w:val="390C0398"/>
    <w:rsid w:val="396C0E37"/>
    <w:rsid w:val="397F551E"/>
    <w:rsid w:val="3A2A31CC"/>
    <w:rsid w:val="3AAD1707"/>
    <w:rsid w:val="3AE74C19"/>
    <w:rsid w:val="3AE8273F"/>
    <w:rsid w:val="3B0C0B24"/>
    <w:rsid w:val="3B135A0E"/>
    <w:rsid w:val="3B154B5A"/>
    <w:rsid w:val="3B1654FE"/>
    <w:rsid w:val="3B183024"/>
    <w:rsid w:val="3BD258C9"/>
    <w:rsid w:val="3BD80A06"/>
    <w:rsid w:val="3C1557B6"/>
    <w:rsid w:val="3C4D31A2"/>
    <w:rsid w:val="3C885F88"/>
    <w:rsid w:val="3C9B3F0D"/>
    <w:rsid w:val="3CC35212"/>
    <w:rsid w:val="3D0A2E41"/>
    <w:rsid w:val="3D0C0967"/>
    <w:rsid w:val="3D6C7658"/>
    <w:rsid w:val="3E151A9D"/>
    <w:rsid w:val="3E75253C"/>
    <w:rsid w:val="3EC60182"/>
    <w:rsid w:val="3EF06066"/>
    <w:rsid w:val="3F1735F3"/>
    <w:rsid w:val="3F1E4982"/>
    <w:rsid w:val="3F512FA9"/>
    <w:rsid w:val="3F5F2AFF"/>
    <w:rsid w:val="3F67457A"/>
    <w:rsid w:val="3FD00372"/>
    <w:rsid w:val="3FDF2363"/>
    <w:rsid w:val="4057639D"/>
    <w:rsid w:val="406D5BC1"/>
    <w:rsid w:val="40714F85"/>
    <w:rsid w:val="40955117"/>
    <w:rsid w:val="40B4375D"/>
    <w:rsid w:val="412D70FE"/>
    <w:rsid w:val="41E77BF5"/>
    <w:rsid w:val="423F533B"/>
    <w:rsid w:val="42426BD9"/>
    <w:rsid w:val="426923B8"/>
    <w:rsid w:val="42870A90"/>
    <w:rsid w:val="42905B96"/>
    <w:rsid w:val="42AD6748"/>
    <w:rsid w:val="42E12896"/>
    <w:rsid w:val="42FE6FA4"/>
    <w:rsid w:val="430622FC"/>
    <w:rsid w:val="43210EE4"/>
    <w:rsid w:val="435968D0"/>
    <w:rsid w:val="43AF029E"/>
    <w:rsid w:val="43BE6733"/>
    <w:rsid w:val="43E91A02"/>
    <w:rsid w:val="443F1622"/>
    <w:rsid w:val="44B87626"/>
    <w:rsid w:val="44F00B6E"/>
    <w:rsid w:val="44F52628"/>
    <w:rsid w:val="4530540F"/>
    <w:rsid w:val="454D7F54"/>
    <w:rsid w:val="4574354D"/>
    <w:rsid w:val="46020B59"/>
    <w:rsid w:val="461F5BAF"/>
    <w:rsid w:val="4631143E"/>
    <w:rsid w:val="464C1AAA"/>
    <w:rsid w:val="46AB11F1"/>
    <w:rsid w:val="471F573B"/>
    <w:rsid w:val="472050B9"/>
    <w:rsid w:val="475A49C5"/>
    <w:rsid w:val="475F3D89"/>
    <w:rsid w:val="477A0BC3"/>
    <w:rsid w:val="47A3011A"/>
    <w:rsid w:val="47AB5220"/>
    <w:rsid w:val="47CA56A6"/>
    <w:rsid w:val="480E290B"/>
    <w:rsid w:val="48233009"/>
    <w:rsid w:val="48270D4B"/>
    <w:rsid w:val="482D7091"/>
    <w:rsid w:val="48435459"/>
    <w:rsid w:val="487B1097"/>
    <w:rsid w:val="48A9361B"/>
    <w:rsid w:val="492E435B"/>
    <w:rsid w:val="496D09DF"/>
    <w:rsid w:val="499A72FA"/>
    <w:rsid w:val="49BE56DF"/>
    <w:rsid w:val="49D97E23"/>
    <w:rsid w:val="49FC7FB5"/>
    <w:rsid w:val="4A8E6E5F"/>
    <w:rsid w:val="4AAA5C08"/>
    <w:rsid w:val="4B553E21"/>
    <w:rsid w:val="4B63653E"/>
    <w:rsid w:val="4BFE1DC3"/>
    <w:rsid w:val="4C231829"/>
    <w:rsid w:val="4CC254E6"/>
    <w:rsid w:val="4D021D86"/>
    <w:rsid w:val="4D875DE8"/>
    <w:rsid w:val="4DB34E2F"/>
    <w:rsid w:val="4DEA6AA2"/>
    <w:rsid w:val="4E125FF9"/>
    <w:rsid w:val="4E141D71"/>
    <w:rsid w:val="4E17716C"/>
    <w:rsid w:val="4ED67027"/>
    <w:rsid w:val="4EEE4370"/>
    <w:rsid w:val="4F310701"/>
    <w:rsid w:val="4F7C5E20"/>
    <w:rsid w:val="50B9275C"/>
    <w:rsid w:val="510A2FB8"/>
    <w:rsid w:val="513E2C61"/>
    <w:rsid w:val="51894824"/>
    <w:rsid w:val="51A72EFC"/>
    <w:rsid w:val="51BA2C30"/>
    <w:rsid w:val="51FC4FF6"/>
    <w:rsid w:val="52035C77"/>
    <w:rsid w:val="524F15CA"/>
    <w:rsid w:val="52750C65"/>
    <w:rsid w:val="529E42FF"/>
    <w:rsid w:val="52CD24EF"/>
    <w:rsid w:val="530C3017"/>
    <w:rsid w:val="535F74CA"/>
    <w:rsid w:val="53762B86"/>
    <w:rsid w:val="539F3E8B"/>
    <w:rsid w:val="53D31D87"/>
    <w:rsid w:val="541505F1"/>
    <w:rsid w:val="545C1D7C"/>
    <w:rsid w:val="546D5D37"/>
    <w:rsid w:val="5479292E"/>
    <w:rsid w:val="548E64A2"/>
    <w:rsid w:val="54EA7388"/>
    <w:rsid w:val="54F63F7F"/>
    <w:rsid w:val="55180399"/>
    <w:rsid w:val="55200FFC"/>
    <w:rsid w:val="55393E6B"/>
    <w:rsid w:val="555B64D8"/>
    <w:rsid w:val="555E7D76"/>
    <w:rsid w:val="55986DE4"/>
    <w:rsid w:val="55FF50B5"/>
    <w:rsid w:val="560A5808"/>
    <w:rsid w:val="561623FF"/>
    <w:rsid w:val="5661367A"/>
    <w:rsid w:val="56951575"/>
    <w:rsid w:val="57325016"/>
    <w:rsid w:val="57A06424"/>
    <w:rsid w:val="58E14F46"/>
    <w:rsid w:val="590B5B1F"/>
    <w:rsid w:val="5A1D5B0A"/>
    <w:rsid w:val="5A7616BE"/>
    <w:rsid w:val="5A8E07B6"/>
    <w:rsid w:val="5AB3646E"/>
    <w:rsid w:val="5ADD173D"/>
    <w:rsid w:val="5AF50835"/>
    <w:rsid w:val="5B0171D9"/>
    <w:rsid w:val="5B0647F0"/>
    <w:rsid w:val="5B1F3B03"/>
    <w:rsid w:val="5B5F03A4"/>
    <w:rsid w:val="5B6F4A8B"/>
    <w:rsid w:val="5B827889"/>
    <w:rsid w:val="5B9E711E"/>
    <w:rsid w:val="5BA74225"/>
    <w:rsid w:val="5BBE156E"/>
    <w:rsid w:val="5BDE39BF"/>
    <w:rsid w:val="5BE80399"/>
    <w:rsid w:val="5C0A6562"/>
    <w:rsid w:val="5CA34A44"/>
    <w:rsid w:val="5CE768A3"/>
    <w:rsid w:val="5CF60894"/>
    <w:rsid w:val="5D107BA8"/>
    <w:rsid w:val="5D1256CE"/>
    <w:rsid w:val="5D192F00"/>
    <w:rsid w:val="5D2E002E"/>
    <w:rsid w:val="5D8B5480"/>
    <w:rsid w:val="5DAD53F7"/>
    <w:rsid w:val="5DBB3FB7"/>
    <w:rsid w:val="5DBE5856"/>
    <w:rsid w:val="5DCC7F73"/>
    <w:rsid w:val="5DDE7CA6"/>
    <w:rsid w:val="5E0D71E9"/>
    <w:rsid w:val="5E1A3ACD"/>
    <w:rsid w:val="5E1E00A2"/>
    <w:rsid w:val="5E3E6996"/>
    <w:rsid w:val="5E5B12F6"/>
    <w:rsid w:val="5E785A05"/>
    <w:rsid w:val="5E7B54F5"/>
    <w:rsid w:val="5ED03998"/>
    <w:rsid w:val="5EE50BC0"/>
    <w:rsid w:val="5F061262"/>
    <w:rsid w:val="5F3062DF"/>
    <w:rsid w:val="5F473629"/>
    <w:rsid w:val="5F593A88"/>
    <w:rsid w:val="5FBE411D"/>
    <w:rsid w:val="5FC52ECB"/>
    <w:rsid w:val="60327E35"/>
    <w:rsid w:val="604D4C6F"/>
    <w:rsid w:val="60510DA7"/>
    <w:rsid w:val="60791F08"/>
    <w:rsid w:val="60803296"/>
    <w:rsid w:val="60830691"/>
    <w:rsid w:val="60BF3DBF"/>
    <w:rsid w:val="60C56EFB"/>
    <w:rsid w:val="60DA0BF8"/>
    <w:rsid w:val="611A0FF5"/>
    <w:rsid w:val="611F660B"/>
    <w:rsid w:val="615838CB"/>
    <w:rsid w:val="61811074"/>
    <w:rsid w:val="618E3791"/>
    <w:rsid w:val="61932B55"/>
    <w:rsid w:val="62015D11"/>
    <w:rsid w:val="62943029"/>
    <w:rsid w:val="634467FD"/>
    <w:rsid w:val="637644DD"/>
    <w:rsid w:val="63CB2A7A"/>
    <w:rsid w:val="63DF02D4"/>
    <w:rsid w:val="63E15DFA"/>
    <w:rsid w:val="64552344"/>
    <w:rsid w:val="649E1F3D"/>
    <w:rsid w:val="64A15589"/>
    <w:rsid w:val="64C574CA"/>
    <w:rsid w:val="64D15E6F"/>
    <w:rsid w:val="64FE564E"/>
    <w:rsid w:val="652266CA"/>
    <w:rsid w:val="656E7B61"/>
    <w:rsid w:val="65B512EC"/>
    <w:rsid w:val="65C77271"/>
    <w:rsid w:val="65DD0843"/>
    <w:rsid w:val="65F8742B"/>
    <w:rsid w:val="66065FEC"/>
    <w:rsid w:val="664E34EF"/>
    <w:rsid w:val="666B40A1"/>
    <w:rsid w:val="66B94E0C"/>
    <w:rsid w:val="66BC48FC"/>
    <w:rsid w:val="66CC0FE3"/>
    <w:rsid w:val="66D71736"/>
    <w:rsid w:val="66DC6D4D"/>
    <w:rsid w:val="66F145A6"/>
    <w:rsid w:val="6703252B"/>
    <w:rsid w:val="672229B1"/>
    <w:rsid w:val="67584625"/>
    <w:rsid w:val="676E5BF7"/>
    <w:rsid w:val="67801DCE"/>
    <w:rsid w:val="67D5211A"/>
    <w:rsid w:val="6870599E"/>
    <w:rsid w:val="688558EE"/>
    <w:rsid w:val="68E1064A"/>
    <w:rsid w:val="69344C1E"/>
    <w:rsid w:val="695232F6"/>
    <w:rsid w:val="697119CE"/>
    <w:rsid w:val="69782D5D"/>
    <w:rsid w:val="697D65C5"/>
    <w:rsid w:val="6990454A"/>
    <w:rsid w:val="69FF522C"/>
    <w:rsid w:val="6A1F767C"/>
    <w:rsid w:val="6A8B2F63"/>
    <w:rsid w:val="6A94006A"/>
    <w:rsid w:val="6AF503DD"/>
    <w:rsid w:val="6B317667"/>
    <w:rsid w:val="6B6D4417"/>
    <w:rsid w:val="6B981494"/>
    <w:rsid w:val="6BB362CE"/>
    <w:rsid w:val="6BD83F86"/>
    <w:rsid w:val="6C046B2A"/>
    <w:rsid w:val="6CBA368C"/>
    <w:rsid w:val="6CD3474E"/>
    <w:rsid w:val="6D100300"/>
    <w:rsid w:val="6D2B6338"/>
    <w:rsid w:val="6D97577B"/>
    <w:rsid w:val="6DA560EA"/>
    <w:rsid w:val="6DEC1F6B"/>
    <w:rsid w:val="6E617465"/>
    <w:rsid w:val="6E7F06E9"/>
    <w:rsid w:val="6EAE46D9"/>
    <w:rsid w:val="6F086931"/>
    <w:rsid w:val="6F196D90"/>
    <w:rsid w:val="6F2C4C09"/>
    <w:rsid w:val="6F40431D"/>
    <w:rsid w:val="6F6D49E6"/>
    <w:rsid w:val="6FBB39A3"/>
    <w:rsid w:val="701E3F32"/>
    <w:rsid w:val="70291255"/>
    <w:rsid w:val="7038112B"/>
    <w:rsid w:val="703B4AE4"/>
    <w:rsid w:val="7084648B"/>
    <w:rsid w:val="712D267F"/>
    <w:rsid w:val="71695D1D"/>
    <w:rsid w:val="717464FF"/>
    <w:rsid w:val="71E73175"/>
    <w:rsid w:val="71F80EDE"/>
    <w:rsid w:val="72531A25"/>
    <w:rsid w:val="725E4ABA"/>
    <w:rsid w:val="727A7B45"/>
    <w:rsid w:val="72EC0317"/>
    <w:rsid w:val="7327134F"/>
    <w:rsid w:val="73832A2A"/>
    <w:rsid w:val="74100036"/>
    <w:rsid w:val="74455F31"/>
    <w:rsid w:val="748D1686"/>
    <w:rsid w:val="74C01A5C"/>
    <w:rsid w:val="75071439"/>
    <w:rsid w:val="753164B5"/>
    <w:rsid w:val="753A7A60"/>
    <w:rsid w:val="756B19C7"/>
    <w:rsid w:val="75750A98"/>
    <w:rsid w:val="75BE5F9B"/>
    <w:rsid w:val="75F55735"/>
    <w:rsid w:val="76010E26"/>
    <w:rsid w:val="764364A0"/>
    <w:rsid w:val="76452218"/>
    <w:rsid w:val="764F12E9"/>
    <w:rsid w:val="76564426"/>
    <w:rsid w:val="76AA651F"/>
    <w:rsid w:val="76C17757"/>
    <w:rsid w:val="76E97048"/>
    <w:rsid w:val="772269FE"/>
    <w:rsid w:val="776C1A27"/>
    <w:rsid w:val="777F79AC"/>
    <w:rsid w:val="77884963"/>
    <w:rsid w:val="77A613DD"/>
    <w:rsid w:val="780D6D66"/>
    <w:rsid w:val="782D565A"/>
    <w:rsid w:val="78362761"/>
    <w:rsid w:val="784A620C"/>
    <w:rsid w:val="78827754"/>
    <w:rsid w:val="789456D9"/>
    <w:rsid w:val="78C0202A"/>
    <w:rsid w:val="78C37D6C"/>
    <w:rsid w:val="78C7785D"/>
    <w:rsid w:val="78DB6E64"/>
    <w:rsid w:val="790F6B0E"/>
    <w:rsid w:val="791D747D"/>
    <w:rsid w:val="79256331"/>
    <w:rsid w:val="7A0D129F"/>
    <w:rsid w:val="7A9E639B"/>
    <w:rsid w:val="7AAA4D40"/>
    <w:rsid w:val="7AB67B89"/>
    <w:rsid w:val="7B226FCC"/>
    <w:rsid w:val="7B4554D0"/>
    <w:rsid w:val="7B537186"/>
    <w:rsid w:val="7B643141"/>
    <w:rsid w:val="7B845591"/>
    <w:rsid w:val="7BC57958"/>
    <w:rsid w:val="7BE44282"/>
    <w:rsid w:val="7C52743D"/>
    <w:rsid w:val="7C5331B5"/>
    <w:rsid w:val="7C6158D2"/>
    <w:rsid w:val="7DBB1012"/>
    <w:rsid w:val="7DD345AE"/>
    <w:rsid w:val="7DD86068"/>
    <w:rsid w:val="7DFD162B"/>
    <w:rsid w:val="7E2C3CBE"/>
    <w:rsid w:val="7EEF18BB"/>
    <w:rsid w:val="7F076C05"/>
    <w:rsid w:val="7F74591C"/>
    <w:rsid w:val="7F833DB1"/>
    <w:rsid w:val="7FB623D9"/>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kern w:val="2"/>
      <w:sz w:val="21"/>
      <w:szCs w:val="24"/>
    </w:rPr>
  </w:style>
  <w:style w:type="paragraph" w:styleId="3">
    <w:name w:val="Body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3526</Words>
  <Characters>3609</Characters>
  <Lines>0</Lines>
  <Paragraphs>0</Paragraphs>
  <TotalTime>2</TotalTime>
  <ScaleCrop>false</ScaleCrop>
  <LinksUpToDate>false</LinksUpToDate>
  <CharactersWithSpaces>3722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2025-05-16T13:31:00Z</dcterms:created>
  <dc:creator>张鹏</dc:creator>
  <cp:lastModifiedBy>梁彦会</cp:lastModifiedBy>
  <cp:lastPrinted>2026-05-12T09:10:54Z</cp:lastPrinted>
  <dcterms:modified xsi:type="dcterms:W3CDTF">2026-05-12T09:24:28Z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50C08D71E4EF472290D2FD7EE724B698_11</vt:lpwstr>
  </property>
  <property fmtid="{D5CDD505-2E9C-101B-9397-08002B2CF9AE}" pid="4" name="KSOTemplateDocerSaveRecord">
    <vt:lpwstr>eyJoZGlkIjoiZDhlMzY4OTg4ZDMwMDRmZjc0ZTFmNTViMjFjMTFiZjIiLCJ1c2VySWQiOiIyNTg0OTAwODUifQ==</vt:lpwstr>
  </property>
</Properties>
</file>