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842FD">
      <w:pPr>
        <w:pStyle w:val="19"/>
        <w:ind w:firstLine="420"/>
        <w:rPr>
          <w:color w:val="000000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4253" w:right="851" w:bottom="2268" w:left="1418" w:header="0" w:footer="0" w:gutter="0"/>
          <w:pgNumType w:start="1"/>
          <w:cols w:space="720" w:num="1"/>
          <w:titlePg/>
          <w:docGrid w:type="linesAndChars" w:linePitch="312" w:charSpace="0"/>
        </w:sectPr>
      </w:pPr>
    </w:p>
    <w:p w14:paraId="027EACAB">
      <w:pPr>
        <w:pStyle w:val="19"/>
        <w:ind w:firstLine="420"/>
        <w:rPr>
          <w:color w:val="000000"/>
        </w:rPr>
      </w:pPr>
    </w:p>
    <w:p w14:paraId="50B2DDE8">
      <w:pPr>
        <w:pStyle w:val="19"/>
        <w:ind w:firstLine="420"/>
        <w:rPr>
          <w:color w:val="000000"/>
        </w:rPr>
        <w:sectPr>
          <w:type w:val="continuous"/>
          <w:pgSz w:w="11907" w:h="16839"/>
          <w:pgMar w:top="4253" w:right="851" w:bottom="2268" w:left="1418" w:header="0" w:footer="0" w:gutter="0"/>
          <w:pgNumType w:start="1"/>
          <w:cols w:space="720" w:num="1"/>
          <w:titlePg/>
          <w:docGrid w:type="linesAndChars" w:linePitch="312" w:charSpace="0"/>
        </w:sectPr>
      </w:pPr>
      <w:r>
        <w:rPr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342900</wp:posOffset>
            </wp:positionH>
            <wp:positionV relativeFrom="paragraph">
              <wp:posOffset>6139180</wp:posOffset>
            </wp:positionV>
            <wp:extent cx="5257800" cy="946150"/>
            <wp:effectExtent l="0" t="0" r="0" b="6350"/>
            <wp:wrapNone/>
            <wp:docPr id="164904452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44525" name="图片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3" t="2995" r="123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6156960</wp:posOffset>
                </wp:positionV>
                <wp:extent cx="6121400" cy="0"/>
                <wp:effectExtent l="10160" t="14605" r="12065" b="13970"/>
                <wp:wrapNone/>
                <wp:docPr id="1021942792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0.4pt;margin-top:484.8pt;height:0pt;width:482pt;z-index:251665408;mso-width-relative:page;mso-height-relative:page;" filled="f" stroked="t" coordsize="21600,21600" o:gfxdata="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vBF&#10;EtYAAAAIAQAADwAAAAAAAAABACAAAAAiAAAAZHJzL2Rvd25yZXYueG1sUEsBAhQAFAAAAAgAh07i&#10;QOirdMvrAQAAtQMAAA4AAAAAAAAAAQAgAAAAJQ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4114800</wp:posOffset>
                </wp:positionH>
                <wp:positionV relativeFrom="margin">
                  <wp:posOffset>6223000</wp:posOffset>
                </wp:positionV>
                <wp:extent cx="2019300" cy="312420"/>
                <wp:effectExtent l="0" t="0" r="4445" b="3175"/>
                <wp:wrapNone/>
                <wp:docPr id="66927119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F08499">
                            <w:pPr>
                              <w:pStyle w:val="9"/>
                            </w:pPr>
                            <w:r>
                              <w:t>××××-××-××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24pt;margin-top:490pt;height:24.6pt;width:15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JfzErZAAAADAEAAA8AAAAAAAAAAQAgAAAAIgAAAGRycy9kb3ducmV2LnhtbFBLAQIUABQA&#10;AAAIAIdO4kDO+EevKAIAADcEAAAOAAAAAAAAAAEAIAAAACgBAABkcnMvZTJvRG9jLnhtbFBLBQYA&#10;AAAABgAGAFkBAADC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EF08499">
                      <w:pPr>
                        <w:pStyle w:val="9"/>
                      </w:pPr>
                      <w:r>
                        <w:t>××××-××-××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47625</wp:posOffset>
                </wp:positionH>
                <wp:positionV relativeFrom="margin">
                  <wp:posOffset>6223000</wp:posOffset>
                </wp:positionV>
                <wp:extent cx="2019300" cy="312420"/>
                <wp:effectExtent l="0" t="0" r="4445" b="3175"/>
                <wp:wrapNone/>
                <wp:docPr id="154108581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1BC83C">
                            <w:pPr>
                              <w:pStyle w:val="10"/>
                            </w:pPr>
                            <w:r>
                              <w:t>××××-××-××</w:t>
                            </w:r>
                            <w:r>
                              <w:rPr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3.75pt;margin-top:490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ReaMdgAAAAKAQAADwAAAAAAAAABACAAAAAiAAAAZHJzL2Rvd25yZXYueG1sUEsBAhQAFAAA&#10;AAgAh07iQGVjepooAgAAOA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C1BC83C">
                      <w:pPr>
                        <w:pStyle w:val="10"/>
                      </w:pPr>
                      <w:r>
                        <w:t>××××-××-××</w:t>
                      </w:r>
                      <w:r>
                        <w:rPr>
                          <w:rFonts w:hint="eastAsia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GoBack"/>
      <w:bookmarkEnd w:id="1"/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1440180</wp:posOffset>
                </wp:positionV>
                <wp:extent cx="4707890" cy="2377440"/>
                <wp:effectExtent l="0" t="0" r="635" b="4445"/>
                <wp:wrapNone/>
                <wp:docPr id="174638603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89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21D763">
                            <w:pPr>
                              <w:pStyle w:val="7"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食品安全国家标准</w:t>
                            </w:r>
                          </w:p>
                          <w:p w14:paraId="7C50A1F7">
                            <w:pPr>
                              <w:pStyle w:val="7"/>
                              <w:spacing w:line="240" w:lineRule="auto"/>
                            </w:pPr>
                            <w:permStart w:id="1" w:edGrp="everyone"/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食品添加剂</w:t>
                            </w:r>
                            <w:r>
                              <w:rPr>
                                <w:rFonts w:hint="eastAsia"/>
                              </w:rPr>
                              <w:t xml:space="preserve"> 2-己基吡啶</w:t>
                            </w:r>
                          </w:p>
                          <w:p w14:paraId="3C6278FE">
                            <w:pPr>
                              <w:pStyle w:val="7"/>
                              <w:spacing w:line="240" w:lineRule="auto"/>
                              <w:rPr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10"/>
                                <w:lang w:val="en-US" w:eastAsia="zh-CN"/>
                              </w:rPr>
                              <w:t>征求意见稿</w:t>
                            </w:r>
                            <w:r>
                              <w:rPr>
                                <w:rFonts w:hint="eastAsia"/>
                                <w:sz w:val="28"/>
                                <w:szCs w:val="10"/>
                              </w:rPr>
                              <w:t>）</w:t>
                            </w:r>
                          </w:p>
                          <w:permEnd w:id="1"/>
                          <w:p w14:paraId="28C87048">
                            <w:pPr>
                              <w:pStyle w:val="7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top:113.4pt;height:187.2pt;width:370.7pt;mso-position-horizontal:center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7m9f7XAAAACAEAAA8AAAAAAAAAAQAgAAAAIgAAAGRycy9kb3ducmV2LnhtbFBLAQIUABQA&#10;AAAIAIdO4kDgk2UYKgIAADkEAAAOAAAAAAAAAAEAIAAAACYBAABkcnMvZTJvRG9jLnhtbFBLBQYA&#10;AAAABgAGAFkBAADC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B21D763">
                      <w:pPr>
                        <w:pStyle w:val="7"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食品安全国家标准</w:t>
                      </w:r>
                    </w:p>
                    <w:p w14:paraId="7C50A1F7">
                      <w:pPr>
                        <w:pStyle w:val="7"/>
                        <w:spacing w:line="240" w:lineRule="auto"/>
                      </w:pPr>
                      <w:permStart w:id="1" w:edGrp="everyone"/>
                      <w:r>
                        <w:rPr>
                          <w:rFonts w:hint="eastAsia"/>
                          <w:lang w:val="en-US" w:eastAsia="zh-CN"/>
                        </w:rPr>
                        <w:t>食品添加剂</w:t>
                      </w:r>
                      <w:r>
                        <w:rPr>
                          <w:rFonts w:hint="eastAsia"/>
                        </w:rPr>
                        <w:t xml:space="preserve"> 2-己基吡啶</w:t>
                      </w:r>
                    </w:p>
                    <w:p w14:paraId="3C6278FE">
                      <w:pPr>
                        <w:pStyle w:val="7"/>
                        <w:spacing w:line="240" w:lineRule="auto"/>
                        <w:rPr>
                          <w:sz w:val="28"/>
                          <w:szCs w:val="10"/>
                        </w:rPr>
                      </w:pPr>
                      <w:r>
                        <w:rPr>
                          <w:rFonts w:hint="eastAsia"/>
                          <w:sz w:val="28"/>
                          <w:szCs w:val="10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10"/>
                          <w:lang w:val="en-US" w:eastAsia="zh-CN"/>
                        </w:rPr>
                        <w:t>征求意见稿</w:t>
                      </w:r>
                      <w:r>
                        <w:rPr>
                          <w:rFonts w:hint="eastAsia"/>
                          <w:sz w:val="28"/>
                          <w:szCs w:val="10"/>
                        </w:rPr>
                        <w:t>）</w:t>
                      </w:r>
                    </w:p>
                    <w:permEnd w:id="1"/>
                    <w:p w14:paraId="28C87048">
                      <w:pPr>
                        <w:pStyle w:val="7"/>
                        <w:spacing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71915B">
      <w:pPr>
        <w:pStyle w:val="20"/>
        <w:spacing w:before="851" w:after="0" w:line="240" w:lineRule="auto"/>
      </w:pPr>
      <w:bookmarkStart w:id="0" w:name="_Toc340232127"/>
      <w:r>
        <w:rPr>
          <w:rFonts w:hint="eastAsia"/>
        </w:rPr>
        <w:t>食品安全国家标准</w:t>
      </w:r>
      <w:bookmarkEnd w:id="0"/>
    </w:p>
    <w:p w14:paraId="2FE238BC">
      <w:pPr>
        <w:pStyle w:val="20"/>
        <w:spacing w:before="0" w:after="0" w:line="240" w:lineRule="auto"/>
      </w:pPr>
      <w:r>
        <w:rPr>
          <w:rFonts w:hint="eastAsia"/>
          <w:lang w:val="en-US" w:eastAsia="zh-CN"/>
        </w:rPr>
        <w:t>食品添加剂</w:t>
      </w:r>
      <w:r>
        <w:rPr>
          <w:rFonts w:hint="eastAsia"/>
        </w:rPr>
        <w:t xml:space="preserve"> 2-己基吡啶</w:t>
      </w:r>
    </w:p>
    <w:p w14:paraId="14A7549F">
      <w:pPr>
        <w:pStyle w:val="1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</w:pPr>
      <w:r>
        <w:rPr>
          <w:rFonts w:hint="eastAsia"/>
        </w:rPr>
        <w:t>范围</w:t>
      </w:r>
    </w:p>
    <w:p w14:paraId="726626CF">
      <w:pPr>
        <w:pStyle w:val="14"/>
        <w:spacing w:line="320" w:lineRule="exact"/>
        <w:ind w:firstLine="420"/>
        <w:rPr>
          <w:color w:val="000000"/>
        </w:rPr>
      </w:pPr>
      <w:r>
        <w:rPr>
          <w:rFonts w:hint="eastAsia"/>
          <w:color w:val="000000"/>
        </w:rPr>
        <w:t>本标准适用于以2,4-十一碳二烯醛为主要原料经化学反应制得的食品添加剂2-己基吡啶。</w:t>
      </w:r>
    </w:p>
    <w:p w14:paraId="53EBC53D">
      <w:pPr>
        <w:pStyle w:val="1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kern w:val="2"/>
        </w:rPr>
      </w:pPr>
      <w:r>
        <w:rPr>
          <w:rFonts w:hint="eastAsia"/>
          <w:kern w:val="2"/>
        </w:rPr>
        <w:t>化学名称、分子式、结构式和相对分子质量</w:t>
      </w:r>
    </w:p>
    <w:p w14:paraId="16FAA0AF">
      <w:pPr>
        <w:pStyle w:val="14"/>
        <w:numPr>
          <w:ilvl w:val="1"/>
          <w:numId w:val="1"/>
        </w:numPr>
        <w:spacing w:line="360" w:lineRule="auto"/>
        <w:ind w:left="567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化学名称</w:t>
      </w:r>
    </w:p>
    <w:p w14:paraId="27F32627">
      <w:pPr>
        <w:pStyle w:val="14"/>
        <w:spacing w:line="320" w:lineRule="exact"/>
        <w:ind w:firstLine="420"/>
        <w:rPr>
          <w:color w:val="000000"/>
        </w:rPr>
      </w:pPr>
      <w:r>
        <w:rPr>
          <w:rFonts w:hint="eastAsia" w:hAnsi="黑体"/>
          <w:szCs w:val="22"/>
        </w:rPr>
        <w:t>2-己基吡啶</w:t>
      </w:r>
    </w:p>
    <w:p w14:paraId="360B7212">
      <w:pPr>
        <w:pStyle w:val="14"/>
        <w:numPr>
          <w:ilvl w:val="1"/>
          <w:numId w:val="1"/>
        </w:numPr>
        <w:spacing w:line="360" w:lineRule="auto"/>
        <w:ind w:left="567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分子式</w:t>
      </w:r>
    </w:p>
    <w:p w14:paraId="7023F673">
      <w:pPr>
        <w:pStyle w:val="14"/>
        <w:spacing w:line="320" w:lineRule="exact"/>
        <w:ind w:firstLine="420"/>
        <w:rPr>
          <w:rFonts w:ascii="黑体" w:eastAsia="黑体"/>
          <w:color w:val="000000"/>
        </w:rPr>
      </w:pPr>
      <w:r>
        <w:rPr>
          <w:color w:val="000000"/>
        </w:rPr>
        <w:t>C</w:t>
      </w:r>
      <w:r>
        <w:rPr>
          <w:color w:val="000000"/>
          <w:vertAlign w:val="subscript"/>
        </w:rPr>
        <w:t>11</w:t>
      </w:r>
      <w:r>
        <w:rPr>
          <w:color w:val="000000"/>
        </w:rPr>
        <w:t>H</w:t>
      </w:r>
      <w:r>
        <w:rPr>
          <w:color w:val="000000"/>
          <w:vertAlign w:val="subscript"/>
        </w:rPr>
        <w:t>17</w:t>
      </w:r>
      <w:r>
        <w:rPr>
          <w:color w:val="000000"/>
        </w:rPr>
        <w:t>N</w:t>
      </w:r>
    </w:p>
    <w:p w14:paraId="2EB298C8">
      <w:pPr>
        <w:pStyle w:val="14"/>
        <w:numPr>
          <w:ilvl w:val="1"/>
          <w:numId w:val="1"/>
        </w:numPr>
        <w:spacing w:line="360" w:lineRule="auto"/>
        <w:ind w:left="567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结构式</w:t>
      </w:r>
    </w:p>
    <w:p w14:paraId="149C0601">
      <w:r>
        <w:drawing>
          <wp:inline distT="0" distB="0" distL="0" distR="0">
            <wp:extent cx="1912620" cy="716280"/>
            <wp:effectExtent l="0" t="0" r="0" b="7620"/>
            <wp:docPr id="158101793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17938" name="图片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0392">
      <w:pPr>
        <w:pStyle w:val="14"/>
        <w:numPr>
          <w:ilvl w:val="1"/>
          <w:numId w:val="1"/>
        </w:numPr>
        <w:spacing w:line="360" w:lineRule="auto"/>
        <w:ind w:left="567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相对分子质量</w:t>
      </w:r>
    </w:p>
    <w:p w14:paraId="2F58BC26">
      <w:pPr>
        <w:pStyle w:val="14"/>
        <w:spacing w:line="320" w:lineRule="exact"/>
        <w:ind w:left="425" w:firstLine="0" w:firstLineChars="0"/>
        <w:rPr>
          <w:rFonts w:hAnsi="宋体"/>
          <w:color w:val="000000"/>
        </w:rPr>
      </w:pPr>
      <w:r>
        <w:rPr>
          <w:rFonts w:hint="eastAsia" w:hAnsi="宋体"/>
          <w:color w:val="000000"/>
        </w:rPr>
        <w:t>163.26（按2021年国际相对原子质量）</w:t>
      </w:r>
    </w:p>
    <w:p w14:paraId="7A36DBE9">
      <w:pPr>
        <w:pStyle w:val="1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color w:val="000000"/>
        </w:rPr>
      </w:pPr>
      <w:r>
        <w:rPr>
          <w:rFonts w:hint="eastAsia"/>
          <w:color w:val="000000"/>
        </w:rPr>
        <w:t>技术要求</w:t>
      </w:r>
    </w:p>
    <w:p w14:paraId="259F7F3E">
      <w:pPr>
        <w:pStyle w:val="15"/>
        <w:numPr>
          <w:ilvl w:val="1"/>
          <w:numId w:val="1"/>
        </w:numPr>
        <w:tabs>
          <w:tab w:val="left" w:pos="284"/>
        </w:tabs>
        <w:spacing w:before="0" w:beforeLines="0" w:after="0" w:afterLines="0" w:line="360" w:lineRule="auto"/>
        <w:ind w:left="567"/>
        <w:rPr>
          <w:kern w:val="2"/>
        </w:rPr>
      </w:pPr>
      <w:r>
        <w:rPr>
          <w:rFonts w:hint="eastAsia"/>
          <w:kern w:val="2"/>
        </w:rPr>
        <w:t>感官要求</w:t>
      </w:r>
    </w:p>
    <w:p w14:paraId="72E14244">
      <w:pPr>
        <w:pStyle w:val="15"/>
        <w:numPr>
          <w:ilvl w:val="2"/>
          <w:numId w:val="0"/>
        </w:numPr>
        <w:spacing w:line="320" w:lineRule="exact"/>
        <w:ind w:firstLine="420" w:firstLineChars="200"/>
        <w:jc w:val="left"/>
        <w:outlineLvl w:val="9"/>
        <w:rPr>
          <w:rFonts w:ascii="Times New Roman" w:eastAsia="宋体"/>
        </w:rPr>
      </w:pPr>
      <w:r>
        <w:rPr>
          <w:rFonts w:hint="eastAsia" w:ascii="Times New Roman" w:hAnsi="宋体" w:eastAsia="宋体"/>
        </w:rPr>
        <w:t>感官要求应符合表1的规定。</w:t>
      </w:r>
    </w:p>
    <w:p w14:paraId="46B81540">
      <w:pPr>
        <w:spacing w:before="156" w:beforeLines="50"/>
        <w:jc w:val="center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表1 感官要求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096"/>
        <w:gridCol w:w="4266"/>
      </w:tblGrid>
      <w:tr w14:paraId="11F8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</w:tcPr>
          <w:p w14:paraId="1F141D7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    目</w:t>
            </w:r>
          </w:p>
        </w:tc>
        <w:tc>
          <w:tcPr>
            <w:tcW w:w="3096" w:type="dxa"/>
          </w:tcPr>
          <w:p w14:paraId="61BBBA5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要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求</w:t>
            </w:r>
          </w:p>
        </w:tc>
        <w:tc>
          <w:tcPr>
            <w:tcW w:w="4266" w:type="dxa"/>
          </w:tcPr>
          <w:p w14:paraId="79E99B4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检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验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方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法</w:t>
            </w:r>
          </w:p>
        </w:tc>
      </w:tr>
      <w:tr w14:paraId="63FF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</w:tcPr>
          <w:p w14:paraId="78DE348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色泽</w:t>
            </w:r>
          </w:p>
        </w:tc>
        <w:tc>
          <w:tcPr>
            <w:tcW w:w="3096" w:type="dxa"/>
            <w:vAlign w:val="center"/>
          </w:tcPr>
          <w:p w14:paraId="7F93521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无色到淡黄色</w:t>
            </w:r>
          </w:p>
        </w:tc>
        <w:tc>
          <w:tcPr>
            <w:tcW w:w="4266" w:type="dxa"/>
            <w:vMerge w:val="restart"/>
            <w:vAlign w:val="center"/>
          </w:tcPr>
          <w:p w14:paraId="51C0941E">
            <w:pPr>
              <w:pStyle w:val="14"/>
              <w:widowControl w:val="0"/>
              <w:spacing w:before="50" w:after="50" w:line="320" w:lineRule="exact"/>
              <w:ind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将试样置于比色管内，用目测法观察。</w:t>
            </w:r>
          </w:p>
        </w:tc>
      </w:tr>
      <w:tr w14:paraId="3291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</w:tcPr>
          <w:p w14:paraId="4FA4B1CF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状态</w:t>
            </w:r>
          </w:p>
        </w:tc>
        <w:tc>
          <w:tcPr>
            <w:tcW w:w="3096" w:type="dxa"/>
            <w:vAlign w:val="center"/>
          </w:tcPr>
          <w:p w14:paraId="7C464476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液体</w:t>
            </w:r>
          </w:p>
        </w:tc>
        <w:tc>
          <w:tcPr>
            <w:tcW w:w="4266" w:type="dxa"/>
            <w:vMerge w:val="continue"/>
          </w:tcPr>
          <w:p w14:paraId="2EBD6325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6814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Align w:val="center"/>
          </w:tcPr>
          <w:p w14:paraId="0D6009E7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香气</w:t>
            </w:r>
          </w:p>
        </w:tc>
        <w:tc>
          <w:tcPr>
            <w:tcW w:w="3096" w:type="dxa"/>
          </w:tcPr>
          <w:p w14:paraId="38688B28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蔬菜样青香， 并具有药草香和油脂气息</w:t>
            </w:r>
          </w:p>
        </w:tc>
        <w:tc>
          <w:tcPr>
            <w:tcW w:w="4266" w:type="dxa"/>
            <w:vAlign w:val="center"/>
          </w:tcPr>
          <w:p w14:paraId="1DAF45C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14454.2</w:t>
            </w:r>
          </w:p>
        </w:tc>
      </w:tr>
    </w:tbl>
    <w:p w14:paraId="683F1528">
      <w:pPr>
        <w:pStyle w:val="15"/>
        <w:numPr>
          <w:ilvl w:val="1"/>
          <w:numId w:val="1"/>
        </w:numPr>
        <w:tabs>
          <w:tab w:val="left" w:pos="284"/>
        </w:tabs>
        <w:spacing w:before="0" w:beforeLines="0" w:after="0" w:afterLines="0" w:line="360" w:lineRule="auto"/>
        <w:ind w:left="567"/>
      </w:pPr>
      <w:r>
        <w:rPr>
          <w:rFonts w:hint="eastAsia"/>
          <w:kern w:val="2"/>
        </w:rPr>
        <w:t>理化指标</w:t>
      </w:r>
    </w:p>
    <w:p w14:paraId="571B88CE">
      <w:pPr>
        <w:pStyle w:val="15"/>
        <w:numPr>
          <w:ilvl w:val="2"/>
          <w:numId w:val="0"/>
        </w:numPr>
        <w:spacing w:line="320" w:lineRule="exact"/>
        <w:ind w:firstLine="420" w:firstLineChars="200"/>
        <w:jc w:val="left"/>
        <w:outlineLvl w:val="9"/>
        <w:rPr>
          <w:rFonts w:ascii="Times New Roman" w:hAnsi="宋体" w:eastAsia="宋体"/>
        </w:rPr>
      </w:pPr>
      <w:r>
        <w:rPr>
          <w:rFonts w:hint="eastAsia" w:ascii="Times New Roman" w:hAnsi="宋体" w:eastAsia="宋体"/>
        </w:rPr>
        <w:t>理化指标应符合表2的规定。</w:t>
      </w:r>
    </w:p>
    <w:p w14:paraId="565C288B">
      <w:pPr>
        <w:spacing w:before="156" w:beforeLines="50"/>
        <w:jc w:val="center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表</w:t>
      </w:r>
      <w:r>
        <w:rPr>
          <w:rFonts w:ascii="黑体" w:hAnsi="宋体" w:eastAsia="黑体"/>
          <w:szCs w:val="21"/>
        </w:rPr>
        <w:t>2</w:t>
      </w:r>
      <w:r>
        <w:rPr>
          <w:rFonts w:hint="eastAsia" w:ascii="黑体" w:hAnsi="宋体" w:eastAsia="黑体"/>
          <w:szCs w:val="21"/>
        </w:rPr>
        <w:t xml:space="preserve"> 理化指标</w:t>
      </w:r>
    </w:p>
    <w:tbl>
      <w:tblPr>
        <w:tblStyle w:val="3"/>
        <w:tblW w:w="7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567"/>
        <w:gridCol w:w="1991"/>
        <w:gridCol w:w="2693"/>
      </w:tblGrid>
      <w:tr w14:paraId="0EC8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7" w:type="dxa"/>
            <w:gridSpan w:val="2"/>
          </w:tcPr>
          <w:p w14:paraId="288C30F1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    目</w:t>
            </w:r>
          </w:p>
        </w:tc>
        <w:tc>
          <w:tcPr>
            <w:tcW w:w="1991" w:type="dxa"/>
          </w:tcPr>
          <w:p w14:paraId="253E5C3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指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标</w:t>
            </w:r>
          </w:p>
        </w:tc>
        <w:tc>
          <w:tcPr>
            <w:tcW w:w="2693" w:type="dxa"/>
          </w:tcPr>
          <w:p w14:paraId="6464EC45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检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验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方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法</w:t>
            </w:r>
          </w:p>
        </w:tc>
      </w:tr>
      <w:tr w14:paraId="2FD6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0" w:type="dxa"/>
            <w:tcBorders>
              <w:right w:val="nil"/>
            </w:tcBorders>
          </w:tcPr>
          <w:p w14:paraId="4D2CB257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含量，</w:t>
            </w:r>
            <w:r>
              <w:rPr>
                <w:i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/%</w:t>
            </w:r>
          </w:p>
        </w:tc>
        <w:tc>
          <w:tcPr>
            <w:tcW w:w="567" w:type="dxa"/>
            <w:tcBorders>
              <w:left w:val="nil"/>
            </w:tcBorders>
          </w:tcPr>
          <w:p w14:paraId="46C2995C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＞</w:t>
            </w:r>
          </w:p>
        </w:tc>
        <w:tc>
          <w:tcPr>
            <w:tcW w:w="1991" w:type="dxa"/>
            <w:vAlign w:val="center"/>
          </w:tcPr>
          <w:p w14:paraId="32822B86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2693" w:type="dxa"/>
          </w:tcPr>
          <w:p w14:paraId="46CC89FF">
            <w:pPr>
              <w:pStyle w:val="14"/>
              <w:widowControl w:val="0"/>
              <w:spacing w:before="50" w:after="50" w:line="320" w:lineRule="exact"/>
              <w:ind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附录 A</w:t>
            </w:r>
          </w:p>
        </w:tc>
      </w:tr>
      <w:tr w14:paraId="3212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70" w:type="dxa"/>
            <w:tcBorders>
              <w:right w:val="nil"/>
            </w:tcBorders>
          </w:tcPr>
          <w:p w14:paraId="61386A7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相对密度（20℃/20℃）</w:t>
            </w:r>
          </w:p>
        </w:tc>
        <w:tc>
          <w:tcPr>
            <w:tcW w:w="567" w:type="dxa"/>
            <w:tcBorders>
              <w:left w:val="nil"/>
            </w:tcBorders>
          </w:tcPr>
          <w:p w14:paraId="4C582DA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6DDCD0EF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0.875～0.915</w:t>
            </w:r>
          </w:p>
        </w:tc>
        <w:tc>
          <w:tcPr>
            <w:tcW w:w="2693" w:type="dxa"/>
          </w:tcPr>
          <w:p w14:paraId="4B485C88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11540</w:t>
            </w:r>
          </w:p>
        </w:tc>
      </w:tr>
      <w:tr w14:paraId="40E6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right w:val="nil"/>
            </w:tcBorders>
            <w:vAlign w:val="center"/>
          </w:tcPr>
          <w:p w14:paraId="1005F4C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折光指数（20℃）</w:t>
            </w:r>
          </w:p>
        </w:tc>
        <w:tc>
          <w:tcPr>
            <w:tcW w:w="567" w:type="dxa"/>
            <w:tcBorders>
              <w:left w:val="nil"/>
            </w:tcBorders>
          </w:tcPr>
          <w:p w14:paraId="4F8D3676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91" w:type="dxa"/>
          </w:tcPr>
          <w:p w14:paraId="776F2C7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1.480～1.490</w:t>
            </w:r>
          </w:p>
        </w:tc>
        <w:tc>
          <w:tcPr>
            <w:tcW w:w="2693" w:type="dxa"/>
          </w:tcPr>
          <w:p w14:paraId="7F0A1577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14454.4</w:t>
            </w:r>
          </w:p>
        </w:tc>
      </w:tr>
    </w:tbl>
    <w:p w14:paraId="62BC64B1">
      <w:pPr>
        <w:spacing w:before="156" w:beforeLines="50" w:after="156" w:afterLines="50" w:line="360" w:lineRule="auto"/>
        <w:jc w:val="center"/>
        <w:rPr>
          <w:rFonts w:ascii="黑体" w:hAnsi="黑体" w:eastAsia="黑体"/>
          <w:kern w:val="0"/>
          <w:szCs w:val="21"/>
        </w:rPr>
      </w:pPr>
    </w:p>
    <w:p w14:paraId="706FCCA4">
      <w:pPr>
        <w:spacing w:before="156" w:beforeLines="50" w:after="156" w:afterLines="50" w:line="360" w:lineRule="auto"/>
        <w:jc w:val="center"/>
        <w:rPr>
          <w:rFonts w:ascii="黑体" w:hAnsi="黑体" w:eastAsia="黑体"/>
          <w:kern w:val="0"/>
          <w:szCs w:val="21"/>
          <w:lang w:val="zh-CN"/>
        </w:rPr>
      </w:pPr>
      <w:r>
        <w:rPr>
          <w:rFonts w:ascii="黑体" w:hAnsi="黑体" w:eastAsia="黑体"/>
          <w:kern w:val="0"/>
          <w:szCs w:val="21"/>
        </w:rPr>
        <w:br w:type="page"/>
      </w:r>
      <w:r>
        <w:rPr>
          <w:rFonts w:ascii="黑体" w:hAnsi="黑体" w:eastAsia="黑体"/>
          <w:kern w:val="0"/>
          <w:szCs w:val="21"/>
          <w:lang w:val="zh-CN"/>
        </w:rPr>
        <w:t>附</w:t>
      </w:r>
      <w:r>
        <w:rPr>
          <w:rFonts w:hint="eastAsia" w:ascii="黑体" w:hAnsi="黑体" w:eastAsia="黑体"/>
          <w:kern w:val="0"/>
          <w:szCs w:val="21"/>
          <w:lang w:val="zh-CN"/>
        </w:rPr>
        <w:t xml:space="preserve"> </w:t>
      </w:r>
      <w:r>
        <w:rPr>
          <w:rFonts w:ascii="黑体" w:hAnsi="黑体" w:eastAsia="黑体"/>
          <w:kern w:val="0"/>
          <w:szCs w:val="21"/>
          <w:lang w:val="zh-CN"/>
        </w:rPr>
        <w:t xml:space="preserve"> 录</w:t>
      </w:r>
      <w:r>
        <w:rPr>
          <w:rFonts w:hint="eastAsia" w:ascii="黑体" w:hAnsi="黑体" w:eastAsia="黑体"/>
          <w:kern w:val="0"/>
          <w:szCs w:val="21"/>
          <w:lang w:val="zh-CN"/>
        </w:rPr>
        <w:t xml:space="preserve"> </w:t>
      </w:r>
      <w:r>
        <w:rPr>
          <w:rFonts w:ascii="黑体" w:hAnsi="黑体" w:eastAsia="黑体"/>
          <w:kern w:val="0"/>
          <w:szCs w:val="21"/>
          <w:lang w:val="zh-CN"/>
        </w:rPr>
        <w:t xml:space="preserve"> A</w:t>
      </w:r>
    </w:p>
    <w:p w14:paraId="0C0A9077">
      <w:pPr>
        <w:spacing w:before="156" w:beforeLines="50" w:after="156" w:afterLines="50" w:line="360" w:lineRule="auto"/>
        <w:jc w:val="center"/>
        <w:rPr>
          <w:rFonts w:ascii="黑体" w:hAnsi="黑体" w:eastAsia="黑体"/>
          <w:kern w:val="0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食品添加剂</w:t>
      </w:r>
      <w:r>
        <w:rPr>
          <w:rFonts w:hint="eastAsia" w:ascii="黑体" w:hAnsi="黑体" w:eastAsia="黑体"/>
          <w:szCs w:val="21"/>
        </w:rPr>
        <w:t>2-己基吡啶含量的检测方法</w:t>
      </w:r>
    </w:p>
    <w:p w14:paraId="0C54D377">
      <w:pPr>
        <w:spacing w:line="320" w:lineRule="exac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A.1  仪器和设备</w:t>
      </w:r>
    </w:p>
    <w:p w14:paraId="2D41327B">
      <w:pPr>
        <w:widowControl/>
        <w:autoSpaceDE w:val="0"/>
        <w:autoSpaceDN w:val="0"/>
        <w:spacing w:line="320" w:lineRule="exac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 xml:space="preserve">A.1.1  </w:t>
      </w:r>
      <w:r>
        <w:rPr>
          <w:rFonts w:hint="eastAsia" w:ascii="宋体" w:hAnsi="宋体" w:cs="宋体"/>
          <w:kern w:val="0"/>
          <w:szCs w:val="21"/>
        </w:rPr>
        <w:t>色谱仪：按</w:t>
      </w:r>
      <w:r>
        <w:rPr>
          <w:rFonts w:ascii="宋体" w:hAnsi="宋体"/>
          <w:kern w:val="0"/>
          <w:szCs w:val="21"/>
        </w:rPr>
        <w:t>GB/T 11538-2006</w:t>
      </w:r>
      <w:r>
        <w:rPr>
          <w:rFonts w:hint="eastAsia" w:ascii="宋体" w:hAnsi="宋体" w:cs="宋体"/>
          <w:kern w:val="0"/>
          <w:szCs w:val="21"/>
        </w:rPr>
        <w:t>中第五章的规定。</w:t>
      </w:r>
    </w:p>
    <w:p w14:paraId="393A5FA4">
      <w:pPr>
        <w:widowControl/>
        <w:autoSpaceDE w:val="0"/>
        <w:autoSpaceDN w:val="0"/>
        <w:spacing w:line="320" w:lineRule="exact"/>
        <w:rPr>
          <w:rFonts w:ascii="宋体" w:hAnsi="宋体" w:cs="宋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 xml:space="preserve">A.1.2  </w:t>
      </w:r>
      <w:r>
        <w:rPr>
          <w:rFonts w:hint="eastAsia" w:ascii="宋体" w:hAnsi="宋体" w:cs="宋体"/>
          <w:kern w:val="0"/>
          <w:szCs w:val="21"/>
        </w:rPr>
        <w:t>柱：毛细管柱。</w:t>
      </w:r>
    </w:p>
    <w:p w14:paraId="0F73F0F2">
      <w:pPr>
        <w:widowControl/>
        <w:autoSpaceDE w:val="0"/>
        <w:autoSpaceDN w:val="0"/>
        <w:spacing w:line="320" w:lineRule="exac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 xml:space="preserve">A.1.3  </w:t>
      </w:r>
      <w:r>
        <w:rPr>
          <w:rFonts w:hint="eastAsia" w:ascii="宋体" w:hAnsi="宋体" w:cs="宋体"/>
          <w:kern w:val="0"/>
          <w:szCs w:val="21"/>
        </w:rPr>
        <w:t>检测器：氢火焰离子化检测器。</w:t>
      </w:r>
    </w:p>
    <w:p w14:paraId="6DEF29A3">
      <w:pPr>
        <w:widowControl/>
        <w:autoSpaceDE w:val="0"/>
        <w:autoSpaceDN w:val="0"/>
        <w:spacing w:line="32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A.2  测定方法</w:t>
      </w:r>
    </w:p>
    <w:p w14:paraId="0B1D3520">
      <w:pPr>
        <w:widowControl/>
        <w:autoSpaceDE w:val="0"/>
        <w:autoSpaceDN w:val="0"/>
        <w:spacing w:line="320" w:lineRule="exact"/>
        <w:ind w:firstLine="630" w:firstLineChars="300"/>
        <w:rPr>
          <w:kern w:val="0"/>
          <w:szCs w:val="21"/>
        </w:rPr>
      </w:pPr>
      <w:r>
        <w:rPr>
          <w:rFonts w:hAnsi="宋体"/>
          <w:szCs w:val="21"/>
        </w:rPr>
        <w:t>面积归一化法：</w:t>
      </w:r>
      <w:r>
        <w:rPr>
          <w:rFonts w:hAnsi="宋体"/>
          <w:kern w:val="0"/>
          <w:szCs w:val="21"/>
        </w:rPr>
        <w:t>按</w:t>
      </w:r>
      <w:r>
        <w:rPr>
          <w:kern w:val="0"/>
          <w:szCs w:val="21"/>
        </w:rPr>
        <w:t>GB/T 11538-2006</w:t>
      </w:r>
      <w:r>
        <w:rPr>
          <w:rFonts w:hAnsi="宋体"/>
          <w:kern w:val="0"/>
          <w:szCs w:val="21"/>
        </w:rPr>
        <w:t>中</w:t>
      </w:r>
      <w:r>
        <w:rPr>
          <w:kern w:val="0"/>
          <w:szCs w:val="21"/>
        </w:rPr>
        <w:t>10.4</w:t>
      </w:r>
      <w:r>
        <w:rPr>
          <w:rFonts w:hAnsi="宋体"/>
          <w:kern w:val="0"/>
          <w:szCs w:val="21"/>
        </w:rPr>
        <w:t>测定含量。</w:t>
      </w:r>
    </w:p>
    <w:p w14:paraId="7A8BB71B">
      <w:pPr>
        <w:spacing w:line="320" w:lineRule="exac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A.3  重复性及结果表示</w:t>
      </w:r>
    </w:p>
    <w:p w14:paraId="5CFC86A3">
      <w:pPr>
        <w:widowControl/>
        <w:autoSpaceDE w:val="0"/>
        <w:autoSpaceDN w:val="0"/>
        <w:spacing w:line="320" w:lineRule="exact"/>
        <w:ind w:firstLine="630" w:firstLineChars="300"/>
        <w:rPr>
          <w:szCs w:val="21"/>
        </w:rPr>
      </w:pPr>
      <w:r>
        <w:rPr>
          <w:rFonts w:hAnsi="宋体"/>
          <w:szCs w:val="21"/>
        </w:rPr>
        <w:t>按</w:t>
      </w:r>
      <w:r>
        <w:rPr>
          <w:szCs w:val="21"/>
        </w:rPr>
        <w:t>GB/T 11538-2006</w:t>
      </w:r>
      <w:r>
        <w:rPr>
          <w:rFonts w:hAnsi="宋体"/>
          <w:szCs w:val="21"/>
        </w:rPr>
        <w:t>中</w:t>
      </w:r>
      <w:r>
        <w:rPr>
          <w:szCs w:val="21"/>
        </w:rPr>
        <w:t>11.4</w:t>
      </w:r>
      <w:r>
        <w:rPr>
          <w:rFonts w:hAnsi="宋体"/>
          <w:szCs w:val="21"/>
        </w:rPr>
        <w:t>规定进行，应符合要求。</w:t>
      </w:r>
    </w:p>
    <w:p w14:paraId="5EC5F08E">
      <w:pPr>
        <w:widowControl/>
        <w:autoSpaceDE w:val="0"/>
        <w:autoSpaceDN w:val="0"/>
        <w:spacing w:line="320" w:lineRule="exact"/>
        <w:ind w:firstLine="630" w:firstLineChars="300"/>
        <w:rPr>
          <w:kern w:val="0"/>
        </w:rPr>
      </w:pPr>
      <w:r>
        <w:rPr>
          <w:rFonts w:hAnsi="宋体"/>
          <w:kern w:val="0"/>
        </w:rPr>
        <w:t>食品添加剂</w:t>
      </w:r>
      <w:r>
        <w:rPr>
          <w:rFonts w:hint="eastAsia"/>
          <w:kern w:val="0"/>
        </w:rPr>
        <w:t>2-己基吡啶气相色谱图（面积归一化法）参见附录 B</w:t>
      </w:r>
      <w:r>
        <w:rPr>
          <w:rFonts w:hAnsi="宋体"/>
          <w:kern w:val="0"/>
        </w:rPr>
        <w:t>。</w:t>
      </w:r>
    </w:p>
    <w:p w14:paraId="6AAA7384">
      <w:pPr>
        <w:spacing w:before="156" w:beforeLines="50" w:after="156" w:afterLines="50" w:line="360" w:lineRule="auto"/>
        <w:jc w:val="center"/>
        <w:rPr>
          <w:rFonts w:ascii="黑体" w:hAnsi="黑体" w:eastAsia="黑体"/>
          <w:kern w:val="0"/>
          <w:szCs w:val="21"/>
          <w:lang w:val="zh-CN"/>
        </w:rPr>
      </w:pPr>
      <w:r>
        <w:rPr>
          <w:rFonts w:hAnsi="宋体"/>
          <w:szCs w:val="21"/>
        </w:rPr>
        <w:br w:type="page"/>
      </w:r>
      <w:r>
        <w:rPr>
          <w:rFonts w:ascii="黑体" w:hAnsi="黑体" w:eastAsia="黑体"/>
          <w:kern w:val="0"/>
          <w:szCs w:val="21"/>
          <w:lang w:val="zh-CN"/>
        </w:rPr>
        <w:t>附</w:t>
      </w:r>
      <w:r>
        <w:rPr>
          <w:rFonts w:hint="eastAsia" w:ascii="黑体" w:hAnsi="黑体" w:eastAsia="黑体"/>
          <w:kern w:val="0"/>
          <w:szCs w:val="21"/>
          <w:lang w:val="zh-CN"/>
        </w:rPr>
        <w:t xml:space="preserve"> </w:t>
      </w:r>
      <w:r>
        <w:rPr>
          <w:rFonts w:ascii="黑体" w:hAnsi="黑体" w:eastAsia="黑体"/>
          <w:kern w:val="0"/>
          <w:szCs w:val="21"/>
          <w:lang w:val="zh-CN"/>
        </w:rPr>
        <w:t xml:space="preserve"> 录</w:t>
      </w:r>
      <w:r>
        <w:rPr>
          <w:rFonts w:hint="eastAsia" w:ascii="黑体" w:hAnsi="黑体" w:eastAsia="黑体"/>
          <w:kern w:val="0"/>
          <w:szCs w:val="21"/>
          <w:lang w:val="zh-CN"/>
        </w:rPr>
        <w:t xml:space="preserve"> </w:t>
      </w:r>
      <w:r>
        <w:rPr>
          <w:rFonts w:ascii="黑体" w:hAnsi="黑体" w:eastAsia="黑体"/>
          <w:kern w:val="0"/>
          <w:szCs w:val="21"/>
          <w:lang w:val="zh-CN"/>
        </w:rPr>
        <w:t xml:space="preserve"> B</w:t>
      </w:r>
    </w:p>
    <w:p w14:paraId="281E796E">
      <w:pPr>
        <w:spacing w:before="156" w:beforeLines="50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食品添加剂 2-己基吡啶气相色谱图</w:t>
      </w:r>
    </w:p>
    <w:p w14:paraId="342528B5">
      <w:pPr>
        <w:spacing w:after="156" w:afterLines="50"/>
        <w:jc w:val="center"/>
        <w:rPr>
          <w:rFonts w:ascii="黑体" w:hAnsi="黑体" w:eastAsia="黑体"/>
          <w:kern w:val="0"/>
          <w:szCs w:val="21"/>
        </w:rPr>
      </w:pPr>
      <w:r>
        <w:rPr>
          <w:rFonts w:hint="eastAsia" w:ascii="黑体" w:hAnsi="黑体" w:eastAsia="黑体"/>
          <w:kern w:val="0"/>
          <w:szCs w:val="21"/>
        </w:rPr>
        <w:t>(面积归一化法)</w:t>
      </w:r>
    </w:p>
    <w:p w14:paraId="109786FE">
      <w:pPr>
        <w:spacing w:line="320" w:lineRule="exac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B</w:t>
      </w:r>
      <w:r>
        <w:rPr>
          <w:rFonts w:hint="eastAsia" w:ascii="黑体" w:eastAsia="黑体"/>
          <w:szCs w:val="21"/>
        </w:rPr>
        <w:t>.1  食品添加剂2-己基吡啶气相色谱图</w:t>
      </w:r>
    </w:p>
    <w:p w14:paraId="20226C95">
      <w:pPr>
        <w:widowControl/>
        <w:autoSpaceDE w:val="0"/>
        <w:autoSpaceDN w:val="0"/>
        <w:spacing w:line="320" w:lineRule="exact"/>
        <w:ind w:left="567" w:leftChars="270"/>
        <w:rPr>
          <w:rFonts w:hAnsi="宋体"/>
          <w:kern w:val="0"/>
          <w:szCs w:val="21"/>
        </w:rPr>
      </w:pPr>
      <w:r>
        <w:rPr>
          <w:rFonts w:hint="eastAsia" w:hAnsi="宋体"/>
          <w:szCs w:val="21"/>
        </w:rPr>
        <w:t>食品添加剂2-己基吡啶气相色谱图见图B.1</w:t>
      </w:r>
      <w:r>
        <w:rPr>
          <w:rFonts w:hAnsi="宋体"/>
          <w:kern w:val="0"/>
          <w:szCs w:val="21"/>
        </w:rPr>
        <w:t>。</w:t>
      </w:r>
    </w:p>
    <w:p w14:paraId="63AC4D58">
      <w:pPr>
        <w:jc w:val="center"/>
      </w:pPr>
      <w:r>
        <w:drawing>
          <wp:inline distT="0" distB="0" distL="0" distR="0">
            <wp:extent cx="3429000" cy="3604260"/>
            <wp:effectExtent l="0" t="0" r="0" b="15240"/>
            <wp:docPr id="141087578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75783" name="图片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0122B">
      <w:pPr>
        <w:jc w:val="center"/>
        <w:rPr>
          <w:rFonts w:hAnsi="宋体"/>
          <w:kern w:val="0"/>
          <w:szCs w:val="21"/>
        </w:rPr>
      </w:pPr>
      <w:r>
        <w:rPr>
          <w:rFonts w:hint="eastAsia" w:hAnsi="宋体"/>
          <w:kern w:val="0"/>
          <w:szCs w:val="21"/>
        </w:rPr>
        <w:t>图B.1 食品添加剂2-己基吡啶气相色谱图</w:t>
      </w:r>
    </w:p>
    <w:p w14:paraId="3D65D65C">
      <w:pPr>
        <w:jc w:val="center"/>
        <w:rPr>
          <w:rFonts w:hAnsi="宋体"/>
          <w:kern w:val="0"/>
          <w:szCs w:val="21"/>
        </w:rPr>
      </w:pPr>
    </w:p>
    <w:p w14:paraId="06DD5FFE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物质保留时间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3827"/>
      </w:tblGrid>
      <w:tr w14:paraId="02A42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3B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化合物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59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保留时间（min）</w:t>
            </w:r>
          </w:p>
        </w:tc>
      </w:tr>
      <w:tr w14:paraId="75E64C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5E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2-己基吡啶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C2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39.16</w:t>
            </w:r>
          </w:p>
        </w:tc>
      </w:tr>
    </w:tbl>
    <w:p w14:paraId="1F04D182">
      <w:pPr>
        <w:spacing w:line="320" w:lineRule="exact"/>
        <w:rPr>
          <w:rFonts w:ascii="黑体" w:eastAsia="黑体"/>
          <w:szCs w:val="21"/>
        </w:rPr>
      </w:pPr>
    </w:p>
    <w:p w14:paraId="16E63196">
      <w:pPr>
        <w:spacing w:line="320" w:lineRule="exac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B</w:t>
      </w:r>
      <w:r>
        <w:rPr>
          <w:rFonts w:hint="eastAsia" w:ascii="黑体" w:eastAsia="黑体"/>
          <w:szCs w:val="21"/>
        </w:rPr>
        <w:t>.</w:t>
      </w:r>
      <w:r>
        <w:rPr>
          <w:rFonts w:ascii="黑体" w:eastAsia="黑体"/>
          <w:szCs w:val="21"/>
        </w:rPr>
        <w:t>2</w:t>
      </w:r>
      <w:r>
        <w:rPr>
          <w:rFonts w:hint="eastAsia" w:ascii="黑体" w:eastAsia="黑体"/>
          <w:szCs w:val="21"/>
        </w:rPr>
        <w:t xml:space="preserve">  操作条件</w:t>
      </w:r>
    </w:p>
    <w:p w14:paraId="1808F44D">
      <w:pPr>
        <w:widowControl/>
        <w:autoSpaceDE w:val="0"/>
        <w:autoSpaceDN w:val="0"/>
        <w:jc w:val="lef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 xml:space="preserve">B.2.1  </w:t>
      </w:r>
      <w:r>
        <w:rPr>
          <w:kern w:val="0"/>
          <w:szCs w:val="21"/>
        </w:rPr>
        <w:t>柱：毛细管柱，长25 m，内径200 μm。</w:t>
      </w:r>
    </w:p>
    <w:p w14:paraId="2A90F947">
      <w:pPr>
        <w:widowControl/>
        <w:autoSpaceDE w:val="0"/>
        <w:autoSpaceDN w:val="0"/>
        <w:jc w:val="lef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 xml:space="preserve">B.2.2  </w:t>
      </w:r>
      <w:r>
        <w:rPr>
          <w:rFonts w:hint="eastAsia"/>
          <w:kern w:val="0"/>
          <w:szCs w:val="21"/>
        </w:rPr>
        <w:t>固定相：聚乙二醇。</w:t>
      </w:r>
    </w:p>
    <w:p w14:paraId="16B7E154">
      <w:pPr>
        <w:widowControl/>
        <w:autoSpaceDE w:val="0"/>
        <w:autoSpaceDN w:val="0"/>
        <w:jc w:val="lef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 xml:space="preserve">B.2.3  </w:t>
      </w:r>
      <w:r>
        <w:rPr>
          <w:rFonts w:hint="eastAsia"/>
          <w:kern w:val="0"/>
          <w:szCs w:val="21"/>
        </w:rPr>
        <w:t>膜厚：0.</w:t>
      </w:r>
      <w:r>
        <w:rPr>
          <w:kern w:val="0"/>
          <w:szCs w:val="21"/>
        </w:rPr>
        <w:t>20 μm</w:t>
      </w:r>
      <w:r>
        <w:rPr>
          <w:rFonts w:hint="eastAsia"/>
          <w:kern w:val="0"/>
          <w:szCs w:val="21"/>
        </w:rPr>
        <w:t>。</w:t>
      </w:r>
    </w:p>
    <w:p w14:paraId="274C0066">
      <w:pPr>
        <w:widowControl/>
        <w:autoSpaceDE w:val="0"/>
        <w:autoSpaceDN w:val="0"/>
        <w:jc w:val="lef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 xml:space="preserve">B.2.4  </w:t>
      </w:r>
      <w:r>
        <w:rPr>
          <w:rFonts w:hint="eastAsia"/>
          <w:kern w:val="0"/>
          <w:szCs w:val="21"/>
        </w:rPr>
        <w:t>色谱柱温度：线性升温从40℃至270℃，速率2℃/min，最后在270℃恒温5 min。</w:t>
      </w:r>
    </w:p>
    <w:p w14:paraId="29B81B54">
      <w:pPr>
        <w:widowControl/>
        <w:autoSpaceDE w:val="0"/>
        <w:autoSpaceDN w:val="0"/>
        <w:jc w:val="lef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>B.2.</w:t>
      </w:r>
      <w:r>
        <w:rPr>
          <w:rFonts w:ascii="黑体" w:hAnsi="宋体" w:eastAsia="黑体"/>
          <w:kern w:val="0"/>
          <w:szCs w:val="21"/>
        </w:rPr>
        <w:t>5</w:t>
      </w:r>
      <w:r>
        <w:rPr>
          <w:rFonts w:hint="eastAsia" w:ascii="黑体" w:hAnsi="宋体" w:eastAsia="黑体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进样口温度：250℃。</w:t>
      </w:r>
    </w:p>
    <w:p w14:paraId="16FD29EE">
      <w:pPr>
        <w:pStyle w:val="14"/>
        <w:ind w:firstLine="0" w:firstLineChars="0"/>
        <w:rPr>
          <w:rFonts w:hAnsi="宋体"/>
          <w:szCs w:val="21"/>
        </w:rPr>
      </w:pPr>
      <w:r>
        <w:rPr>
          <w:rFonts w:hint="eastAsia" w:ascii="黑体" w:hAnsi="宋体" w:eastAsia="黑体"/>
          <w:szCs w:val="21"/>
        </w:rPr>
        <w:t>B.2.</w:t>
      </w:r>
      <w:r>
        <w:rPr>
          <w:rFonts w:ascii="黑体" w:hAnsi="宋体" w:eastAsia="黑体"/>
          <w:szCs w:val="21"/>
        </w:rPr>
        <w:t>6</w:t>
      </w:r>
      <w:r>
        <w:rPr>
          <w:rFonts w:hint="eastAsia" w:ascii="黑体" w:hAnsi="宋体" w:eastAsia="黑体"/>
          <w:szCs w:val="21"/>
        </w:rPr>
        <w:t xml:space="preserve">  </w:t>
      </w:r>
      <w:r>
        <w:rPr>
          <w:rFonts w:hint="eastAsia"/>
          <w:szCs w:val="21"/>
        </w:rPr>
        <w:t>检测器温度：250℃。</w:t>
      </w:r>
    </w:p>
    <w:p w14:paraId="093E3CB9">
      <w:pPr>
        <w:widowControl/>
        <w:autoSpaceDE w:val="0"/>
        <w:autoSpaceDN w:val="0"/>
        <w:jc w:val="lef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>B.2.</w:t>
      </w:r>
      <w:r>
        <w:rPr>
          <w:rFonts w:ascii="黑体" w:hAnsi="宋体" w:eastAsia="黑体"/>
          <w:kern w:val="0"/>
          <w:szCs w:val="21"/>
        </w:rPr>
        <w:t>7</w:t>
      </w:r>
      <w:r>
        <w:rPr>
          <w:rFonts w:hint="eastAsia" w:ascii="黑体" w:hAnsi="宋体" w:eastAsia="黑体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检测器：氢火焰离子化检测器。</w:t>
      </w:r>
    </w:p>
    <w:p w14:paraId="33AC2D98">
      <w:pPr>
        <w:pStyle w:val="14"/>
        <w:ind w:firstLine="0" w:firstLineChars="0"/>
        <w:rPr>
          <w:rFonts w:hAnsi="宋体"/>
          <w:szCs w:val="21"/>
        </w:rPr>
      </w:pPr>
      <w:r>
        <w:rPr>
          <w:rFonts w:hint="eastAsia" w:ascii="黑体" w:hAnsi="宋体" w:eastAsia="黑体"/>
          <w:szCs w:val="21"/>
        </w:rPr>
        <w:t>B.2.</w:t>
      </w:r>
      <w:r>
        <w:rPr>
          <w:rFonts w:ascii="黑体" w:hAnsi="宋体" w:eastAsia="黑体"/>
          <w:szCs w:val="21"/>
        </w:rPr>
        <w:t>8</w:t>
      </w:r>
      <w:r>
        <w:rPr>
          <w:rFonts w:hint="eastAsia" w:ascii="黑体" w:hAnsi="宋体" w:eastAsia="黑体"/>
          <w:szCs w:val="21"/>
        </w:rPr>
        <w:t xml:space="preserve">  </w:t>
      </w:r>
      <w:r>
        <w:rPr>
          <w:rFonts w:hint="eastAsia"/>
          <w:szCs w:val="21"/>
        </w:rPr>
        <w:t>载气：氢气。</w:t>
      </w:r>
    </w:p>
    <w:p w14:paraId="6F5DF662">
      <w:pPr>
        <w:pStyle w:val="14"/>
        <w:ind w:firstLine="0" w:firstLineChars="0"/>
        <w:rPr>
          <w:rFonts w:hAnsi="宋体"/>
          <w:szCs w:val="21"/>
        </w:rPr>
      </w:pPr>
      <w:r>
        <w:rPr>
          <w:rFonts w:hint="eastAsia" w:ascii="黑体" w:hAnsi="宋体" w:eastAsia="黑体"/>
          <w:szCs w:val="21"/>
        </w:rPr>
        <w:t>B.2.</w:t>
      </w:r>
      <w:r>
        <w:rPr>
          <w:rFonts w:ascii="黑体" w:hAnsi="宋体" w:eastAsia="黑体"/>
          <w:szCs w:val="21"/>
        </w:rPr>
        <w:t>9</w:t>
      </w:r>
      <w:r>
        <w:rPr>
          <w:rFonts w:hint="eastAsia" w:ascii="黑体" w:hAnsi="宋体" w:eastAsia="黑体"/>
          <w:szCs w:val="21"/>
        </w:rPr>
        <w:t xml:space="preserve">  </w:t>
      </w:r>
      <w:r>
        <w:rPr>
          <w:rFonts w:hint="eastAsia"/>
          <w:szCs w:val="21"/>
        </w:rPr>
        <w:t>柱前压：118 kPa。</w:t>
      </w:r>
    </w:p>
    <w:p w14:paraId="02C20976">
      <w:pPr>
        <w:widowControl/>
        <w:autoSpaceDE w:val="0"/>
        <w:autoSpaceDN w:val="0"/>
        <w:jc w:val="left"/>
        <w:rPr>
          <w:rFonts w:ascii="黑体" w:hAnsi="宋体" w:eastAsia="黑体"/>
          <w:kern w:val="0"/>
          <w:szCs w:val="21"/>
        </w:rPr>
      </w:pPr>
      <w:r>
        <w:rPr>
          <w:rFonts w:hint="eastAsia" w:ascii="黑体" w:hAnsi="宋体" w:eastAsia="黑体"/>
          <w:kern w:val="0"/>
          <w:szCs w:val="21"/>
        </w:rPr>
        <w:t>B.2.</w:t>
      </w:r>
      <w:r>
        <w:rPr>
          <w:rFonts w:ascii="黑体" w:hAnsi="宋体" w:eastAsia="黑体"/>
          <w:kern w:val="0"/>
          <w:szCs w:val="21"/>
        </w:rPr>
        <w:t>10</w:t>
      </w:r>
      <w:r>
        <w:rPr>
          <w:rFonts w:hint="eastAsia" w:ascii="黑体" w:hAnsi="宋体" w:eastAsia="黑体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进样量：0.2</w:t>
      </w:r>
      <w:r>
        <w:rPr>
          <w:kern w:val="0"/>
          <w:szCs w:val="21"/>
        </w:rPr>
        <w:t xml:space="preserve"> μL</w:t>
      </w:r>
      <w:r>
        <w:rPr>
          <w:rFonts w:hint="eastAsia"/>
          <w:kern w:val="0"/>
          <w:szCs w:val="21"/>
        </w:rPr>
        <w:t>。</w:t>
      </w:r>
    </w:p>
    <w:p w14:paraId="67D6CDE6">
      <w:pPr>
        <w:pStyle w:val="14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宋体" w:eastAsia="黑体"/>
          <w:szCs w:val="21"/>
        </w:rPr>
        <w:t>B.2.</w:t>
      </w:r>
      <w:r>
        <w:rPr>
          <w:rFonts w:ascii="黑体" w:hAnsi="宋体" w:eastAsia="黑体"/>
          <w:szCs w:val="21"/>
        </w:rPr>
        <w:t xml:space="preserve">11  </w:t>
      </w:r>
      <w:r>
        <w:rPr>
          <w:rFonts w:hint="eastAsia" w:ascii="Times New Roman"/>
          <w:szCs w:val="21"/>
        </w:rPr>
        <w:t>分流比：200:1。</w:t>
      </w:r>
      <w:r>
        <w:rPr>
          <w:rFonts w:hint="eastAsia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889760" cy="635"/>
                <wp:effectExtent l="12700" t="9525" r="12065" b="8890"/>
                <wp:wrapSquare wrapText="bothSides"/>
                <wp:docPr id="770048430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top:14.05pt;height:0.05pt;width:148.8pt;mso-position-horizontal:center;mso-position-horizontal-relative:margin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0WVNNYAAAAGAQAADwAAAAAAAAABACAAAAAiAAAAZHJzL2Rvd25yZXYueG1sUEsBAhQAFAAAAAgA&#10;h07iQH+85sLuAQAAtg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-66675</wp:posOffset>
                </wp:positionH>
                <wp:positionV relativeFrom="margin">
                  <wp:posOffset>50165</wp:posOffset>
                </wp:positionV>
                <wp:extent cx="1800225" cy="0"/>
                <wp:effectExtent l="0" t="0" r="1905" b="1905"/>
                <wp:wrapNone/>
                <wp:docPr id="504369839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-5.25pt;margin-top:3.95pt;height:0pt;width:141.75pt;mso-position-horizontal-relative:margin;mso-position-vertical-relative:margin;z-index:251660288;mso-width-relative:page;mso-height-relative:page;" filled="f" stroked="f" coordsize="21600,21600" o:gfxdata="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RHzb9YAAAAHAQAADwAAAAAAAAABACAAAAAiAAAA&#10;ZHJzL2Rvd25yZXYueG1sUEsBAhQAFAAAAAgAh07iQH2OI9nQAQAAhQMAAA4AAAAAAAAAAQAgAAAA&#10;JQEAAGRycy9lMm9Eb2MueG1sUEsFBgAAAAAGAAYAWQEAAGcFAAAAAA==&#10;">
                <v:fill on="f" focussize="0,0"/>
                <v:stroke on="f"/>
                <v:imagedata o:title=""/>
                <o:lock v:ext="edit" aspectratio="f"/>
                <w10:anchorlock/>
              </v:line>
            </w:pict>
          </mc:Fallback>
        </mc:AlternateContent>
      </w:r>
    </w:p>
    <w:sectPr>
      <w:headerReference r:id="rId8" w:type="default"/>
      <w:footerReference r:id="rId9" w:type="default"/>
      <w:footerReference r:id="rId10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37884">
    <w:pPr>
      <w:pStyle w:val="2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2D581">
    <w:pPr>
      <w:pStyle w:val="8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602C5">
    <w:pPr>
      <w:pStyle w:val="2"/>
      <w:framePr w:vSpace="851" w:wrap="around" w:vAnchor="margin" w:hAnchor="margin" w:xAlign="right" w:yAlign="bottom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 w14:paraId="7FE4F656">
    <w:pPr>
      <w:pStyle w:val="21"/>
      <w:ind w:right="360"/>
      <w:rPr>
        <w:rStyle w:val="5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F300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D12C4C1">
    <w:pPr>
      <w:pStyle w:val="8"/>
      <w:ind w:right="360"/>
      <w:jc w:val="right"/>
      <w:rPr>
        <w:rStyle w:val="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FA1ED">
    <w:pPr>
      <w:pStyle w:val="13"/>
      <w:tabs>
        <w:tab w:val="left" w:pos="709"/>
      </w:tabs>
    </w:pPr>
    <w:r>
      <w:t xml:space="preserve">GB </w:t>
    </w:r>
    <w:r>
      <w:rPr>
        <w:rFonts w:eastAsia="黑体"/>
      </w:rPr>
      <w:t>xxxx—xxxx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1C097">
    <w:pPr>
      <w:pStyle w:val="12"/>
      <w:jc w:val="right"/>
      <w:rPr>
        <w:rFonts w:ascii="宋体" w:hAnsi="宋体"/>
      </w:rPr>
    </w:pPr>
    <w:r>
      <w:t>GB ××××</w:t>
    </w:r>
    <w:r>
      <w:rPr>
        <w:rFonts w:ascii="宋体" w:hAnsi="宋体"/>
      </w:rPr>
      <w:t>—</w:t>
    </w:r>
    <w:r>
      <w:rPr>
        <w:rFonts w:hint="eastAsia" w:ascii="宋体" w:hAnsi="宋体"/>
      </w:rPr>
      <w:t>2009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1CE36">
    <w:pPr>
      <w:pStyle w:val="16"/>
    </w:pPr>
    <w:r>
      <w:pict>
        <v:line id="直线 5" o:spid="_x0000_s1032" o:spt="20" style="position:absolute;left:0pt;margin-left:0pt;margin-top:212.05pt;height:0pt;width:482pt;z-index:251662336;mso-width-relative:page;mso-height-relative:page;" coordsize="21600,21600">
          <v:path arrowok="t"/>
          <v:fill focussize="0,0"/>
          <v:stroke weight="1pt"/>
          <v:imagedata o:title=""/>
          <o:lock v:ext="edit"/>
        </v:line>
      </w:pict>
    </w:r>
    <w:r>
      <w:pict>
        <v:shape id="fmFrame3" o:spid="_x0000_s1031" o:spt="202" type="#_x0000_t202" style="position:absolute;left:0pt;margin-left:15.9pt;margin-top:-45.35pt;height:39pt;width:456.9pt;mso-position-horizontal-relative:margin;mso-position-vertical-relative:margin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0mm,0mm,0mm,0mm">
            <w:txbxContent>
              <w:p w14:paraId="65504040">
                <w:pPr>
                  <w:pStyle w:val="11"/>
                </w:pPr>
              </w:p>
              <w:p w14:paraId="52BDBFB3">
                <w:pPr>
                  <w:pStyle w:val="11"/>
                  <w:rPr>
                    <w:rFonts w:ascii="Times New Roman" w:eastAsia="黑体"/>
                    <w:sz w:val="28"/>
                    <w:szCs w:val="28"/>
                    <w:lang w:val="fr-FR"/>
                  </w:rPr>
                </w:pPr>
                <w:r>
                  <w:rPr>
                    <w:rFonts w:ascii="Times New Roman" w:eastAsia="黑体"/>
                    <w:b/>
                    <w:bCs/>
                    <w:sz w:val="28"/>
                    <w:szCs w:val="28"/>
                    <w:lang w:val="fr-FR"/>
                  </w:rPr>
                  <w:t>GB</w:t>
                </w:r>
                <w:r>
                  <w:rPr>
                    <w:rFonts w:ascii="Times New Roman" w:eastAsia="黑体"/>
                    <w:sz w:val="28"/>
                    <w:szCs w:val="28"/>
                    <w:lang w:val="fr-FR"/>
                  </w:rPr>
                  <w:t xml:space="preserve"> </w:t>
                </w:r>
                <w:permStart w:id="2" w:edGrp="everyone"/>
                <w:r>
                  <w:rPr>
                    <w:rFonts w:hint="eastAsia" w:ascii="Times New Roman" w:eastAsia="黑体"/>
                    <w:sz w:val="28"/>
                    <w:szCs w:val="28"/>
                    <w:lang w:val="fr-FR"/>
                  </w:rPr>
                  <w:t>××××</w:t>
                </w:r>
                <w:permEnd w:id="2"/>
                <w:r>
                  <w:rPr>
                    <w:rFonts w:ascii="Times New Roman" w:eastAsia="黑体"/>
                    <w:kern w:val="28"/>
                    <w:sz w:val="28"/>
                    <w:szCs w:val="28"/>
                    <w:lang w:val="fr-FR"/>
                  </w:rPr>
                  <w:t>—</w:t>
                </w:r>
                <w:r>
                  <w:rPr>
                    <w:rFonts w:hint="eastAsia" w:ascii="Times New Roman" w:eastAsia="黑体"/>
                    <w:sz w:val="28"/>
                    <w:szCs w:val="28"/>
                    <w:lang w:val="fr-FR"/>
                  </w:rPr>
                  <w:t>××××</w:t>
                </w:r>
              </w:p>
              <w:p w14:paraId="547017CF">
                <w:pPr>
                  <w:pStyle w:val="11"/>
                  <w:rPr>
                    <w:lang w:val="fr-FR"/>
                  </w:rPr>
                </w:pPr>
              </w:p>
            </w:txbxContent>
          </v:textbox>
          <w10:anchorlock/>
        </v:shape>
      </w:pict>
    </w:r>
    <w:r>
      <w:pict>
        <v:shape id="fmFrame2" o:spid="_x0000_s1030" o:spt="202" type="#_x0000_t202" style="position:absolute;left:0pt;margin-left:0pt;margin-top:-93.55pt;height:28.35pt;width:481.9pt;mso-position-horizontal-relative:margin;mso-position-vertical-relative:margin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0mm,0mm,0mm,0mm">
            <w:txbxContent>
              <w:p w14:paraId="6B4E3B9C">
                <w:pPr>
                  <w:pStyle w:val="17"/>
                  <w:rPr>
                    <w:spacing w:val="-20"/>
                    <w:kern w:val="52"/>
                    <w:szCs w:val="52"/>
                  </w:rPr>
                </w:pPr>
                <w:r>
                  <w:rPr>
                    <w:rFonts w:hint="eastAsia"/>
                    <w:spacing w:val="-20"/>
                    <w:kern w:val="52"/>
                    <w:szCs w:val="52"/>
                  </w:rPr>
                  <w:t>中华人民共和国国家标准</w:t>
                </w:r>
              </w:p>
            </w:txbxContent>
          </v:textbox>
          <w10:anchorlock/>
        </v:shape>
      </w:pict>
    </w:r>
    <w:r>
      <w:pict>
        <v:shape id="HBPicture" o:spid="_x0000_s1029" o:spt="75" type="#_x0000_t75" style="position:absolute;left:0pt;margin-left:328.85pt;margin-top:36.85pt;height:56.7pt;width:113.4pt;mso-position-horizontal-relative:char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GB"/>
          <o:lock v:ext="edit" aspectratio="f"/>
          <w10:anchorlock/>
        </v:shape>
      </w:pict>
    </w: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AD58">
    <w:pPr>
      <w:pStyle w:val="13"/>
      <w:tabs>
        <w:tab w:val="left" w:pos="709"/>
      </w:tabs>
    </w:pPr>
    <w:r>
      <w:t xml:space="preserve">GB </w:t>
    </w:r>
    <w:permStart w:id="0" w:edGrp="everyone"/>
    <w:r>
      <w:rPr>
        <w:rFonts w:eastAsia="黑体"/>
      </w:rPr>
      <w:t>xxxx</w:t>
    </w:r>
    <w:permEnd w:id="0"/>
    <w:r>
      <w:rPr>
        <w:rFonts w:eastAsia="黑体"/>
      </w:rPr>
      <w:t>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2"/>
    <w:multiLevelType w:val="multilevel"/>
    <w:tmpl w:val="00000032"/>
    <w:lvl w:ilvl="0" w:tentative="0">
      <w:start w:val="1"/>
      <w:numFmt w:val="decimal"/>
      <w:pStyle w:val="18"/>
      <w:lvlText w:val="%1"/>
      <w:lvlJc w:val="left"/>
      <w:pPr>
        <w:ind w:left="425" w:hanging="425"/>
      </w:pPr>
      <w:rPr>
        <w:rFonts w:hint="eastAsia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default" w:ascii="黑体" w:hAnsi="黑体" w:eastAsia="黑体" w:cs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5"/>
      <w:lvlText w:val="%1.%2.%3"/>
      <w:lvlJc w:val="left"/>
      <w:pPr>
        <w:ind w:left="1418" w:hanging="567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i w:val="0"/>
        <w:sz w:val="21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i w:val="0"/>
        <w:sz w:val="21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48"/>
    <w:rsid w:val="00371AA9"/>
    <w:rsid w:val="00AE2993"/>
    <w:rsid w:val="00D96148"/>
    <w:rsid w:val="00DD04C6"/>
    <w:rsid w:val="00DD25AA"/>
    <w:rsid w:val="22653E56"/>
    <w:rsid w:val="2DD24EE6"/>
    <w:rsid w:val="3EF25354"/>
    <w:rsid w:val="41FB47D0"/>
    <w:rsid w:val="6DC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8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9">
    <w:name w:val="实施日期"/>
    <w:basedOn w:val="10"/>
    <w:qFormat/>
    <w:uiPriority w:val="0"/>
    <w:pPr>
      <w:jc w:val="right"/>
    </w:pPr>
  </w:style>
  <w:style w:type="paragraph" w:customStyle="1" w:styleId="10">
    <w:name w:val="发布日期"/>
    <w:qFormat/>
    <w:uiPriority w:val="0"/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11">
    <w:name w:val="封面标准代替信息"/>
    <w:basedOn w:val="1"/>
    <w:qFormat/>
    <w:uiPriority w:val="0"/>
    <w:pPr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hAnsi="Times New Roman" w:eastAsia="宋体" w:cs="Times New Roman"/>
      <w:kern w:val="0"/>
      <w:szCs w:val="20"/>
    </w:rPr>
  </w:style>
  <w:style w:type="paragraph" w:customStyle="1" w:styleId="12">
    <w:name w:val="标准书眉_偶数页"/>
    <w:basedOn w:val="13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5">
    <w:name w:val="章标题"/>
    <w:next w:val="14"/>
    <w:qFormat/>
    <w:uiPriority w:val="0"/>
    <w:pPr>
      <w:numPr>
        <w:ilvl w:val="2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6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7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8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9">
    <w:name w:val="封面正文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20">
    <w:name w:val="目次、标准名称标题"/>
    <w:basedOn w:val="18"/>
    <w:next w:val="14"/>
    <w:qFormat/>
    <w:uiPriority w:val="0"/>
    <w:pPr>
      <w:numPr>
        <w:numId w:val="0"/>
      </w:numPr>
      <w:spacing w:line="460" w:lineRule="exact"/>
    </w:pPr>
  </w:style>
  <w:style w:type="paragraph" w:customStyle="1" w:styleId="21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2"/>
    <customShpInfo spid="_x0000_s1031"/>
    <customShpInfo spid="_x0000_s1030"/>
    <customShpInfo spid="_x0000_s102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645</Words>
  <Characters>875</Characters>
  <Lines>7</Lines>
  <Paragraphs>2</Paragraphs>
  <TotalTime>0</TotalTime>
  <ScaleCrop>false</ScaleCrop>
  <LinksUpToDate>false</LinksUpToDate>
  <CharactersWithSpaces>969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2023-11-29T05:39:00Z</dcterms:created>
  <dc:creator>萌 李</dc:creator>
  <cp:lastModifiedBy>郭峰</cp:lastModifiedBy>
  <dcterms:modified xsi:type="dcterms:W3CDTF">2026-05-26T08:15:46Z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eyJoZGlkIjoiYjk3Nzk2Nzk2NjZkYWNlMTA2NmE3OThlYzU5M2U0ZDciLCJ1c2VySWQiOiI2NTE0NDY3ODYifQ==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A4743FBF4DD4437F8C05D7237BB121BF_12</vt:lpwstr>
  </property>
</Properties>
</file>