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7C24F">
      <w:pPr>
        <w:pStyle w:val="77"/>
        <w:framePr w:wrap="around" w:vAnchor="margin" w:hAnchor="text" w:y="1"/>
        <w:ind w:left="0"/>
      </w:pPr>
      <w:bookmarkStart w:id="90" w:name="_GoBack"/>
      <w:bookmarkEnd w:id="90"/>
      <w:r>
        <w:t>ICS    XX</w:t>
      </w:r>
    </w:p>
    <w:p w14:paraId="3537C250">
      <w:pPr>
        <w:pStyle w:val="132"/>
        <w:framePr w:wrap="around"/>
        <w:rPr>
          <w:rFonts w:ascii="Times New Roman"/>
        </w:rPr>
      </w:pPr>
      <w:r>
        <w:rPr>
          <w:rFonts w:ascii="Times New Roman"/>
        </w:rPr>
        <w:t>CCS    XX</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8"/>
      </w:tblGrid>
      <w:tr w14:paraId="3537C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3537C251">
            <w:pPr>
              <w:pStyle w:val="132"/>
              <w:framePr w:wrap="around"/>
              <w:rPr>
                <w:rFonts w:ascii="Times New Roman"/>
              </w:rPr>
            </w:pPr>
          </w:p>
        </w:tc>
      </w:tr>
    </w:tbl>
    <w:p w14:paraId="3537C253">
      <w:pPr>
        <w:pStyle w:val="119"/>
        <w:framePr w:wrap="around"/>
        <w:rPr>
          <w:rFonts w:ascii="Times New Roman" w:hAnsi="Times New Roman"/>
        </w:rPr>
      </w:pPr>
      <w:r>
        <w:rPr>
          <w:rFonts w:ascii="Times New Roman" w:hAnsi="Times New Roman"/>
          <w:sz w:val="72"/>
          <w:szCs w:val="96"/>
        </w:rPr>
        <w:t>团体标准</w:t>
      </w:r>
    </w:p>
    <w:p w14:paraId="3537C254">
      <w:pPr>
        <w:pStyle w:val="56"/>
        <w:framePr w:wrap="around" w:x="1600" w:y="3009"/>
        <w:rPr>
          <w:rFonts w:ascii="Times New Roman"/>
        </w:rPr>
      </w:pPr>
      <w:r>
        <w:rPr>
          <w:rFonts w:ascii="Times New Roman"/>
        </w:rPr>
        <w:t>T/CAFFCI</w:t>
      </w:r>
      <w:bookmarkStart w:id="0" w:name="StdNo1"/>
      <w:r>
        <w:rPr>
          <w:rFonts w:ascii="Times New Roman"/>
        </w:rPr>
        <w:t xml:space="preserve"> </w:t>
      </w:r>
      <w:r>
        <w:rPr>
          <w:rFonts w:ascii="Times New Roman"/>
        </w:rPr>
        <w:fldChar w:fldCharType="begin">
          <w:ffData>
            <w:name w:val="StdNo1"/>
            <w:enabled/>
            <w:calcOnExit w:val="0"/>
            <w:textInput>
              <w:default w:val="XXXXX"/>
            </w:textInput>
          </w:ffData>
        </w:fldChar>
      </w:r>
      <w:r>
        <w:rPr>
          <w:rFonts w:ascii="Times New Roman"/>
        </w:rPr>
        <w:instrText xml:space="preserve"> FORMTEXT </w:instrText>
      </w:r>
      <w:r>
        <w:rPr>
          <w:rFonts w:ascii="Times New Roman"/>
        </w:rPr>
        <w:fldChar w:fldCharType="separate"/>
      </w:r>
      <w:r>
        <w:rPr>
          <w:rFonts w:ascii="Times New Roman"/>
        </w:rPr>
        <w:t>XXXXX</w:t>
      </w:r>
      <w:r>
        <w:rPr>
          <w:rFonts w:ascii="Times New Roman"/>
        </w:rPr>
        <w:fldChar w:fldCharType="end"/>
      </w:r>
      <w:bookmarkEnd w:id="0"/>
      <w:r>
        <w:rPr>
          <w:rFonts w:ascii="Times New Roman"/>
        </w:rPr>
        <w:t>—XXXX</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3537C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537C255">
            <w:pPr>
              <w:pStyle w:val="85"/>
              <w:framePr w:wrap="around" w:x="1600" w:y="3009"/>
              <w:rPr>
                <w:rFonts w:ascii="Times New Roman"/>
              </w:rPr>
            </w:pPr>
            <w:bookmarkStart w:id="1" w:name="DT"/>
            <w:r>
              <w:rPr>
                <w:rFonts w:ascii="Times New Roman"/>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635" t="0" r="0" b="381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5g8svWAAAACAEAAA8A&#10;AAAAAAAAAQAgAAAAIgAAAGRycy9kb3ducmV2LnhtbFBLAQIUABQAAAAIAIdO4kCLJnv+GQIAACYE&#10;AAAOAAAAAAAAAAEAIAAAACUBAABkcnMvZTJvRG9jLnhtbFBLBQYAAAAABgAGAFkBAACwBQAAAAA=&#10;">
                      <v:fill on="t" focussize="0,0"/>
                      <v:stroke on="f"/>
                      <v:imagedata o:title=""/>
                      <o:lock v:ext="edit" aspectratio="f"/>
                    </v:rect>
                  </w:pict>
                </mc:Fallback>
              </mc:AlternateContent>
            </w:r>
            <w:r>
              <w:rPr>
                <w:rFonts w:ascii="Times New Roman"/>
              </w:rPr>
              <w:fldChar w:fldCharType="begin">
                <w:ffData>
                  <w:name w:val="DT"/>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1"/>
          </w:p>
        </w:tc>
      </w:tr>
    </w:tbl>
    <w:p w14:paraId="3537C257">
      <w:pPr>
        <w:pStyle w:val="56"/>
        <w:framePr w:wrap="around" w:x="1600" w:y="3009"/>
        <w:rPr>
          <w:rFonts w:ascii="Times New Roman"/>
        </w:rPr>
      </w:pPr>
    </w:p>
    <w:p w14:paraId="3537C258">
      <w:pPr>
        <w:pStyle w:val="56"/>
        <w:framePr w:wrap="around" w:x="1600" w:y="3009"/>
        <w:rPr>
          <w:rFonts w:ascii="Times New Roman"/>
        </w:rPr>
      </w:pPr>
    </w:p>
    <w:p w14:paraId="3537C259">
      <w:pPr>
        <w:pStyle w:val="87"/>
        <w:framePr w:wrap="around" w:x="1458" w:y="5750"/>
        <w:rPr>
          <w:rFonts w:ascii="Times New Roman"/>
        </w:rPr>
      </w:pPr>
      <w:r>
        <w:rPr>
          <w:rFonts w:ascii="Times New Roman"/>
        </w:rPr>
        <w:t>香料香精化妆品</w:t>
      </w:r>
      <w:r>
        <w:rPr>
          <w:rFonts w:hint="eastAsia" w:ascii="Times New Roman"/>
        </w:rPr>
        <w:t>行业</w:t>
      </w:r>
      <w:r>
        <w:rPr>
          <w:rFonts w:ascii="Times New Roman"/>
        </w:rPr>
        <w:t>产品碳足迹核算</w:t>
      </w:r>
      <w:r>
        <w:rPr>
          <w:rFonts w:hint="eastAsia" w:ascii="Times New Roman"/>
        </w:rPr>
        <w:t>指南</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3537C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tcPr>
          <w:p w14:paraId="3537C25A">
            <w:pPr>
              <w:pStyle w:val="90"/>
              <w:framePr w:wrap="around" w:x="1458" w:y="5750"/>
              <w:rPr>
                <w:rFonts w:ascii="Times New Roman"/>
              </w:rPr>
            </w:pPr>
            <w:r>
              <w:rPr>
                <w:rFonts w:ascii="Times New Roman"/>
              </w:rPr>
              <w:t>Calculation Guideline for Product Carbon Footprint in Fragrance, Flavor, and Cosmetics Industr</w:t>
            </w:r>
            <w:r>
              <w:rPr>
                <w:rFonts w:hint="eastAsia" w:ascii="Times New Roman"/>
                <w:lang w:val="en-US" w:eastAsia="zh-CN"/>
              </w:rPr>
              <w:t>ies</w:t>
            </w:r>
            <w:r>
              <w:rPr>
                <w:rFonts w:ascii="Times New Roman"/>
              </w:rPr>
              <w:t xml:space="preserve">  </w:t>
            </w:r>
          </w:p>
          <w:p w14:paraId="16B3F9E1">
            <w:pPr>
              <w:framePr w:wrap="around" w:vAnchor="margin" w:hAnchor="text" w:x="1458" w:y="5750"/>
              <w:ind w:left="-1418"/>
              <w:rPr>
                <w:rFonts w:hint="eastAsia" w:ascii="黑体" w:hAnsi="黑体" w:eastAsia="黑体" w:cs="黑体"/>
                <w:color w:val="auto"/>
                <w:highlight w:val="none"/>
              </w:rPr>
            </w:pPr>
          </w:p>
          <w:p w14:paraId="1185DFFE">
            <w:pPr>
              <w:pStyle w:val="88"/>
              <w:framePr w:wrap="around" w:x="1458" w:y="5750"/>
              <w:spacing w:line="400" w:lineRule="exact"/>
              <w:textAlignment w:val="bottom"/>
              <w:rPr>
                <w:rFonts w:eastAsia="黑体"/>
                <w:color w:val="auto"/>
                <w:szCs w:val="28"/>
                <w:highlight w:val="none"/>
              </w:rPr>
            </w:pPr>
            <w:r>
              <w:rPr>
                <w:rFonts w:eastAsia="黑体"/>
                <w:color w:val="auto"/>
                <w:szCs w:val="28"/>
                <w:highlight w:val="none"/>
              </w:rPr>
              <w:t>（</w:t>
            </w:r>
            <w:r>
              <w:rPr>
                <w:rFonts w:hint="eastAsia" w:eastAsia="黑体"/>
                <w:color w:val="auto"/>
                <w:szCs w:val="28"/>
                <w:highlight w:val="none"/>
                <w:lang w:val="en-US" w:eastAsia="zh-CN"/>
              </w:rPr>
              <w:t>征求意见稿</w:t>
            </w:r>
            <w:r>
              <w:rPr>
                <w:rFonts w:eastAsia="黑体"/>
                <w:color w:val="auto"/>
                <w:szCs w:val="28"/>
                <w:highlight w:val="none"/>
              </w:rPr>
              <w:t>）</w:t>
            </w:r>
          </w:p>
          <w:p w14:paraId="261E7F12">
            <w:pPr>
              <w:pStyle w:val="90"/>
              <w:framePr w:wrap="around" w:x="1458" w:y="5750"/>
              <w:rPr>
                <w:rFonts w:ascii="Times New Roman"/>
              </w:rPr>
            </w:pPr>
          </w:p>
          <w:p w14:paraId="3537C25B">
            <w:pPr>
              <w:pStyle w:val="90"/>
              <w:framePr w:wrap="around" w:x="1458" w:y="5750"/>
              <w:rPr>
                <w:rFonts w:ascii="Times New Roman" w:eastAsia="楷体"/>
                <w:sz w:val="32"/>
                <w:szCs w:val="32"/>
              </w:rPr>
            </w:pPr>
          </w:p>
        </w:tc>
      </w:tr>
      <w:tr w14:paraId="3537C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tcPr>
          <w:p w14:paraId="3537C25D">
            <w:pPr>
              <w:pStyle w:val="91"/>
              <w:framePr w:wrap="around" w:x="1458" w:y="5750"/>
              <w:rPr>
                <w:rFonts w:ascii="Times New Roman"/>
              </w:rPr>
            </w:pPr>
          </w:p>
        </w:tc>
      </w:tr>
    </w:tbl>
    <w:p w14:paraId="3537C25F">
      <w:pPr>
        <w:pStyle w:val="139"/>
        <w:framePr w:wrap="around" w:hAnchor="page" w:x="1394"/>
      </w:pPr>
      <w:r>
        <w:t xml:space="preserve">202X- </w:t>
      </w:r>
      <w:r>
        <w:fldChar w:fldCharType="begin">
          <w:ffData>
            <w:name w:val="FM"/>
            <w:enabled/>
            <w:calcOnExit w:val="0"/>
            <w:textInput>
              <w:default w:val="XX"/>
              <w:maxLength w:val="2"/>
            </w:textInput>
          </w:ffData>
        </w:fldChar>
      </w:r>
      <w:r>
        <w:instrText xml:space="preserve"> FORMTEXT </w:instrText>
      </w:r>
      <w:r>
        <w:fldChar w:fldCharType="separate"/>
      </w:r>
      <w:r>
        <w:t>XX</w:t>
      </w:r>
      <w:r>
        <w:fldChar w:fldCharType="end"/>
      </w:r>
      <w:r>
        <w:t xml:space="preserve"> - </w:t>
      </w:r>
      <w:bookmarkStart w:id="2" w:name="FD"/>
      <w:r>
        <w:fldChar w:fldCharType="begin">
          <w:ffData>
            <w:name w:val="FD"/>
            <w:enabled/>
            <w:calcOnExit w:val="0"/>
            <w:textInput>
              <w:default w:val="XX"/>
              <w:maxLength w:val="2"/>
            </w:textInput>
          </w:ffData>
        </w:fldChar>
      </w:r>
      <w:r>
        <w:instrText xml:space="preserve"> FORMTEXT </w:instrText>
      </w:r>
      <w:r>
        <w:fldChar w:fldCharType="separate"/>
      </w:r>
      <w:r>
        <w:t>XX</w:t>
      </w:r>
      <w:r>
        <w:fldChar w:fldCharType="end"/>
      </w:r>
      <w:bookmarkEnd w:id="2"/>
      <w:r>
        <w:t>发布</w:t>
      </w:r>
      <w: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8890" t="12700" r="5080" b="63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WHazzWAAAACwEA&#10;AA8AAAAAAAAAAQAgAAAAIgAAAGRycy9kb3ducmV2LnhtbFBLAQIUABQAAAAIAIdO4kCZX1Sg4wEA&#10;AKoDAAAOAAAAAAAAAAEAIAAAACUBAABkcnMvZTJvRG9jLnhtbFBLBQYAAAAABgAGAFkBAAB6BQAA&#10;AAA=&#10;">
                <v:fill on="f" focussize="0,0"/>
                <v:stroke color="#000000" joinstyle="round"/>
                <v:imagedata o:title=""/>
                <o:lock v:ext="edit" aspectratio="f"/>
                <w10:anchorlock/>
              </v:line>
            </w:pict>
          </mc:Fallback>
        </mc:AlternateContent>
      </w:r>
    </w:p>
    <w:p w14:paraId="3537C260">
      <w:pPr>
        <w:pStyle w:val="140"/>
        <w:framePr w:wrap="around" w:hAnchor="page" w:x="6989" w:y="14078"/>
      </w:pPr>
      <w:r>
        <w:t xml:space="preserve">202X- </w:t>
      </w:r>
      <w:bookmarkStart w:id="3" w:name="SM"/>
      <w:r>
        <w:fldChar w:fldCharType="begin">
          <w:ffData>
            <w:name w:val="SM"/>
            <w:enabled/>
            <w:calcOnExit w:val="0"/>
            <w:textInput>
              <w:default w:val="XX"/>
              <w:maxLength w:val="2"/>
            </w:textInput>
          </w:ffData>
        </w:fldChar>
      </w:r>
      <w:r>
        <w:instrText xml:space="preserve"> FORMTEXT </w:instrText>
      </w:r>
      <w:r>
        <w:fldChar w:fldCharType="separate"/>
      </w:r>
      <w:r>
        <w:t>XX</w:t>
      </w:r>
      <w:r>
        <w:fldChar w:fldCharType="end"/>
      </w:r>
      <w:bookmarkEnd w:id="3"/>
      <w:r>
        <w:t xml:space="preserve"> - </w:t>
      </w:r>
      <w:bookmarkStart w:id="4" w:name="SD"/>
      <w:r>
        <w:fldChar w:fldCharType="begin">
          <w:ffData>
            <w:name w:val="SD"/>
            <w:enabled/>
            <w:calcOnExit w:val="0"/>
            <w:textInput>
              <w:default w:val="XX"/>
              <w:maxLength w:val="2"/>
            </w:textInput>
          </w:ffData>
        </w:fldChar>
      </w:r>
      <w:r>
        <w:instrText xml:space="preserve"> FORMTEXT </w:instrText>
      </w:r>
      <w:r>
        <w:fldChar w:fldCharType="separate"/>
      </w:r>
      <w:r>
        <w:t>XX</w:t>
      </w:r>
      <w:r>
        <w:fldChar w:fldCharType="end"/>
      </w:r>
      <w:bookmarkEnd w:id="4"/>
      <w:r>
        <w:t>实施</w:t>
      </w:r>
    </w:p>
    <w:p w14:paraId="3537C261">
      <w:pPr>
        <w:pStyle w:val="120"/>
        <w:framePr w:wrap="around"/>
        <w:rPr>
          <w:rFonts w:ascii="Times New Roman"/>
        </w:rPr>
      </w:pPr>
      <w:r>
        <w:rPr>
          <w:rFonts w:ascii="Times New Roman"/>
        </w:rPr>
        <w:t>中国香料香精化妆品工业协会   </w:t>
      </w:r>
      <w:r>
        <w:rPr>
          <w:rStyle w:val="82"/>
          <w:rFonts w:ascii="Times New Roman"/>
        </w:rPr>
        <w:t>发布</w:t>
      </w:r>
    </w:p>
    <w:p w14:paraId="3537C262">
      <w:pPr>
        <w:pStyle w:val="27"/>
        <w:rPr>
          <w:rFonts w:ascii="Times New Roman"/>
        </w:rPr>
        <w:sectPr>
          <w:headerReference r:id="rId5" w:type="first"/>
          <w:footerReference r:id="rId7" w:type="first"/>
          <w:headerReference r:id="rId3" w:type="default"/>
          <w:headerReference r:id="rId4" w:type="even"/>
          <w:footerReference r:id="rId6" w:type="even"/>
          <w:pgSz w:w="11906" w:h="16838"/>
          <w:pgMar w:top="567" w:right="850" w:bottom="1134" w:left="1418" w:header="0" w:footer="0" w:gutter="0"/>
          <w:pgNumType w:start="1"/>
          <w:cols w:space="425" w:num="1"/>
          <w:docGrid w:type="lines" w:linePitch="312" w:charSpace="0"/>
        </w:sectPr>
      </w:pPr>
      <w:r>
        <w:rPr>
          <w:rFonts w:ascii="Times New Roman"/>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2430780</wp:posOffset>
                </wp:positionV>
                <wp:extent cx="6120130" cy="0"/>
                <wp:effectExtent l="8890" t="6350" r="5080" b="127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191.4pt;height:0pt;width:481.9pt;z-index:251663360;mso-width-relative:page;mso-height-relative:page;" filled="f" stroked="t" coordsize="21600,21600" o:gfxdata="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v6LzNYAAAAJAQAA&#10;DwAAAAAAAAABACAAAAAiAAAAZHJzL2Rvd25yZXYueG1sUEsBAhQAFAAAAAgAh07iQE3UVwTiAQAA&#10;qgMAAA4AAAAAAAAAAQAgAAAAJQEAAGRycy9lMm9Eb2MueG1sUEsFBgAAAAAGAAYAWQEAAHkFAAAA&#10;AA==&#10;">
                <v:fill on="f" focussize="0,0"/>
                <v:stroke color="#000000" joinstyle="round"/>
                <v:imagedata o:title=""/>
                <o:lock v:ext="edit" aspectratio="f"/>
              </v:line>
            </w:pict>
          </mc:Fallback>
        </mc:AlternateContent>
      </w:r>
      <w:r>
        <w:rPr>
          <w:rFonts w:ascii="Times New Roman"/>
        </w:rPr>
        <mc:AlternateContent>
          <mc:Choice Requires="wps">
            <w:drawing>
              <wp:anchor distT="0" distB="0" distL="114300" distR="114300" simplePos="0" relativeHeight="251662336" behindDoc="0" locked="0" layoutInCell="1" allowOverlap="1">
                <wp:simplePos x="0" y="0"/>
                <wp:positionH relativeFrom="column">
                  <wp:posOffset>-33655</wp:posOffset>
                </wp:positionH>
                <wp:positionV relativeFrom="paragraph">
                  <wp:posOffset>8945880</wp:posOffset>
                </wp:positionV>
                <wp:extent cx="611505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115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65pt;margin-top:704.4pt;height:0pt;width:481.5pt;z-index:251662336;mso-width-relative:page;mso-height-relative:page;" filled="f" stroked="t" coordsize="21600,21600" o:gfxdata="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li9rPXAAAADAEAAA8AAAAAAAAAAQAgAAAAIgAAAGRycy9kb3ducmV2LnhtbFBLAQIUABQAAAAI&#10;AIdO4kB2bMgC7gEAANQDAAAOAAAAAAAAAAEAIAAAACYBAABkcnMvZTJvRG9jLnhtbFBLBQYAAAAA&#10;BgAGAFkBAACGBQAAAAA=&#10;">
                <v:fill on="f" focussize="0,0"/>
                <v:stroke weight="1.5pt" color="#000000 [3200]" joinstyle="round"/>
                <v:imagedata o:title=""/>
                <o:lock v:ext="edit" aspectratio="f"/>
              </v:line>
            </w:pict>
          </mc:Fallback>
        </mc:AlternateContent>
      </w:r>
    </w:p>
    <w:p w14:paraId="3537C263">
      <w:pPr>
        <w:pStyle w:val="121"/>
        <w:tabs>
          <w:tab w:val="right" w:leader="dot" w:pos="9354"/>
        </w:tabs>
        <w:spacing w:line="360" w:lineRule="auto"/>
        <w:outlineLvl w:val="9"/>
        <w:rPr>
          <w:rFonts w:ascii="Times New Roman"/>
        </w:rPr>
      </w:pPr>
      <w:r>
        <w:rPr>
          <w:rFonts w:hint="eastAsia" w:ascii="Times New Roman"/>
        </w:rPr>
        <w:t>目</w:t>
      </w:r>
      <w:r>
        <w:rPr>
          <w:rFonts w:ascii="Times New Roman"/>
        </w:rPr>
        <w:t xml:space="preserve"> </w:t>
      </w:r>
      <w:r>
        <w:rPr>
          <w:rFonts w:hint="eastAsia" w:ascii="Times New Roman"/>
        </w:rPr>
        <w:t>录</w:t>
      </w:r>
    </w:p>
    <w:p w14:paraId="3537C264">
      <w:pPr>
        <w:pStyle w:val="23"/>
        <w:tabs>
          <w:tab w:val="right" w:leader="dot" w:pos="9354"/>
          <w:tab w:val="clear" w:pos="9242"/>
        </w:tabs>
        <w:spacing w:before="78" w:after="78"/>
      </w:pPr>
      <w:r>
        <w:fldChar w:fldCharType="begin"/>
      </w:r>
      <w:r>
        <w:instrText xml:space="preserve">TOC \o "1-1" \h \u </w:instrText>
      </w:r>
      <w:r>
        <w:fldChar w:fldCharType="separate"/>
      </w:r>
      <w:r>
        <w:fldChar w:fldCharType="begin"/>
      </w:r>
      <w:r>
        <w:instrText xml:space="preserve"> HYPERLINK \l "_Toc6276" </w:instrText>
      </w:r>
      <w:r>
        <w:fldChar w:fldCharType="separate"/>
      </w:r>
      <w:r>
        <w:rPr>
          <w:rFonts w:hint="eastAsia" w:ascii="黑体" w:eastAsia="黑体"/>
        </w:rPr>
        <w:t xml:space="preserve">1 </w:t>
      </w:r>
      <w:r>
        <w:rPr>
          <w:rFonts w:ascii="Times New Roman"/>
        </w:rPr>
        <w:t>范围</w:t>
      </w:r>
      <w:r>
        <w:tab/>
      </w:r>
      <w:r>
        <w:fldChar w:fldCharType="begin"/>
      </w:r>
      <w:r>
        <w:instrText xml:space="preserve"> PAGEREF _Toc6276 \h </w:instrText>
      </w:r>
      <w:r>
        <w:fldChar w:fldCharType="separate"/>
      </w:r>
      <w:r>
        <w:t>1</w:t>
      </w:r>
      <w:r>
        <w:fldChar w:fldCharType="end"/>
      </w:r>
      <w:r>
        <w:fldChar w:fldCharType="end"/>
      </w:r>
    </w:p>
    <w:p w14:paraId="3537C265">
      <w:pPr>
        <w:pStyle w:val="23"/>
        <w:tabs>
          <w:tab w:val="right" w:leader="dot" w:pos="9354"/>
          <w:tab w:val="clear" w:pos="9242"/>
        </w:tabs>
        <w:spacing w:before="78" w:after="78"/>
      </w:pPr>
      <w:r>
        <w:fldChar w:fldCharType="begin"/>
      </w:r>
      <w:r>
        <w:instrText xml:space="preserve"> HYPERLINK \l "_Toc32339" </w:instrText>
      </w:r>
      <w:r>
        <w:fldChar w:fldCharType="separate"/>
      </w:r>
      <w:r>
        <w:rPr>
          <w:rFonts w:hint="eastAsia" w:ascii="黑体" w:eastAsia="黑体"/>
        </w:rPr>
        <w:t xml:space="preserve">2 </w:t>
      </w:r>
      <w:r>
        <w:rPr>
          <w:rFonts w:ascii="Times New Roman"/>
        </w:rPr>
        <w:t>规范性引用文件</w:t>
      </w:r>
      <w:r>
        <w:tab/>
      </w:r>
      <w:r>
        <w:fldChar w:fldCharType="begin"/>
      </w:r>
      <w:r>
        <w:instrText xml:space="preserve"> PAGEREF _Toc32339 \h </w:instrText>
      </w:r>
      <w:r>
        <w:fldChar w:fldCharType="separate"/>
      </w:r>
      <w:r>
        <w:t>1</w:t>
      </w:r>
      <w:r>
        <w:fldChar w:fldCharType="end"/>
      </w:r>
      <w:r>
        <w:fldChar w:fldCharType="end"/>
      </w:r>
    </w:p>
    <w:p w14:paraId="3537C266">
      <w:pPr>
        <w:pStyle w:val="23"/>
        <w:tabs>
          <w:tab w:val="right" w:leader="dot" w:pos="9354"/>
          <w:tab w:val="clear" w:pos="9242"/>
        </w:tabs>
        <w:spacing w:before="78" w:after="78"/>
      </w:pPr>
      <w:r>
        <w:fldChar w:fldCharType="begin"/>
      </w:r>
      <w:r>
        <w:instrText xml:space="preserve"> HYPERLINK \l "_Toc30146" </w:instrText>
      </w:r>
      <w:r>
        <w:fldChar w:fldCharType="separate"/>
      </w:r>
      <w:r>
        <w:rPr>
          <w:rFonts w:hint="eastAsia" w:ascii="黑体" w:eastAsia="黑体"/>
        </w:rPr>
        <w:t xml:space="preserve">3 </w:t>
      </w:r>
      <w:r>
        <w:rPr>
          <w:rFonts w:ascii="Times New Roman"/>
        </w:rPr>
        <w:t>术语和定义</w:t>
      </w:r>
      <w:r>
        <w:tab/>
      </w:r>
      <w:r>
        <w:fldChar w:fldCharType="begin"/>
      </w:r>
      <w:r>
        <w:instrText xml:space="preserve"> PAGEREF _Toc30146 \h </w:instrText>
      </w:r>
      <w:r>
        <w:fldChar w:fldCharType="separate"/>
      </w:r>
      <w:r>
        <w:t>2</w:t>
      </w:r>
      <w:r>
        <w:fldChar w:fldCharType="end"/>
      </w:r>
      <w:r>
        <w:fldChar w:fldCharType="end"/>
      </w:r>
    </w:p>
    <w:p w14:paraId="3537C267">
      <w:pPr>
        <w:pStyle w:val="23"/>
        <w:tabs>
          <w:tab w:val="right" w:leader="dot" w:pos="9354"/>
          <w:tab w:val="clear" w:pos="9242"/>
        </w:tabs>
        <w:spacing w:before="78" w:after="78"/>
      </w:pPr>
      <w:r>
        <w:fldChar w:fldCharType="begin"/>
      </w:r>
      <w:r>
        <w:instrText xml:space="preserve"> HYPERLINK \l "_Toc6608" </w:instrText>
      </w:r>
      <w:r>
        <w:fldChar w:fldCharType="separate"/>
      </w:r>
      <w:r>
        <w:rPr>
          <w:rFonts w:hint="eastAsia" w:ascii="黑体" w:eastAsia="黑体"/>
        </w:rPr>
        <w:t xml:space="preserve">4 </w:t>
      </w:r>
      <w:r>
        <w:rPr>
          <w:rFonts w:ascii="Times New Roman"/>
        </w:rPr>
        <w:t>基本原则</w:t>
      </w:r>
      <w:r>
        <w:tab/>
      </w:r>
      <w:r>
        <w:fldChar w:fldCharType="begin"/>
      </w:r>
      <w:r>
        <w:instrText xml:space="preserve"> PAGEREF _Toc6608 \h </w:instrText>
      </w:r>
      <w:r>
        <w:fldChar w:fldCharType="separate"/>
      </w:r>
      <w:r>
        <w:t>4</w:t>
      </w:r>
      <w:r>
        <w:fldChar w:fldCharType="end"/>
      </w:r>
      <w:r>
        <w:fldChar w:fldCharType="end"/>
      </w:r>
    </w:p>
    <w:p w14:paraId="3537C268">
      <w:pPr>
        <w:pStyle w:val="23"/>
        <w:tabs>
          <w:tab w:val="right" w:leader="dot" w:pos="9354"/>
          <w:tab w:val="clear" w:pos="9242"/>
        </w:tabs>
        <w:spacing w:before="78" w:after="78"/>
      </w:pPr>
      <w:r>
        <w:fldChar w:fldCharType="begin"/>
      </w:r>
      <w:r>
        <w:instrText xml:space="preserve"> HYPERLINK \l "_Toc16326" </w:instrText>
      </w:r>
      <w:r>
        <w:fldChar w:fldCharType="separate"/>
      </w:r>
      <w:r>
        <w:rPr>
          <w:rFonts w:hint="eastAsia" w:ascii="黑体" w:eastAsia="黑体"/>
        </w:rPr>
        <w:t xml:space="preserve">5 </w:t>
      </w:r>
      <w:r>
        <w:rPr>
          <w:rFonts w:hint="eastAsia" w:ascii="Times New Roman"/>
        </w:rPr>
        <w:t>产品碳足迹核算与数据管理方法</w:t>
      </w:r>
      <w:r>
        <w:tab/>
      </w:r>
      <w:r>
        <w:fldChar w:fldCharType="begin"/>
      </w:r>
      <w:r>
        <w:instrText xml:space="preserve"> PAGEREF _Toc16326 \h </w:instrText>
      </w:r>
      <w:r>
        <w:fldChar w:fldCharType="separate"/>
      </w:r>
      <w:r>
        <w:t>5</w:t>
      </w:r>
      <w:r>
        <w:fldChar w:fldCharType="end"/>
      </w:r>
      <w:r>
        <w:fldChar w:fldCharType="end"/>
      </w:r>
    </w:p>
    <w:p w14:paraId="3537C269">
      <w:pPr>
        <w:pStyle w:val="23"/>
        <w:tabs>
          <w:tab w:val="right" w:leader="dot" w:pos="9354"/>
          <w:tab w:val="clear" w:pos="9242"/>
        </w:tabs>
        <w:spacing w:before="78" w:after="78"/>
      </w:pPr>
      <w:r>
        <w:fldChar w:fldCharType="begin"/>
      </w:r>
      <w:r>
        <w:instrText xml:space="preserve"> HYPERLINK \l "_Toc17394" </w:instrText>
      </w:r>
      <w:r>
        <w:fldChar w:fldCharType="separate"/>
      </w:r>
      <w:r>
        <w:rPr>
          <w:rFonts w:hint="eastAsia" w:ascii="黑体" w:eastAsia="黑体"/>
        </w:rPr>
        <w:t xml:space="preserve">6 </w:t>
      </w:r>
      <w:r>
        <w:rPr>
          <w:rFonts w:hint="eastAsia" w:ascii="Times New Roman"/>
        </w:rPr>
        <w:t>产品碳足迹报告</w:t>
      </w:r>
      <w:r>
        <w:tab/>
      </w:r>
      <w:r>
        <w:fldChar w:fldCharType="begin"/>
      </w:r>
      <w:r>
        <w:instrText xml:space="preserve"> PAGEREF _Toc17394 \h </w:instrText>
      </w:r>
      <w:r>
        <w:fldChar w:fldCharType="separate"/>
      </w:r>
      <w:r>
        <w:t>17</w:t>
      </w:r>
      <w:r>
        <w:fldChar w:fldCharType="end"/>
      </w:r>
      <w:r>
        <w:fldChar w:fldCharType="end"/>
      </w:r>
    </w:p>
    <w:p w14:paraId="3537C26A">
      <w:pPr>
        <w:pStyle w:val="23"/>
        <w:tabs>
          <w:tab w:val="right" w:leader="dot" w:pos="9354"/>
          <w:tab w:val="clear" w:pos="9242"/>
        </w:tabs>
        <w:spacing w:before="78" w:after="78"/>
      </w:pPr>
      <w:r>
        <w:fldChar w:fldCharType="begin"/>
      </w:r>
      <w:r>
        <w:instrText xml:space="preserve"> HYPERLINK \l "_Toc4083" </w:instrText>
      </w:r>
      <w:r>
        <w:fldChar w:fldCharType="separate"/>
      </w:r>
      <w:r>
        <w:rPr>
          <w:rFonts w:hAnsi="宋体" w:cs="宋体"/>
        </w:rPr>
        <w:t>附录A</w:t>
      </w:r>
      <w:r>
        <w:rPr>
          <w:rFonts w:hint="eastAsia" w:hAnsi="宋体" w:cs="宋体"/>
        </w:rPr>
        <w:t xml:space="preserve"> </w:t>
      </w:r>
      <w:r>
        <w:rPr>
          <w:rFonts w:hint="eastAsia" w:hAnsi="宋体" w:cs="宋体"/>
        </w:rPr>
        <w:fldChar w:fldCharType="end"/>
      </w:r>
      <w:r>
        <w:fldChar w:fldCharType="begin"/>
      </w:r>
      <w:r>
        <w:instrText xml:space="preserve"> HYPERLINK \l "_Toc12886" </w:instrText>
      </w:r>
      <w:r>
        <w:fldChar w:fldCharType="separate"/>
      </w:r>
      <w:r>
        <w:rPr>
          <w:rFonts w:hint="eastAsia" w:hAnsi="宋体" w:cs="宋体"/>
          <w:szCs w:val="32"/>
        </w:rPr>
        <w:t>香料香精化妆品产品碳足迹报告模板</w:t>
      </w:r>
      <w:r>
        <w:tab/>
      </w:r>
      <w:r>
        <w:fldChar w:fldCharType="begin"/>
      </w:r>
      <w:r>
        <w:instrText xml:space="preserve"> PAGEREF _Toc12886 \h </w:instrText>
      </w:r>
      <w:r>
        <w:fldChar w:fldCharType="separate"/>
      </w:r>
      <w:r>
        <w:t>19</w:t>
      </w:r>
      <w:r>
        <w:fldChar w:fldCharType="end"/>
      </w:r>
      <w:r>
        <w:fldChar w:fldCharType="end"/>
      </w:r>
    </w:p>
    <w:p w14:paraId="3537C26B">
      <w:pPr>
        <w:pStyle w:val="23"/>
        <w:tabs>
          <w:tab w:val="right" w:leader="dot" w:pos="9354"/>
          <w:tab w:val="clear" w:pos="9242"/>
        </w:tabs>
        <w:spacing w:before="78" w:after="78"/>
      </w:pPr>
      <w:r>
        <w:fldChar w:fldCharType="begin"/>
      </w:r>
      <w:r>
        <w:instrText xml:space="preserve"> HYPERLINK \l "_Toc18473" </w:instrText>
      </w:r>
      <w:r>
        <w:fldChar w:fldCharType="separate"/>
      </w:r>
      <w:r>
        <w:rPr>
          <w:rFonts w:hint="eastAsia" w:hAnsi="宋体" w:cs="宋体"/>
        </w:rPr>
        <w:t>附录B 产品碳足迹数据采集模板（按层级）</w:t>
      </w:r>
      <w:r>
        <w:tab/>
      </w:r>
      <w:r>
        <w:fldChar w:fldCharType="begin"/>
      </w:r>
      <w:r>
        <w:instrText xml:space="preserve"> PAGEREF _Toc18473 \h </w:instrText>
      </w:r>
      <w:r>
        <w:fldChar w:fldCharType="separate"/>
      </w:r>
      <w:r>
        <w:t>23</w:t>
      </w:r>
      <w:r>
        <w:fldChar w:fldCharType="end"/>
      </w:r>
      <w:r>
        <w:fldChar w:fldCharType="end"/>
      </w:r>
    </w:p>
    <w:p w14:paraId="3537C26C">
      <w:pPr>
        <w:pStyle w:val="23"/>
        <w:tabs>
          <w:tab w:val="right" w:leader="dot" w:pos="9354"/>
          <w:tab w:val="clear" w:pos="9242"/>
        </w:tabs>
        <w:spacing w:before="78" w:after="78"/>
      </w:pPr>
      <w:r>
        <w:fldChar w:fldCharType="begin"/>
      </w:r>
      <w:r>
        <w:instrText xml:space="preserve"> HYPERLINK \l "_Toc7978" </w:instrText>
      </w:r>
      <w:r>
        <w:fldChar w:fldCharType="separate"/>
      </w:r>
      <w:r>
        <w:rPr>
          <w:rFonts w:hint="eastAsia" w:hAnsi="宋体" w:cs="宋体"/>
          <w:lang w:eastAsia="en-US"/>
        </w:rPr>
        <w:t>附录C</w:t>
      </w:r>
      <w:r>
        <w:rPr>
          <w:rFonts w:hint="eastAsia" w:hAnsi="宋体" w:cs="宋体"/>
        </w:rPr>
        <w:t xml:space="preserve"> </w:t>
      </w:r>
      <w:r>
        <w:rPr>
          <w:rFonts w:hint="eastAsia" w:hAnsi="宋体" w:cs="宋体"/>
          <w:lang w:eastAsia="en-US"/>
        </w:rPr>
        <w:t>全球变暖潜势（GWP）</w:t>
      </w:r>
      <w:r>
        <w:tab/>
      </w:r>
      <w:r>
        <w:fldChar w:fldCharType="begin"/>
      </w:r>
      <w:r>
        <w:instrText xml:space="preserve"> PAGEREF _Toc7978 \h </w:instrText>
      </w:r>
      <w:r>
        <w:fldChar w:fldCharType="separate"/>
      </w:r>
      <w:r>
        <w:t>25</w:t>
      </w:r>
      <w:r>
        <w:fldChar w:fldCharType="end"/>
      </w:r>
      <w:r>
        <w:fldChar w:fldCharType="end"/>
      </w:r>
    </w:p>
    <w:p w14:paraId="3537C26D">
      <w:pPr>
        <w:pStyle w:val="23"/>
        <w:tabs>
          <w:tab w:val="right" w:leader="dot" w:pos="9354"/>
          <w:tab w:val="clear" w:pos="9242"/>
        </w:tabs>
        <w:spacing w:before="78" w:after="78"/>
      </w:pPr>
      <w:r>
        <w:fldChar w:fldCharType="begin"/>
      </w:r>
      <w:r>
        <w:instrText xml:space="preserve"> HYPERLINK \l "_Toc25197" </w:instrText>
      </w:r>
      <w:r>
        <w:fldChar w:fldCharType="separate"/>
      </w:r>
      <w:r>
        <w:rPr>
          <w:rFonts w:hint="eastAsia"/>
          <w:lang w:eastAsia="en-US"/>
        </w:rPr>
        <w:t>附录D分配方法示例</w:t>
      </w:r>
      <w:r>
        <w:tab/>
      </w:r>
      <w:r>
        <w:fldChar w:fldCharType="begin"/>
      </w:r>
      <w:r>
        <w:instrText xml:space="preserve"> PAGEREF _Toc25197 \h </w:instrText>
      </w:r>
      <w:r>
        <w:fldChar w:fldCharType="separate"/>
      </w:r>
      <w:r>
        <w:t>26</w:t>
      </w:r>
      <w:r>
        <w:fldChar w:fldCharType="end"/>
      </w:r>
      <w:r>
        <w:fldChar w:fldCharType="end"/>
      </w:r>
    </w:p>
    <w:p w14:paraId="3537C26E">
      <w:pPr>
        <w:pStyle w:val="27"/>
      </w:pPr>
      <w:r>
        <w:fldChar w:fldCharType="end"/>
      </w:r>
    </w:p>
    <w:p w14:paraId="24E7301C">
      <w:pPr>
        <w:bidi w:val="0"/>
      </w:pPr>
    </w:p>
    <w:p w14:paraId="1CC08FF7">
      <w:pPr>
        <w:bidi w:val="0"/>
      </w:pPr>
    </w:p>
    <w:p w14:paraId="1A9F91A3">
      <w:pPr>
        <w:bidi w:val="0"/>
      </w:pPr>
    </w:p>
    <w:p w14:paraId="2D86824B">
      <w:pPr>
        <w:bidi w:val="0"/>
      </w:pPr>
    </w:p>
    <w:p w14:paraId="21DEA446">
      <w:pPr>
        <w:tabs>
          <w:tab w:val="left" w:pos="2891"/>
        </w:tabs>
        <w:bidi w:val="0"/>
        <w:jc w:val="left"/>
        <w:rPr>
          <w:rFonts w:hint="eastAsia" w:eastAsia="宋体"/>
          <w:lang w:eastAsia="zh-CN"/>
        </w:rPr>
      </w:pPr>
      <w:r>
        <w:rPr>
          <w:rFonts w:hint="eastAsia"/>
          <w:lang w:eastAsia="zh-CN"/>
        </w:rPr>
        <w:tab/>
      </w:r>
    </w:p>
    <w:p w14:paraId="3537C26F">
      <w:pPr>
        <w:pStyle w:val="121"/>
        <w:outlineLvl w:val="9"/>
        <w:rPr>
          <w:rFonts w:ascii="Times New Roman"/>
        </w:rPr>
      </w:pPr>
      <w:bookmarkStart w:id="5" w:name="_Toc26055"/>
      <w:r>
        <w:rPr>
          <w:rFonts w:hint="eastAsia" w:ascii="Times New Roman"/>
        </w:rPr>
        <w:t>前</w:t>
      </w:r>
      <w:bookmarkStart w:id="6" w:name="BKQY"/>
      <w:r>
        <w:rPr>
          <w:rFonts w:ascii="Times New Roman"/>
        </w:rPr>
        <w:t>  </w:t>
      </w:r>
      <w:r>
        <w:rPr>
          <w:rFonts w:hint="eastAsia" w:ascii="Times New Roman"/>
        </w:rPr>
        <w:t>言</w:t>
      </w:r>
      <w:bookmarkEnd w:id="5"/>
      <w:bookmarkEnd w:id="6"/>
    </w:p>
    <w:p w14:paraId="208A8509">
      <w:pPr>
        <w:pStyle w:val="27"/>
        <w:rPr>
          <w:rFonts w:ascii="Times New Roman"/>
        </w:rPr>
      </w:pPr>
      <w:r>
        <w:rPr>
          <w:rFonts w:hint="eastAsia" w:ascii="Times New Roman"/>
        </w:rPr>
        <w:t>本文件按照GB/T 1.1</w:t>
      </w:r>
      <w:r>
        <w:rPr>
          <w:rFonts w:ascii="Times New Roman"/>
        </w:rPr>
        <w:t>-</w:t>
      </w:r>
      <w:r>
        <w:rPr>
          <w:rFonts w:hint="eastAsia" w:ascii="Times New Roman"/>
        </w:rPr>
        <w:t>2020《标准化工作导则 第1部分：标准化文件的结构和起草规则》的规定起草。请注意本文件的某些内容可能涉及专利。本文件的发布机构不承担识别专利的责任。</w:t>
      </w:r>
    </w:p>
    <w:p w14:paraId="3537C271">
      <w:pPr>
        <w:pStyle w:val="27"/>
        <w:rPr>
          <w:rFonts w:ascii="Times New Roman"/>
        </w:rPr>
      </w:pPr>
      <w:r>
        <w:rPr>
          <w:rFonts w:ascii="Times New Roman"/>
        </w:rPr>
        <w:t>本文件由中国香料香精化妆品工业协会提出并归口。</w:t>
      </w:r>
    </w:p>
    <w:p w14:paraId="3537C272">
      <w:pPr>
        <w:pStyle w:val="27"/>
        <w:rPr>
          <w:rFonts w:ascii="Times New Roman"/>
        </w:rPr>
      </w:pPr>
      <w:r>
        <w:rPr>
          <w:rFonts w:ascii="Times New Roman"/>
        </w:rPr>
        <w:t>本文件</w:t>
      </w:r>
      <w:r>
        <w:rPr>
          <w:rFonts w:hint="eastAsia" w:hAnsi="宋体" w:cs="宋体"/>
          <w:color w:val="auto"/>
          <w:highlight w:val="none"/>
        </w:rPr>
        <w:t>参编</w:t>
      </w:r>
      <w:r>
        <w:rPr>
          <w:rFonts w:ascii="Times New Roman"/>
        </w:rPr>
        <w:t>单位：XX。</w:t>
      </w:r>
    </w:p>
    <w:p w14:paraId="3537C273">
      <w:pPr>
        <w:pStyle w:val="27"/>
        <w:rPr>
          <w:rFonts w:ascii="Times New Roman"/>
        </w:rPr>
      </w:pPr>
      <w:r>
        <w:rPr>
          <w:rFonts w:ascii="Times New Roman"/>
        </w:rPr>
        <w:t>本文件主要起草人：XX</w:t>
      </w:r>
    </w:p>
    <w:p w14:paraId="3537C274">
      <w:pPr>
        <w:pStyle w:val="27"/>
        <w:rPr>
          <w:rFonts w:ascii="Times New Roman"/>
        </w:rPr>
        <w:sectPr>
          <w:headerReference r:id="rId8" w:type="default"/>
          <w:footerReference r:id="rId9" w:type="default"/>
          <w:pgSz w:w="11906" w:h="16838"/>
          <w:pgMar w:top="1418" w:right="1134" w:bottom="1134" w:left="1418" w:header="1418" w:footer="1134" w:gutter="0"/>
          <w:pgNumType w:fmt="upperRoman" w:start="1"/>
          <w:cols w:space="425" w:num="1"/>
          <w:formProt w:val="0"/>
          <w:docGrid w:type="lines" w:linePitch="312" w:charSpace="0"/>
        </w:sectPr>
      </w:pPr>
      <w:r>
        <w:rPr>
          <w:rFonts w:ascii="Times New Roman"/>
        </w:rPr>
        <w:t xml:space="preserve"> </w:t>
      </w:r>
    </w:p>
    <w:p w14:paraId="3537C275">
      <w:pPr>
        <w:pStyle w:val="59"/>
        <w:outlineLvl w:val="9"/>
        <w:rPr>
          <w:rFonts w:ascii="Times New Roman"/>
          <w:sz w:val="30"/>
          <w:szCs w:val="30"/>
        </w:rPr>
      </w:pPr>
      <w:bookmarkStart w:id="7" w:name="_Toc19775"/>
      <w:bookmarkStart w:id="8" w:name="_Toc22416"/>
      <w:r>
        <w:rPr>
          <w:rFonts w:ascii="Times New Roman"/>
          <w:sz w:val="30"/>
          <w:szCs w:val="30"/>
        </w:rPr>
        <w:t>香料香精化妆品</w:t>
      </w:r>
      <w:r>
        <w:rPr>
          <w:rFonts w:hint="eastAsia" w:ascii="Times New Roman"/>
          <w:sz w:val="30"/>
          <w:szCs w:val="30"/>
        </w:rPr>
        <w:t>行业</w:t>
      </w:r>
      <w:r>
        <w:rPr>
          <w:rFonts w:ascii="Times New Roman"/>
          <w:sz w:val="30"/>
          <w:szCs w:val="30"/>
        </w:rPr>
        <w:t>产品</w:t>
      </w:r>
      <w:r>
        <w:rPr>
          <w:rFonts w:hint="eastAsia" w:ascii="Times New Roman"/>
          <w:sz w:val="30"/>
          <w:szCs w:val="30"/>
        </w:rPr>
        <w:t>碳足迹核算</w:t>
      </w:r>
      <w:bookmarkEnd w:id="7"/>
      <w:bookmarkEnd w:id="8"/>
      <w:r>
        <w:rPr>
          <w:rFonts w:ascii="Times New Roman"/>
          <w:sz w:val="30"/>
          <w:szCs w:val="30"/>
        </w:rPr>
        <w:t>指南</w:t>
      </w:r>
    </w:p>
    <w:p w14:paraId="3537C276">
      <w:pPr>
        <w:pStyle w:val="54"/>
        <w:spacing w:before="312" w:after="312"/>
        <w:outlineLvl w:val="0"/>
        <w:rPr>
          <w:rFonts w:ascii="Times New Roman"/>
        </w:rPr>
      </w:pPr>
      <w:bookmarkStart w:id="9" w:name="_Toc8852"/>
      <w:bookmarkStart w:id="10" w:name="_Toc6276"/>
      <w:bookmarkStart w:id="11" w:name="_Toc7345"/>
      <w:bookmarkStart w:id="12" w:name="_Toc15659"/>
      <w:r>
        <w:rPr>
          <w:rFonts w:ascii="Times New Roman"/>
        </w:rPr>
        <w:t>范围</w:t>
      </w:r>
      <w:bookmarkEnd w:id="9"/>
      <w:bookmarkEnd w:id="10"/>
      <w:bookmarkEnd w:id="11"/>
      <w:bookmarkEnd w:id="12"/>
    </w:p>
    <w:p w14:paraId="3537C277">
      <w:pPr>
        <w:pStyle w:val="27"/>
        <w:rPr>
          <w:rFonts w:ascii="Times New Roman"/>
        </w:rPr>
      </w:pPr>
      <w:bookmarkStart w:id="13" w:name="_Hlk138241598"/>
      <w:bookmarkStart w:id="14" w:name="_Hlk135209196"/>
      <w:bookmarkStart w:id="15" w:name="_Hlk135215509"/>
      <w:r>
        <w:rPr>
          <w:rFonts w:ascii="Times New Roman"/>
        </w:rPr>
        <w:t>本标准规定了香料、香精及化妆品行业产品碳足迹核算的原则、方法、数据质量要求，以及数据交换机制。通过一体化的核算方法与数据管理，确保产品碳足迹在行业内的可比性、透明性和可操作性。</w:t>
      </w:r>
    </w:p>
    <w:p w14:paraId="3537C278">
      <w:pPr>
        <w:pStyle w:val="27"/>
        <w:rPr>
          <w:kern w:val="2"/>
          <w:szCs w:val="21"/>
          <w14:ligatures w14:val="standardContextual"/>
        </w:rPr>
      </w:pPr>
      <w:r>
        <w:rPr>
          <w:rFonts w:hint="eastAsia"/>
        </w:rPr>
        <w:t>本文件适用于香料、香精、化妆品原料、化妆品产品等的碳足迹核算工作，同时包括与产品直接相关的包装材料。本标准以“摇篮到大门”（</w:t>
      </w:r>
      <w:r>
        <w:rPr>
          <w:rFonts w:ascii="Times New Roman"/>
        </w:rPr>
        <w:t>cradle-to-gate</w:t>
      </w:r>
      <w:r>
        <w:rPr>
          <w:rFonts w:hint="eastAsia"/>
        </w:rPr>
        <w:t>）为基础边界，涵盖原料获取、原料运输、生产制造及与产品直接相关的包装过程；可根据客户、法规或市场要求扩展至下游阶段（包括分销运输、使用及生命末期处理）。对于拥有原料种植基地的企业，原料种植阶段也应纳入碳足迹核算范畴。</w:t>
      </w:r>
    </w:p>
    <w:p w14:paraId="3537C279">
      <w:pPr>
        <w:pStyle w:val="27"/>
        <w:rPr>
          <w:rFonts w:ascii="Times New Roman"/>
        </w:rPr>
      </w:pPr>
      <w:r>
        <w:rPr>
          <w:rFonts w:hint="eastAsia" w:ascii="Times New Roman"/>
        </w:rPr>
        <w:t>本标准适用于</w:t>
      </w:r>
      <w:r>
        <w:rPr>
          <w:rFonts w:ascii="Times New Roman"/>
        </w:rPr>
        <w:t>行业内企业开展产品碳足迹核算、数据管理</w:t>
      </w:r>
      <w:r>
        <w:rPr>
          <w:rFonts w:hint="eastAsia" w:ascii="Times New Roman"/>
        </w:rPr>
        <w:t>及对外披露</w:t>
      </w:r>
      <w:r>
        <w:rPr>
          <w:rFonts w:ascii="Times New Roman"/>
        </w:rPr>
        <w:t>，旨在推动行业内的碳减排工作，提高供应链碳透明度，并为绿色采购和可持续发展提供数据支持。</w:t>
      </w:r>
    </w:p>
    <w:bookmarkEnd w:id="13"/>
    <w:bookmarkEnd w:id="14"/>
    <w:bookmarkEnd w:id="15"/>
    <w:p w14:paraId="3537C27A">
      <w:pPr>
        <w:pStyle w:val="54"/>
        <w:spacing w:before="312" w:after="312"/>
        <w:outlineLvl w:val="0"/>
        <w:rPr>
          <w:rFonts w:ascii="Times New Roman"/>
        </w:rPr>
      </w:pPr>
      <w:bookmarkStart w:id="16" w:name="_Toc8818"/>
      <w:bookmarkStart w:id="17" w:name="_Toc7321"/>
      <w:bookmarkStart w:id="18" w:name="_Toc22989"/>
      <w:bookmarkStart w:id="19" w:name="_Toc32339"/>
      <w:r>
        <w:rPr>
          <w:rFonts w:ascii="Times New Roman"/>
        </w:rPr>
        <w:t>规范性引用文件</w:t>
      </w:r>
      <w:bookmarkEnd w:id="16"/>
      <w:bookmarkEnd w:id="17"/>
      <w:bookmarkEnd w:id="18"/>
      <w:bookmarkEnd w:id="19"/>
      <w:r>
        <w:rPr>
          <w:rFonts w:ascii="Times New Roman"/>
        </w:rPr>
        <w:t xml:space="preserve"> </w:t>
      </w:r>
    </w:p>
    <w:p w14:paraId="3537C27B">
      <w:pPr>
        <w:pStyle w:val="27"/>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537C27C">
      <w:pPr>
        <w:pStyle w:val="27"/>
        <w:rPr>
          <w:rFonts w:ascii="Times New Roman"/>
        </w:rPr>
      </w:pPr>
      <w:r>
        <w:rPr>
          <w:rFonts w:ascii="Times New Roman"/>
        </w:rPr>
        <w:t>GB/T 21171-2018 香料香精术语</w:t>
      </w:r>
    </w:p>
    <w:p w14:paraId="3537C27D">
      <w:pPr>
        <w:pStyle w:val="27"/>
        <w:rPr>
          <w:rFonts w:ascii="Times New Roman"/>
        </w:rPr>
      </w:pPr>
      <w:r>
        <w:rPr>
          <w:rFonts w:ascii="Times New Roman"/>
        </w:rPr>
        <w:t>GB/T 2404</w:t>
      </w:r>
      <w:r>
        <w:rPr>
          <w:rFonts w:hint="eastAsia" w:ascii="Times New Roman"/>
        </w:rPr>
        <w:t>0</w:t>
      </w:r>
      <w:r>
        <w:rPr>
          <w:rFonts w:ascii="Times New Roman"/>
        </w:rPr>
        <w:t xml:space="preserve">-2008 环境管理 生命周期评价 </w:t>
      </w:r>
      <w:r>
        <w:rPr>
          <w:rFonts w:hint="eastAsia" w:ascii="Times New Roman"/>
        </w:rPr>
        <w:t>原则与框架（ISO 14040:2006，IDT）</w:t>
      </w:r>
    </w:p>
    <w:p w14:paraId="3537C27E">
      <w:pPr>
        <w:pStyle w:val="27"/>
        <w:rPr>
          <w:rFonts w:ascii="Times New Roman"/>
        </w:rPr>
      </w:pPr>
      <w:r>
        <w:rPr>
          <w:rFonts w:ascii="Times New Roman"/>
        </w:rPr>
        <w:t>GB/T 24044-2008 环境管理 生命周期评价 要求与指南</w:t>
      </w:r>
      <w:r>
        <w:rPr>
          <w:rFonts w:hint="eastAsia" w:ascii="Times New Roman"/>
        </w:rPr>
        <w:t>（ISO 14044:2006，IDT）</w:t>
      </w:r>
    </w:p>
    <w:p w14:paraId="3537C27F">
      <w:pPr>
        <w:pStyle w:val="27"/>
        <w:rPr>
          <w:rFonts w:ascii="Times New Roman"/>
        </w:rPr>
      </w:pPr>
      <w:r>
        <w:rPr>
          <w:rFonts w:ascii="Times New Roman"/>
        </w:rPr>
        <w:t>GB/T 24067-2024 温室气体 产品碳足迹 量化要求和指南</w:t>
      </w:r>
    </w:p>
    <w:p w14:paraId="3537C280">
      <w:pPr>
        <w:pStyle w:val="27"/>
        <w:rPr>
          <w:rFonts w:ascii="Times New Roman"/>
        </w:rPr>
      </w:pPr>
      <w:r>
        <w:rPr>
          <w:rFonts w:ascii="Times New Roman"/>
        </w:rPr>
        <w:t>GB/T 32150-2015 工业企业温室气体排放核算和报告通则</w:t>
      </w:r>
    </w:p>
    <w:p w14:paraId="3537C281">
      <w:pPr>
        <w:pStyle w:val="27"/>
        <w:rPr>
          <w:rFonts w:ascii="Times New Roman"/>
        </w:rPr>
      </w:pPr>
      <w:r>
        <w:rPr>
          <w:rFonts w:ascii="Times New Roman"/>
        </w:rPr>
        <w:t xml:space="preserve">T/CPCIF 0437-2025 </w:t>
      </w:r>
      <w:r>
        <w:rPr>
          <w:rFonts w:hint="eastAsia" w:ascii="Times New Roman"/>
        </w:rPr>
        <w:t>《石油和化工行业产品碳足迹核算指南》</w:t>
      </w:r>
    </w:p>
    <w:p w14:paraId="3537C282">
      <w:pPr>
        <w:pStyle w:val="27"/>
        <w:rPr>
          <w:rFonts w:ascii="Times New Roman"/>
        </w:rPr>
      </w:pPr>
      <w:r>
        <w:rPr>
          <w:rFonts w:ascii="Times New Roman"/>
        </w:rPr>
        <w:t xml:space="preserve">ISO 14064-1 </w:t>
      </w:r>
      <w:r>
        <w:rPr>
          <w:rFonts w:hint="eastAsia" w:ascii="Times New Roman"/>
        </w:rPr>
        <w:t xml:space="preserve">Greenhouse gases </w:t>
      </w:r>
      <w:r>
        <w:rPr>
          <w:rFonts w:ascii="Times New Roman"/>
        </w:rPr>
        <w:t>—</w:t>
      </w:r>
      <w:r>
        <w:rPr>
          <w:rFonts w:hint="eastAsia" w:ascii="Times New Roman"/>
        </w:rPr>
        <w:t xml:space="preserve"> Part 1: </w:t>
      </w:r>
      <w:r>
        <w:rPr>
          <w:rFonts w:ascii="Times New Roman"/>
        </w:rPr>
        <w:t>Specification with guidance at the organization level for quantification and reporting of greenhouse gas emissions and removals</w:t>
      </w:r>
    </w:p>
    <w:p w14:paraId="3537C283">
      <w:pPr>
        <w:pStyle w:val="27"/>
        <w:rPr>
          <w:kern w:val="2"/>
          <w:szCs w:val="21"/>
          <w14:ligatures w14:val="standardContextual"/>
        </w:rPr>
      </w:pPr>
      <w:r>
        <w:rPr>
          <w:rFonts w:ascii="Times New Roman"/>
        </w:rPr>
        <w:t>ISO 14067 Greenhouse gases — Carbon Footprint of products — Requirements and guidelines for quantification</w:t>
      </w:r>
    </w:p>
    <w:p w14:paraId="3537C284">
      <w:pPr>
        <w:pStyle w:val="27"/>
        <w:rPr>
          <w:rFonts w:ascii="Times New Roman"/>
        </w:rPr>
      </w:pPr>
      <w:r>
        <w:rPr>
          <w:rFonts w:ascii="Times New Roman"/>
        </w:rPr>
        <w:t>《Partnership for Carbon Transparency (PACT) Methodology &amp; Data Exchange Specifications》</w:t>
      </w:r>
      <w:r>
        <w:rPr>
          <w:rFonts w:hint="eastAsia" w:ascii="Times New Roman"/>
        </w:rPr>
        <w:t>，</w:t>
      </w:r>
      <w:r>
        <w:rPr>
          <w:rFonts w:ascii="Times New Roman"/>
        </w:rPr>
        <w:t>World Business Council for Sustainable Development (WBCSD)</w:t>
      </w:r>
    </w:p>
    <w:p w14:paraId="3537C285">
      <w:pPr>
        <w:pStyle w:val="27"/>
        <w:rPr>
          <w:rFonts w:ascii="Times New Roman"/>
        </w:rPr>
      </w:pPr>
      <w:r>
        <w:rPr>
          <w:rFonts w:ascii="Times New Roman"/>
        </w:rPr>
        <w:t>PAS 2060-2010 Specification for the demonstration of carbon neutrality</w:t>
      </w:r>
    </w:p>
    <w:p w14:paraId="3537C286">
      <w:pPr>
        <w:pStyle w:val="27"/>
        <w:rPr>
          <w:rFonts w:ascii="Times New Roman"/>
        </w:rPr>
      </w:pPr>
      <w:r>
        <w:rPr>
          <w:rFonts w:ascii="Times New Roman"/>
        </w:rPr>
        <w:t>《Product Environmental Footprint (PEF)》</w:t>
      </w:r>
      <w:r>
        <w:rPr>
          <w:rFonts w:hint="eastAsia" w:ascii="Times New Roman"/>
        </w:rPr>
        <w:t>，</w:t>
      </w:r>
      <w:r>
        <w:rPr>
          <w:rFonts w:ascii="Times New Roman"/>
        </w:rPr>
        <w:t>European Commission</w:t>
      </w:r>
    </w:p>
    <w:p w14:paraId="3537C287">
      <w:pPr>
        <w:pStyle w:val="27"/>
        <w:rPr>
          <w:rFonts w:ascii="Times New Roman"/>
        </w:rPr>
      </w:pPr>
      <w:r>
        <w:rPr>
          <w:rFonts w:hint="eastAsia" w:ascii="Times New Roman"/>
        </w:rPr>
        <w:t>《Product Environmental Footprint Category Rules》，</w:t>
      </w:r>
      <w:r>
        <w:rPr>
          <w:rFonts w:ascii="Times New Roman"/>
        </w:rPr>
        <w:t>European Commission</w:t>
      </w:r>
    </w:p>
    <w:p w14:paraId="3537C288">
      <w:pPr>
        <w:pStyle w:val="27"/>
        <w:rPr>
          <w:rFonts w:ascii="Times New Roman"/>
        </w:rPr>
      </w:pPr>
      <w:r>
        <w:rPr>
          <w:rFonts w:ascii="Times New Roman"/>
        </w:rPr>
        <w:t>《Product Carbon Footprint Guideline for the Chemical Industry》</w:t>
      </w:r>
      <w:r>
        <w:rPr>
          <w:rFonts w:hint="eastAsia" w:ascii="Times New Roman"/>
        </w:rPr>
        <w:t>(</w:t>
      </w:r>
      <w:r>
        <w:rPr>
          <w:rFonts w:ascii="Times New Roman"/>
        </w:rPr>
        <w:t>2024</w:t>
      </w:r>
      <w:r>
        <w:rPr>
          <w:rFonts w:hint="eastAsia" w:ascii="Times New Roman"/>
        </w:rPr>
        <w:t>)，</w:t>
      </w:r>
      <w:r>
        <w:rPr>
          <w:rFonts w:ascii="Times New Roman"/>
        </w:rPr>
        <w:t>Together for Sustainability (TfS)</w:t>
      </w:r>
    </w:p>
    <w:p w14:paraId="3537C289">
      <w:pPr>
        <w:pStyle w:val="54"/>
        <w:spacing w:before="312" w:after="312"/>
        <w:outlineLvl w:val="0"/>
        <w:rPr>
          <w:rFonts w:ascii="Times New Roman"/>
        </w:rPr>
      </w:pPr>
      <w:bookmarkStart w:id="20" w:name="_Toc30146"/>
      <w:bookmarkStart w:id="21" w:name="_Toc10441"/>
      <w:bookmarkStart w:id="22" w:name="_Toc28021"/>
      <w:bookmarkStart w:id="23" w:name="_Toc9452"/>
      <w:r>
        <w:rPr>
          <w:rFonts w:ascii="Times New Roman"/>
        </w:rPr>
        <w:t>术语和定义</w:t>
      </w:r>
      <w:bookmarkEnd w:id="20"/>
      <w:bookmarkEnd w:id="21"/>
      <w:bookmarkEnd w:id="22"/>
      <w:bookmarkEnd w:id="23"/>
    </w:p>
    <w:p w14:paraId="3537C28A">
      <w:pPr>
        <w:pStyle w:val="27"/>
        <w:rPr>
          <w:rFonts w:ascii="Times New Roman"/>
        </w:rPr>
      </w:pPr>
      <w:r>
        <w:rPr>
          <w:rFonts w:ascii="Times New Roman"/>
        </w:rPr>
        <w:t>下列术语和定义适用于本文件。</w:t>
      </w:r>
    </w:p>
    <w:p w14:paraId="3537C28B">
      <w:pPr>
        <w:pStyle w:val="51"/>
        <w:spacing w:before="156" w:after="156"/>
        <w:rPr>
          <w:rFonts w:ascii="Times New Roman"/>
        </w:rPr>
      </w:pPr>
      <w:bookmarkStart w:id="24" w:name="_Toc28145"/>
      <w:bookmarkStart w:id="25" w:name="_Toc138241538"/>
      <w:bookmarkStart w:id="26" w:name="_Toc137772382"/>
      <w:bookmarkStart w:id="27" w:name="_Toc139292009"/>
      <w:bookmarkStart w:id="28" w:name="_Toc138865415"/>
      <w:bookmarkStart w:id="29" w:name="_Toc3442"/>
      <w:r>
        <w:rPr>
          <w:rFonts w:ascii="Times New Roman"/>
        </w:rPr>
        <w:t>香料 fragrance and flavor ingredient；fragrance and flavor material</w:t>
      </w:r>
      <w:bookmarkEnd w:id="24"/>
    </w:p>
    <w:p w14:paraId="3537C28C">
      <w:pPr>
        <w:pStyle w:val="27"/>
        <w:rPr>
          <w:rFonts w:ascii="Times New Roman"/>
        </w:rPr>
      </w:pPr>
      <w:r>
        <w:rPr>
          <w:rFonts w:ascii="Times New Roman"/>
        </w:rPr>
        <w:t>具有香气和（或）香味的材料。</w:t>
      </w:r>
    </w:p>
    <w:p w14:paraId="3537C28D">
      <w:pPr>
        <w:pStyle w:val="27"/>
        <w:ind w:left="63" w:leftChars="30" w:firstLine="360"/>
        <w:rPr>
          <w:rFonts w:ascii="Times New Roman"/>
          <w:sz w:val="18"/>
          <w:szCs w:val="18"/>
        </w:rPr>
      </w:pPr>
      <w:r>
        <w:rPr>
          <w:rFonts w:ascii="Times New Roman" w:eastAsia="黑体"/>
          <w:sz w:val="18"/>
          <w:szCs w:val="18"/>
        </w:rPr>
        <w:t>注1：</w:t>
      </w:r>
      <w:r>
        <w:rPr>
          <w:rFonts w:ascii="Times New Roman"/>
          <w:sz w:val="18"/>
          <w:szCs w:val="18"/>
        </w:rPr>
        <w:t>一般为天然香料（包括天然原料的衍生产品，例如树脂状材料、挥发性产品、提取产品）和合成香料的总</w:t>
      </w:r>
    </w:p>
    <w:p w14:paraId="3537C28E">
      <w:pPr>
        <w:pStyle w:val="27"/>
        <w:ind w:left="850" w:firstLine="0" w:firstLineChars="0"/>
        <w:rPr>
          <w:rFonts w:ascii="Times New Roman"/>
          <w:sz w:val="18"/>
          <w:szCs w:val="18"/>
        </w:rPr>
      </w:pPr>
      <w:r>
        <w:rPr>
          <w:rFonts w:ascii="Times New Roman"/>
          <w:sz w:val="18"/>
          <w:szCs w:val="18"/>
        </w:rPr>
        <w:t>称。</w:t>
      </w:r>
    </w:p>
    <w:p w14:paraId="3537C28F">
      <w:pPr>
        <w:pStyle w:val="27"/>
        <w:ind w:left="63" w:leftChars="30" w:firstLine="360"/>
        <w:rPr>
          <w:rFonts w:ascii="Times New Roman"/>
          <w:sz w:val="18"/>
          <w:szCs w:val="18"/>
        </w:rPr>
      </w:pPr>
      <w:r>
        <w:rPr>
          <w:rFonts w:ascii="Times New Roman" w:eastAsia="黑体"/>
          <w:sz w:val="18"/>
          <w:szCs w:val="18"/>
        </w:rPr>
        <w:t>注2：</w:t>
      </w:r>
      <w:r>
        <w:rPr>
          <w:rFonts w:ascii="Times New Roman"/>
          <w:sz w:val="18"/>
          <w:szCs w:val="18"/>
        </w:rPr>
        <w:t>按用途可分为日用和食用两大类。</w:t>
      </w:r>
    </w:p>
    <w:p w14:paraId="3537C290">
      <w:pPr>
        <w:pStyle w:val="27"/>
        <w:ind w:left="63" w:leftChars="30" w:firstLine="360"/>
        <w:rPr>
          <w:rFonts w:ascii="Times New Roman"/>
          <w:sz w:val="18"/>
          <w:szCs w:val="18"/>
        </w:rPr>
      </w:pPr>
      <w:r>
        <w:rPr>
          <w:rFonts w:hint="eastAsia" w:ascii="Times New Roman"/>
          <w:sz w:val="18"/>
          <w:szCs w:val="18"/>
        </w:rPr>
        <w:t>注</w:t>
      </w:r>
      <w:r>
        <w:rPr>
          <w:rFonts w:ascii="Times New Roman"/>
          <w:sz w:val="18"/>
          <w:szCs w:val="18"/>
        </w:rPr>
        <w:t>3</w:t>
      </w:r>
      <w:r>
        <w:rPr>
          <w:rFonts w:hint="eastAsia" w:ascii="Times New Roman"/>
          <w:sz w:val="18"/>
          <w:szCs w:val="18"/>
        </w:rPr>
        <w:t>：合成香料的原料来源可包括石化基础原料、化工中间体或天然衍生原料等。</w:t>
      </w:r>
    </w:p>
    <w:p w14:paraId="3537C291">
      <w:pPr>
        <w:pStyle w:val="27"/>
        <w:rPr>
          <w:rFonts w:ascii="Times New Roman"/>
        </w:rPr>
      </w:pPr>
      <w:r>
        <w:rPr>
          <w:rFonts w:ascii="Times New Roman"/>
        </w:rPr>
        <w:t>[来源：GB/T 21171-2018，3.1]</w:t>
      </w:r>
    </w:p>
    <w:p w14:paraId="3537C292">
      <w:pPr>
        <w:pStyle w:val="51"/>
        <w:spacing w:before="156" w:after="156"/>
        <w:rPr>
          <w:rFonts w:ascii="Times New Roman"/>
        </w:rPr>
      </w:pPr>
      <w:bookmarkStart w:id="30" w:name="_Toc11115"/>
      <w:r>
        <w:rPr>
          <w:rFonts w:ascii="Times New Roman"/>
        </w:rPr>
        <w:t>香精 fragrance compound and flavorings；fragrance and compounded flavor</w:t>
      </w:r>
      <w:bookmarkEnd w:id="30"/>
    </w:p>
    <w:p w14:paraId="3537C293">
      <w:pPr>
        <w:pStyle w:val="27"/>
        <w:rPr>
          <w:rFonts w:ascii="Times New Roman"/>
        </w:rPr>
      </w:pPr>
      <w:r>
        <w:rPr>
          <w:rFonts w:ascii="Times New Roman"/>
        </w:rPr>
        <w:t>由香精和（或）香精辅料调配而成的具有特定香气和（或）香味的复杂混合物。</w:t>
      </w:r>
    </w:p>
    <w:p w14:paraId="3537C294">
      <w:pPr>
        <w:pStyle w:val="27"/>
        <w:ind w:left="63" w:leftChars="30" w:firstLine="360"/>
        <w:rPr>
          <w:rFonts w:ascii="Times New Roman"/>
          <w:sz w:val="18"/>
          <w:szCs w:val="18"/>
        </w:rPr>
      </w:pPr>
      <w:r>
        <w:rPr>
          <w:rFonts w:ascii="Times New Roman" w:eastAsia="黑体"/>
          <w:sz w:val="18"/>
          <w:szCs w:val="18"/>
        </w:rPr>
        <w:t>注：</w:t>
      </w:r>
      <w:r>
        <w:rPr>
          <w:rFonts w:ascii="Times New Roman"/>
          <w:sz w:val="18"/>
          <w:szCs w:val="18"/>
        </w:rPr>
        <w:t>一般不直接消费，而是用于加香产品后被消费。</w:t>
      </w:r>
    </w:p>
    <w:p w14:paraId="3537C295">
      <w:pPr>
        <w:pStyle w:val="27"/>
        <w:rPr>
          <w:rFonts w:ascii="Times New Roman"/>
        </w:rPr>
      </w:pPr>
      <w:r>
        <w:rPr>
          <w:rFonts w:ascii="Times New Roman"/>
        </w:rPr>
        <w:t>[来源：GB/T 21171-2018，4.1]</w:t>
      </w:r>
    </w:p>
    <w:p w14:paraId="3537C296">
      <w:pPr>
        <w:pStyle w:val="51"/>
        <w:spacing w:before="156" w:after="156"/>
        <w:rPr>
          <w:rFonts w:ascii="Times New Roman"/>
        </w:rPr>
      </w:pPr>
      <w:r>
        <w:rPr>
          <w:rFonts w:hint="eastAsia" w:ascii="Times New Roman"/>
        </w:rPr>
        <w:t>化妆品</w:t>
      </w:r>
      <w:r>
        <w:rPr>
          <w:rFonts w:ascii="Times New Roman"/>
        </w:rPr>
        <w:t xml:space="preserve"> </w:t>
      </w:r>
      <w:r>
        <w:rPr>
          <w:rFonts w:hint="eastAsia" w:ascii="Times New Roman"/>
        </w:rPr>
        <w:t>c</w:t>
      </w:r>
      <w:r>
        <w:rPr>
          <w:rFonts w:ascii="Times New Roman"/>
        </w:rPr>
        <w:t>osmetics</w:t>
      </w:r>
    </w:p>
    <w:p w14:paraId="3537C297">
      <w:pPr>
        <w:pStyle w:val="27"/>
        <w:rPr>
          <w:rFonts w:ascii="Times New Roman"/>
        </w:rPr>
      </w:pPr>
      <w:r>
        <w:rPr>
          <w:rFonts w:ascii="Times New Roman"/>
        </w:rPr>
        <w:t>以涂擦、喷洒或者其他类似方法，施用于皮肤、毛发、指甲、口唇等人体表面，以清洁、保护、美化、修饰为目的的日用化学工业产品。</w:t>
      </w:r>
      <w:r>
        <w:rPr>
          <w:rFonts w:hint="eastAsia" w:ascii="Times New Roman"/>
        </w:rPr>
        <w:t>其中相关原料和包装材料定义如下：</w:t>
      </w:r>
    </w:p>
    <w:p w14:paraId="3537C298">
      <w:pPr>
        <w:pStyle w:val="27"/>
        <w:rPr>
          <w:rFonts w:ascii="Times New Roman"/>
        </w:rPr>
      </w:pPr>
      <w:r>
        <w:rPr>
          <w:rFonts w:hint="eastAsia" w:ascii="Times New Roman"/>
        </w:rPr>
        <w:t>-化妆品原料：指用于生产、制备化妆品，作为配方组分加入化妆品体系中，经加工调配后构成化妆品成品组成，能够实现或辅助实现清洁、保护、美化、修饰等化妆品功效，且符合相关安全规范的各类天然、人工合成或生物技术来源的物质。</w:t>
      </w:r>
    </w:p>
    <w:p w14:paraId="3537C299">
      <w:pPr>
        <w:pStyle w:val="27"/>
        <w:rPr>
          <w:rFonts w:ascii="Times New Roman"/>
        </w:rPr>
      </w:pPr>
      <w:r>
        <w:rPr>
          <w:rFonts w:hint="eastAsia" w:ascii="Times New Roman"/>
        </w:rPr>
        <w:t>-化妆品包装材料：指专门用于盛装、包裹、密封、承载化妆品成品，起到容纳、保护、储运、标识及美化陈列作用，不参与化妆品配方组成、不发挥化妆品施用功效，仅作为外在载体和防护结构的各类材料及制品。</w:t>
      </w:r>
    </w:p>
    <w:p w14:paraId="3537C29A">
      <w:pPr>
        <w:pStyle w:val="51"/>
        <w:spacing w:before="156" w:after="156"/>
        <w:rPr>
          <w:rFonts w:ascii="Times New Roman"/>
        </w:rPr>
      </w:pPr>
      <w:bookmarkStart w:id="31" w:name="_Toc130464134"/>
      <w:bookmarkEnd w:id="31"/>
      <w:bookmarkStart w:id="32" w:name="_Toc130464132"/>
      <w:bookmarkEnd w:id="32"/>
      <w:bookmarkStart w:id="33" w:name="_Toc137772381"/>
      <w:bookmarkStart w:id="34" w:name="_Toc139292008"/>
      <w:bookmarkStart w:id="35" w:name="_Toc138865414"/>
      <w:bookmarkStart w:id="36" w:name="_Toc138241537"/>
      <w:bookmarkStart w:id="37" w:name="_Toc8785"/>
      <w:r>
        <w:rPr>
          <w:rFonts w:ascii="Times New Roman"/>
        </w:rPr>
        <w:t>温室气体 greenhouse gas</w:t>
      </w:r>
      <w:bookmarkEnd w:id="33"/>
      <w:bookmarkEnd w:id="34"/>
      <w:bookmarkEnd w:id="35"/>
      <w:bookmarkEnd w:id="36"/>
      <w:r>
        <w:rPr>
          <w:rFonts w:ascii="Times New Roman"/>
        </w:rPr>
        <w:t>；GHG</w:t>
      </w:r>
      <w:bookmarkEnd w:id="37"/>
    </w:p>
    <w:p w14:paraId="3537C29B">
      <w:pPr>
        <w:pStyle w:val="27"/>
        <w:rPr>
          <w:rFonts w:ascii="Times New Roman"/>
        </w:rPr>
      </w:pPr>
      <w:r>
        <w:rPr>
          <w:rFonts w:ascii="Times New Roman"/>
        </w:rPr>
        <w:t>大气中自然存在的和由于人类活动产生的能够吸收和散发由地球表面、大气层和云层所产生的、波长在红外光谱内辐射的气态成分。</w:t>
      </w:r>
    </w:p>
    <w:p w14:paraId="3537C29C">
      <w:pPr>
        <w:pStyle w:val="27"/>
        <w:rPr>
          <w:rFonts w:ascii="Times New Roman"/>
        </w:rPr>
      </w:pPr>
      <w:r>
        <w:rPr>
          <w:rFonts w:ascii="Times New Roman"/>
        </w:rPr>
        <w:t>[来源：GB/T 32150-2015，3.1]</w:t>
      </w:r>
    </w:p>
    <w:p w14:paraId="3537C29D">
      <w:pPr>
        <w:pStyle w:val="51"/>
        <w:spacing w:before="156" w:after="156"/>
        <w:rPr>
          <w:rFonts w:ascii="Times New Roman"/>
        </w:rPr>
      </w:pPr>
      <w:bookmarkStart w:id="38" w:name="_Toc1236"/>
      <w:r>
        <w:rPr>
          <w:rFonts w:ascii="Times New Roman"/>
        </w:rPr>
        <w:t>生命周期 life cycle</w:t>
      </w:r>
      <w:bookmarkEnd w:id="38"/>
    </w:p>
    <w:p w14:paraId="3537C29E">
      <w:pPr>
        <w:pStyle w:val="27"/>
        <w:rPr>
          <w:rFonts w:ascii="Times New Roman"/>
        </w:rPr>
      </w:pPr>
      <w:r>
        <w:rPr>
          <w:rFonts w:ascii="Times New Roman"/>
        </w:rPr>
        <w:t>产品相关的连续且相互连接的阶段，包括原材料获取或从自然资源中生成原材料至生命末期处理。</w:t>
      </w:r>
    </w:p>
    <w:p w14:paraId="3537C29F">
      <w:pPr>
        <w:pStyle w:val="27"/>
        <w:rPr>
          <w:rFonts w:ascii="Times New Roman"/>
        </w:rPr>
      </w:pPr>
      <w:r>
        <w:rPr>
          <w:rFonts w:ascii="Times New Roman"/>
        </w:rPr>
        <w:t>[来源：GB/T 24067-2024，3.4.2]</w:t>
      </w:r>
    </w:p>
    <w:p w14:paraId="3537C2A0">
      <w:pPr>
        <w:pStyle w:val="51"/>
        <w:spacing w:before="156" w:after="156"/>
        <w:rPr>
          <w:rFonts w:ascii="Times New Roman"/>
        </w:rPr>
      </w:pPr>
      <w:bookmarkStart w:id="39" w:name="_Toc15492"/>
      <w:r>
        <w:rPr>
          <w:rFonts w:ascii="Times New Roman"/>
        </w:rPr>
        <w:t>产品碳足迹 carbon footprint of a product；CFP</w:t>
      </w:r>
      <w:bookmarkEnd w:id="39"/>
    </w:p>
    <w:p w14:paraId="3537C2A1">
      <w:pPr>
        <w:pStyle w:val="27"/>
        <w:rPr>
          <w:rFonts w:ascii="Times New Roman"/>
        </w:rPr>
      </w:pPr>
      <w:r>
        <w:rPr>
          <w:rFonts w:ascii="Times New Roman"/>
        </w:rPr>
        <w:t>产品系统中的GHG排放量和GHG清除量之和，以二氧化碳当量表示，并基于气候变化这一单一环境影响类型进行生命周期评价。</w:t>
      </w:r>
    </w:p>
    <w:p w14:paraId="3537C2A2">
      <w:pPr>
        <w:pStyle w:val="27"/>
        <w:rPr>
          <w:rFonts w:ascii="Times New Roman"/>
        </w:rPr>
      </w:pPr>
      <w:r>
        <w:rPr>
          <w:rFonts w:ascii="Times New Roman"/>
        </w:rPr>
        <w:t>[来源：GB/T 24067-2024，3.1.1]</w:t>
      </w:r>
    </w:p>
    <w:p w14:paraId="3537C2A3">
      <w:pPr>
        <w:pStyle w:val="51"/>
        <w:spacing w:before="156" w:after="156"/>
        <w:rPr>
          <w:rFonts w:ascii="Times New Roman"/>
        </w:rPr>
      </w:pPr>
      <w:bookmarkStart w:id="40" w:name="_Toc26744"/>
      <w:r>
        <w:rPr>
          <w:rFonts w:ascii="Times New Roman"/>
        </w:rPr>
        <w:t>产品部分碳足迹 partial carbon footprint of a product；partial CFP</w:t>
      </w:r>
      <w:bookmarkEnd w:id="40"/>
    </w:p>
    <w:p w14:paraId="3537C2A4">
      <w:pPr>
        <w:pStyle w:val="27"/>
        <w:rPr>
          <w:rFonts w:ascii="Times New Roman"/>
        </w:rPr>
      </w:pPr>
      <w:r>
        <w:rPr>
          <w:rFonts w:ascii="Times New Roman"/>
        </w:rPr>
        <w:t>在产品系统生命周期内的一个或多个选定阶段或过程中的GHG排放量和GHG清除量之和，并以二氧化碳当量表示。</w:t>
      </w:r>
    </w:p>
    <w:p w14:paraId="3537C2A5">
      <w:pPr>
        <w:pStyle w:val="27"/>
        <w:rPr>
          <w:rFonts w:ascii="Times New Roman"/>
        </w:rPr>
      </w:pPr>
      <w:r>
        <w:rPr>
          <w:rFonts w:ascii="Times New Roman"/>
        </w:rPr>
        <w:t>[来源：GB/T 24067-2024，3.1.1]</w:t>
      </w:r>
    </w:p>
    <w:p w14:paraId="3537C2A6">
      <w:pPr>
        <w:pStyle w:val="51"/>
        <w:spacing w:before="156" w:after="156"/>
        <w:rPr>
          <w:rFonts w:ascii="Times New Roman"/>
        </w:rPr>
      </w:pPr>
      <w:bookmarkStart w:id="41" w:name="_Toc15678"/>
      <w:r>
        <w:rPr>
          <w:rFonts w:hint="eastAsia" w:ascii="Times New Roman"/>
        </w:rPr>
        <w:t>功能单位</w:t>
      </w:r>
      <w:r>
        <w:rPr>
          <w:rFonts w:ascii="Times New Roman"/>
        </w:rPr>
        <w:t xml:space="preserve"> functional unit</w:t>
      </w:r>
      <w:bookmarkEnd w:id="41"/>
    </w:p>
    <w:p w14:paraId="3537C2A7">
      <w:pPr>
        <w:pStyle w:val="27"/>
        <w:rPr>
          <w:rFonts w:ascii="Times New Roman"/>
        </w:rPr>
      </w:pPr>
      <w:r>
        <w:rPr>
          <w:rFonts w:hint="eastAsia" w:ascii="Times New Roman"/>
        </w:rPr>
        <w:t>用来量化产品系统功能的基准单位。</w:t>
      </w:r>
    </w:p>
    <w:p w14:paraId="3537C2A8">
      <w:pPr>
        <w:pStyle w:val="27"/>
        <w:ind w:left="63" w:leftChars="30" w:firstLine="360"/>
        <w:rPr>
          <w:rFonts w:ascii="Times New Roman"/>
          <w:sz w:val="18"/>
          <w:szCs w:val="18"/>
        </w:rPr>
      </w:pPr>
      <w:r>
        <w:rPr>
          <w:rFonts w:hint="eastAsia" w:ascii="Times New Roman" w:eastAsia="黑体"/>
          <w:sz w:val="18"/>
          <w:szCs w:val="18"/>
        </w:rPr>
        <w:t>注：</w:t>
      </w:r>
      <w:r>
        <w:rPr>
          <w:rFonts w:hint="eastAsia" w:ascii="Times New Roman"/>
          <w:sz w:val="18"/>
          <w:szCs w:val="18"/>
        </w:rPr>
        <w:t>功能单位通常用于生命周期评价中，用来比较功能相同的不同产品或服务的碳足迹。</w:t>
      </w:r>
    </w:p>
    <w:p w14:paraId="3537C2A9">
      <w:pPr>
        <w:pStyle w:val="27"/>
        <w:rPr>
          <w:rFonts w:ascii="Times New Roman"/>
        </w:rPr>
      </w:pPr>
      <w:r>
        <w:rPr>
          <w:rFonts w:hint="eastAsia" w:ascii="Times New Roman"/>
        </w:rPr>
        <w:t>[来源：GB/T</w:t>
      </w:r>
      <w:r>
        <w:rPr>
          <w:rFonts w:ascii="Times New Roman"/>
        </w:rPr>
        <w:t xml:space="preserve"> </w:t>
      </w:r>
      <w:r>
        <w:rPr>
          <w:rFonts w:hint="eastAsia" w:ascii="Times New Roman"/>
        </w:rPr>
        <w:t>24067-2024，3.3.7，有修改</w:t>
      </w:r>
      <w:r>
        <w:rPr>
          <w:rFonts w:ascii="Times New Roman"/>
        </w:rPr>
        <w:t>]</w:t>
      </w:r>
    </w:p>
    <w:p w14:paraId="3537C2AA">
      <w:pPr>
        <w:pStyle w:val="51"/>
        <w:spacing w:before="156" w:after="156"/>
        <w:rPr>
          <w:rFonts w:ascii="Times New Roman"/>
        </w:rPr>
      </w:pPr>
      <w:r>
        <w:rPr>
          <w:rFonts w:hint="eastAsia" w:ascii="Times New Roman"/>
        </w:rPr>
        <w:t>声明单位</w:t>
      </w:r>
      <w:r>
        <w:rPr>
          <w:rFonts w:ascii="Times New Roman"/>
        </w:rPr>
        <w:t xml:space="preserve"> declared unit</w:t>
      </w:r>
    </w:p>
    <w:p w14:paraId="3537C2AB">
      <w:pPr>
        <w:pStyle w:val="27"/>
        <w:rPr>
          <w:rFonts w:ascii="Times New Roman"/>
        </w:rPr>
      </w:pPr>
      <w:r>
        <w:rPr>
          <w:rFonts w:hint="eastAsia" w:ascii="Times New Roman"/>
        </w:rPr>
        <w:t>用来量化产品部分碳足迹的基准单位，通常是产品的重量、体积或数量。</w:t>
      </w:r>
    </w:p>
    <w:p w14:paraId="3537C2AC">
      <w:pPr>
        <w:pStyle w:val="27"/>
        <w:ind w:left="63" w:firstLine="360"/>
        <w:rPr>
          <w:kern w:val="2"/>
          <w:szCs w:val="21"/>
          <w14:ligatures w14:val="standardContextual"/>
        </w:rPr>
      </w:pPr>
      <w:r>
        <w:rPr>
          <w:rFonts w:hint="eastAsia" w:ascii="黑体" w:hAnsi="黑体" w:eastAsia="黑体"/>
          <w:sz w:val="18"/>
          <w:szCs w:val="18"/>
        </w:rPr>
        <w:t>示例：</w:t>
      </w:r>
      <w:r>
        <w:rPr>
          <w:rFonts w:hint="eastAsia"/>
          <w:sz w:val="18"/>
          <w:szCs w:val="18"/>
        </w:rPr>
        <w:t>1件成品（如1件50 mL面霜、1件30 mL精华液、1支10 g口红）、1 kg原料。</w:t>
      </w:r>
    </w:p>
    <w:p w14:paraId="3537C2AD">
      <w:pPr>
        <w:pStyle w:val="27"/>
        <w:rPr>
          <w:rFonts w:ascii="Times New Roman"/>
        </w:rPr>
      </w:pPr>
      <w:r>
        <w:rPr>
          <w:rFonts w:ascii="Times New Roman"/>
        </w:rPr>
        <w:t>[来源：GB/T 24067-2024，3.3.</w:t>
      </w:r>
      <w:r>
        <w:rPr>
          <w:rFonts w:hint="eastAsia" w:ascii="Times New Roman"/>
        </w:rPr>
        <w:t>8，有修改</w:t>
      </w:r>
      <w:r>
        <w:rPr>
          <w:rFonts w:ascii="Times New Roman"/>
        </w:rPr>
        <w:t>]</w:t>
      </w:r>
    </w:p>
    <w:p w14:paraId="3537C2AE">
      <w:pPr>
        <w:pStyle w:val="51"/>
        <w:spacing w:before="156" w:after="156"/>
        <w:rPr>
          <w:rFonts w:ascii="Times New Roman"/>
        </w:rPr>
      </w:pPr>
      <w:bookmarkStart w:id="42" w:name="_Toc4063"/>
      <w:r>
        <w:rPr>
          <w:rFonts w:ascii="Times New Roman"/>
        </w:rPr>
        <w:t>活动数据 activity data</w:t>
      </w:r>
      <w:bookmarkEnd w:id="42"/>
    </w:p>
    <w:p w14:paraId="3537C2AF">
      <w:pPr>
        <w:pStyle w:val="27"/>
        <w:rPr>
          <w:rFonts w:ascii="Times New Roman"/>
        </w:rPr>
      </w:pPr>
      <w:r>
        <w:rPr>
          <w:rFonts w:ascii="Times New Roman"/>
        </w:rPr>
        <w:t>导致温室气体排放的生产或消费活动量的表征值。</w:t>
      </w:r>
    </w:p>
    <w:p w14:paraId="3537C2B0">
      <w:pPr>
        <w:pStyle w:val="27"/>
        <w:ind w:left="63" w:leftChars="30" w:firstLine="360"/>
        <w:rPr>
          <w:rFonts w:ascii="Times New Roman"/>
          <w:sz w:val="18"/>
          <w:szCs w:val="18"/>
        </w:rPr>
      </w:pPr>
      <w:r>
        <w:rPr>
          <w:rFonts w:ascii="Times New Roman" w:eastAsia="黑体"/>
          <w:sz w:val="18"/>
          <w:szCs w:val="18"/>
        </w:rPr>
        <w:t>注：</w:t>
      </w:r>
      <w:r>
        <w:rPr>
          <w:rFonts w:ascii="Times New Roman"/>
          <w:sz w:val="18"/>
          <w:szCs w:val="18"/>
        </w:rPr>
        <w:t>如各种化石燃料的消耗量、原材料的使用量、购入的电量、购入的热量等。</w:t>
      </w:r>
    </w:p>
    <w:p w14:paraId="3537C2B1">
      <w:pPr>
        <w:pStyle w:val="27"/>
        <w:rPr>
          <w:rFonts w:ascii="Times New Roman"/>
        </w:rPr>
      </w:pPr>
      <w:r>
        <w:rPr>
          <w:rFonts w:ascii="Times New Roman"/>
        </w:rPr>
        <w:t>[来源：GB/T 32150-2015，3.12]</w:t>
      </w:r>
    </w:p>
    <w:p w14:paraId="3537C2B2">
      <w:pPr>
        <w:pStyle w:val="51"/>
        <w:spacing w:before="156" w:after="156"/>
        <w:rPr>
          <w:rFonts w:ascii="Times New Roman"/>
        </w:rPr>
      </w:pPr>
      <w:bookmarkStart w:id="43" w:name="_Toc3421"/>
      <w:r>
        <w:rPr>
          <w:rFonts w:ascii="Times New Roman"/>
        </w:rPr>
        <w:t>初级数据 primary data</w:t>
      </w:r>
      <w:bookmarkEnd w:id="43"/>
    </w:p>
    <w:p w14:paraId="3537C2B3">
      <w:pPr>
        <w:pStyle w:val="27"/>
        <w:rPr>
          <w:rFonts w:ascii="Times New Roman"/>
        </w:rPr>
      </w:pPr>
      <w:r>
        <w:rPr>
          <w:rFonts w:ascii="Times New Roman"/>
        </w:rPr>
        <w:t>通过直接测量或基于直接测量的计算得到的过程或活动的量化值。</w:t>
      </w:r>
    </w:p>
    <w:p w14:paraId="3537C2B4">
      <w:pPr>
        <w:pStyle w:val="27"/>
        <w:ind w:left="1032" w:leftChars="200" w:hanging="612" w:hangingChars="340"/>
        <w:rPr>
          <w:rFonts w:ascii="Times New Roman"/>
          <w:sz w:val="18"/>
          <w:szCs w:val="18"/>
        </w:rPr>
      </w:pPr>
      <w:r>
        <w:rPr>
          <w:rFonts w:hint="eastAsia" w:ascii="Times New Roman" w:eastAsia="黑体"/>
          <w:sz w:val="18"/>
          <w:szCs w:val="18"/>
        </w:rPr>
        <w:t>示例：</w:t>
      </w:r>
      <w:r>
        <w:rPr>
          <w:rFonts w:ascii="Times New Roman"/>
          <w:sz w:val="18"/>
          <w:szCs w:val="18"/>
        </w:rPr>
        <w:t>通过现场测量的能耗、原材料使用量、运输里程等数据，或者企业直接测量得到的温室气体排放数据。</w:t>
      </w:r>
    </w:p>
    <w:p w14:paraId="3537C2B5">
      <w:pPr>
        <w:pStyle w:val="27"/>
        <w:rPr>
          <w:rFonts w:ascii="Times New Roman"/>
        </w:rPr>
      </w:pPr>
      <w:r>
        <w:rPr>
          <w:rFonts w:ascii="Times New Roman"/>
        </w:rPr>
        <w:t>[来源：GB/T 24067-2024，3.6.1</w:t>
      </w:r>
      <w:r>
        <w:rPr>
          <w:rFonts w:hint="eastAsia" w:ascii="Times New Roman"/>
        </w:rPr>
        <w:t>，有修改</w:t>
      </w:r>
      <w:r>
        <w:rPr>
          <w:rFonts w:ascii="Times New Roman"/>
        </w:rPr>
        <w:t>]</w:t>
      </w:r>
    </w:p>
    <w:p w14:paraId="3537C2B6">
      <w:pPr>
        <w:pStyle w:val="51"/>
        <w:spacing w:before="156" w:after="156"/>
        <w:rPr>
          <w:rFonts w:ascii="Times New Roman"/>
        </w:rPr>
      </w:pPr>
      <w:bookmarkStart w:id="44" w:name="_Toc11503"/>
      <w:r>
        <w:rPr>
          <w:rFonts w:ascii="Times New Roman"/>
        </w:rPr>
        <w:t>现场数据 site-specific data</w:t>
      </w:r>
      <w:bookmarkEnd w:id="44"/>
    </w:p>
    <w:p w14:paraId="3537C2B7">
      <w:pPr>
        <w:pStyle w:val="27"/>
        <w:rPr>
          <w:rFonts w:ascii="Times New Roman"/>
        </w:rPr>
      </w:pPr>
      <w:r>
        <w:rPr>
          <w:rFonts w:ascii="Times New Roman"/>
        </w:rPr>
        <w:t>从产品系统内部获得的初级数据。</w:t>
      </w:r>
    </w:p>
    <w:p w14:paraId="3537C2B8">
      <w:pPr>
        <w:pStyle w:val="27"/>
        <w:ind w:left="63" w:leftChars="30" w:firstLine="360"/>
        <w:rPr>
          <w:rFonts w:ascii="Times New Roman"/>
          <w:sz w:val="18"/>
          <w:szCs w:val="18"/>
        </w:rPr>
      </w:pPr>
      <w:r>
        <w:rPr>
          <w:rFonts w:hint="eastAsia" w:ascii="Times New Roman" w:eastAsia="黑体"/>
          <w:sz w:val="18"/>
          <w:szCs w:val="18"/>
        </w:rPr>
        <w:t>示例：</w:t>
      </w:r>
      <w:r>
        <w:rPr>
          <w:rFonts w:ascii="Times New Roman"/>
          <w:sz w:val="18"/>
          <w:szCs w:val="18"/>
        </w:rPr>
        <w:t>企业在其工厂内监测到的每小时电力消耗数据，或者通过测量直接获得的温室气体排放量。</w:t>
      </w:r>
    </w:p>
    <w:p w14:paraId="3537C2B9">
      <w:pPr>
        <w:pStyle w:val="27"/>
        <w:rPr>
          <w:rFonts w:ascii="Times New Roman"/>
          <w:sz w:val="18"/>
          <w:szCs w:val="18"/>
        </w:rPr>
      </w:pPr>
      <w:r>
        <w:rPr>
          <w:rFonts w:ascii="Times New Roman"/>
        </w:rPr>
        <w:t>[来源：GB/T 24067-2024，3.6.2</w:t>
      </w:r>
      <w:r>
        <w:rPr>
          <w:rFonts w:hint="eastAsia" w:ascii="Times New Roman"/>
        </w:rPr>
        <w:t>，有修改</w:t>
      </w:r>
      <w:r>
        <w:rPr>
          <w:rFonts w:ascii="Times New Roman"/>
        </w:rPr>
        <w:t>]</w:t>
      </w:r>
    </w:p>
    <w:p w14:paraId="3537C2BA">
      <w:pPr>
        <w:pStyle w:val="51"/>
        <w:spacing w:before="156" w:after="156"/>
        <w:rPr>
          <w:rFonts w:ascii="Times New Roman"/>
        </w:rPr>
      </w:pPr>
      <w:bookmarkStart w:id="45" w:name="_Toc31879"/>
      <w:r>
        <w:rPr>
          <w:rFonts w:ascii="Times New Roman"/>
        </w:rPr>
        <w:t>次级数据 secondary data</w:t>
      </w:r>
      <w:bookmarkEnd w:id="45"/>
    </w:p>
    <w:p w14:paraId="3537C2BB">
      <w:pPr>
        <w:pStyle w:val="27"/>
        <w:rPr>
          <w:rFonts w:ascii="Times New Roman"/>
        </w:rPr>
      </w:pPr>
      <w:r>
        <w:rPr>
          <w:rFonts w:ascii="Times New Roman"/>
        </w:rPr>
        <w:t>不符合初级数据要求的数据。</w:t>
      </w:r>
    </w:p>
    <w:p w14:paraId="3537C2BC">
      <w:pPr>
        <w:pStyle w:val="27"/>
        <w:ind w:left="63" w:leftChars="30" w:firstLine="360"/>
        <w:rPr>
          <w:rFonts w:ascii="Times New Roman"/>
          <w:sz w:val="18"/>
          <w:szCs w:val="18"/>
        </w:rPr>
      </w:pPr>
      <w:r>
        <w:rPr>
          <w:rFonts w:hint="eastAsia" w:ascii="Times New Roman" w:eastAsia="黑体"/>
          <w:sz w:val="18"/>
          <w:szCs w:val="18"/>
        </w:rPr>
        <w:t>示例：</w:t>
      </w:r>
      <w:r>
        <w:rPr>
          <w:rFonts w:ascii="Times New Roman"/>
          <w:sz w:val="18"/>
          <w:szCs w:val="18"/>
        </w:rPr>
        <w:t>使用国际或国家数据库中的排放因子，或由第三方机构估算的运输碳排放数据。</w:t>
      </w:r>
    </w:p>
    <w:p w14:paraId="3537C2BD">
      <w:pPr>
        <w:pStyle w:val="27"/>
        <w:rPr>
          <w:rFonts w:ascii="Times New Roman"/>
        </w:rPr>
      </w:pPr>
      <w:r>
        <w:rPr>
          <w:rFonts w:ascii="Times New Roman"/>
        </w:rPr>
        <w:t>[来源：GB/T 24067-2024，3.6.3</w:t>
      </w:r>
      <w:r>
        <w:rPr>
          <w:rFonts w:hint="eastAsia" w:ascii="Times New Roman"/>
        </w:rPr>
        <w:t>，有修改</w:t>
      </w:r>
      <w:r>
        <w:rPr>
          <w:rFonts w:ascii="Times New Roman"/>
        </w:rPr>
        <w:t>]</w:t>
      </w:r>
    </w:p>
    <w:p w14:paraId="3537C2BE">
      <w:pPr>
        <w:pStyle w:val="51"/>
        <w:spacing w:before="156" w:after="156"/>
        <w:rPr>
          <w:rFonts w:ascii="Times New Roman"/>
        </w:rPr>
      </w:pPr>
      <w:r>
        <w:rPr>
          <w:rFonts w:hint="eastAsia" w:ascii="Times New Roman"/>
        </w:rPr>
        <w:t>混合</w:t>
      </w:r>
      <w:r>
        <w:rPr>
          <w:rFonts w:ascii="Times New Roman"/>
        </w:rPr>
        <w:t>数据 mixed data</w:t>
      </w:r>
    </w:p>
    <w:p w14:paraId="3537C2BF">
      <w:pPr>
        <w:pStyle w:val="27"/>
        <w:rPr>
          <w:rFonts w:ascii="Times New Roman"/>
        </w:rPr>
      </w:pPr>
      <w:r>
        <w:rPr>
          <w:rFonts w:ascii="Times New Roman"/>
        </w:rPr>
        <w:t>结合了初级数据和次级数据的数据。</w:t>
      </w:r>
    </w:p>
    <w:p w14:paraId="3537C2C0">
      <w:pPr>
        <w:pStyle w:val="27"/>
        <w:rPr>
          <w:rFonts w:ascii="Times New Roman"/>
        </w:rPr>
      </w:pPr>
      <w:r>
        <w:rPr>
          <w:rFonts w:ascii="Times New Roman"/>
        </w:rPr>
        <w:t>[来源：ISO 14064:2018，ISO 14067:2018]</w:t>
      </w:r>
    </w:p>
    <w:p w14:paraId="3537C2C1">
      <w:pPr>
        <w:pStyle w:val="51"/>
        <w:spacing w:before="156" w:after="156"/>
        <w:rPr>
          <w:rFonts w:ascii="Times New Roman"/>
        </w:rPr>
      </w:pPr>
      <w:r>
        <w:rPr>
          <w:rFonts w:ascii="Times New Roman"/>
        </w:rPr>
        <w:t>数据质量等级data quality rating (DQR)</w:t>
      </w:r>
    </w:p>
    <w:p w14:paraId="3537C2C2">
      <w:pPr>
        <w:pStyle w:val="27"/>
        <w:rPr>
          <w:rFonts w:ascii="Times New Roman"/>
        </w:rPr>
      </w:pPr>
      <w:r>
        <w:rPr>
          <w:rFonts w:hint="eastAsia" w:ascii="Times New Roman"/>
        </w:rPr>
        <w:t>用来评估数据质量的标准，通常分为A、B、C、D等级。数据质量的评估基于时间相关性、地域相关性、技术相关性、完整性和一致性。</w:t>
      </w:r>
    </w:p>
    <w:p w14:paraId="3537C2C3">
      <w:pPr>
        <w:pStyle w:val="27"/>
        <w:autoSpaceDE/>
        <w:autoSpaceDN/>
        <w:ind w:left="63" w:leftChars="30" w:firstLine="360"/>
        <w:rPr>
          <w:rFonts w:ascii="Times New Roman"/>
        </w:rPr>
      </w:pPr>
      <w:bookmarkStart w:id="46" w:name="_Toc24450"/>
      <w:bookmarkStart w:id="47" w:name="_Toc139292011"/>
      <w:bookmarkStart w:id="48" w:name="_Toc138865417"/>
      <w:bookmarkStart w:id="49" w:name="_Toc138241540"/>
      <w:bookmarkStart w:id="50" w:name="_Toc137772384"/>
      <w:r>
        <w:rPr>
          <w:rFonts w:hint="eastAsia" w:ascii="Times New Roman" w:eastAsia="黑体"/>
          <w:sz w:val="18"/>
          <w:szCs w:val="18"/>
        </w:rPr>
        <w:t>示例：</w:t>
      </w:r>
      <w:r>
        <w:rPr>
          <w:rFonts w:ascii="Times New Roman"/>
          <w:sz w:val="18"/>
          <w:szCs w:val="18"/>
        </w:rPr>
        <w:t>A等级数据通常是现场测量数据，B等级数据可能是经过验证的次级数据，而C等级数据可能是估算值。</w:t>
      </w:r>
    </w:p>
    <w:p w14:paraId="3537C2C4">
      <w:pPr>
        <w:pStyle w:val="27"/>
        <w:ind w:left="924" w:leftChars="200" w:hanging="504" w:hangingChars="240"/>
        <w:rPr>
          <w:rFonts w:ascii="Times New Roman"/>
        </w:rPr>
      </w:pPr>
      <w:r>
        <w:rPr>
          <w:rFonts w:ascii="Times New Roman"/>
        </w:rPr>
        <w:t>[来源：ISO 14067:2018, GB/T 24067-2024]</w:t>
      </w:r>
    </w:p>
    <w:p w14:paraId="3537C2C5">
      <w:pPr>
        <w:pStyle w:val="51"/>
        <w:spacing w:before="156" w:after="156"/>
        <w:rPr>
          <w:rFonts w:ascii="Times New Roman"/>
        </w:rPr>
      </w:pPr>
      <w:r>
        <w:rPr>
          <w:rFonts w:ascii="Times New Roman"/>
        </w:rPr>
        <w:t>行业扩展字段industry extension fields</w:t>
      </w:r>
    </w:p>
    <w:p w14:paraId="3537C2C6">
      <w:pPr>
        <w:pStyle w:val="27"/>
        <w:autoSpaceDE/>
        <w:autoSpaceDN/>
      </w:pPr>
      <w:r>
        <w:rPr>
          <w:rFonts w:hint="eastAsia" w:ascii="Times New Roman"/>
        </w:rPr>
        <w:t>在标准化数据字段基础上，根据行业特定需求增加的额外字段，用于描述产品、生产过程或原材料等特定信息。</w:t>
      </w:r>
      <w:r>
        <w:rPr>
          <w:rFonts w:ascii="Times New Roman"/>
        </w:rPr>
        <w:br w:type="textWrapping"/>
      </w:r>
      <w:r>
        <w:rPr>
          <w:rFonts w:hint="eastAsia" w:ascii="Times New Roman"/>
        </w:rPr>
        <w:t xml:space="preserve">    </w:t>
      </w:r>
      <w:r>
        <w:rPr>
          <w:rFonts w:hint="eastAsia" w:ascii="Times New Roman" w:hAnsi="宋体" w:eastAsia="黑体" w:cs="宋体"/>
          <w:sz w:val="18"/>
          <w:szCs w:val="18"/>
          <w:lang w:bidi="ar"/>
        </w:rPr>
        <w:t>示例：</w:t>
      </w:r>
      <w:r>
        <w:rPr>
          <w:rFonts w:ascii="Times New Roman"/>
          <w:sz w:val="18"/>
          <w:szCs w:val="18"/>
        </w:rPr>
        <w:t>香料行业可能需要添加“原料种植区域”字段，化妆品行业可能需要“包装材料类型”字段</w:t>
      </w:r>
      <w:r>
        <w:rPr>
          <w:rFonts w:hint="eastAsia" w:hAnsi="宋体" w:cs="宋体"/>
          <w:kern w:val="2"/>
          <w:sz w:val="18"/>
          <w:szCs w:val="18"/>
          <w:lang w:bidi="ar"/>
        </w:rPr>
        <w:t>。</w:t>
      </w:r>
    </w:p>
    <w:p w14:paraId="3537C2C7">
      <w:pPr>
        <w:pStyle w:val="27"/>
        <w:rPr>
          <w:rFonts w:ascii="Times New Roman"/>
        </w:rPr>
      </w:pPr>
      <w:r>
        <w:rPr>
          <w:rFonts w:ascii="Times New Roman"/>
        </w:rPr>
        <w:t>[来源：PACT Methodology, ISO 14067]</w:t>
      </w:r>
    </w:p>
    <w:p w14:paraId="3537C2C8">
      <w:pPr>
        <w:pStyle w:val="51"/>
        <w:spacing w:before="156" w:after="156"/>
        <w:rPr>
          <w:rFonts w:ascii="Times New Roman"/>
        </w:rPr>
      </w:pPr>
      <w:r>
        <w:rPr>
          <w:rFonts w:ascii="Times New Roman"/>
        </w:rPr>
        <w:t>数据交换格式data exchange format</w:t>
      </w:r>
    </w:p>
    <w:p w14:paraId="3537C2C9">
      <w:pPr>
        <w:pStyle w:val="27"/>
        <w:rPr>
          <w:rFonts w:ascii="Times New Roman"/>
          <w:sz w:val="18"/>
          <w:szCs w:val="18"/>
        </w:rPr>
      </w:pPr>
      <w:r>
        <w:rPr>
          <w:rFonts w:ascii="Times New Roman"/>
        </w:rPr>
        <w:t>用于不同系统之间传递数据的标准化格式，确保数据的互操作性。</w:t>
      </w:r>
      <w:r>
        <w:rPr>
          <w:rFonts w:ascii="Times New Roman"/>
        </w:rPr>
        <w:br w:type="textWrapping"/>
      </w:r>
      <w:r>
        <w:rPr>
          <w:rFonts w:hint="eastAsia" w:ascii="Times New Roman"/>
        </w:rPr>
        <w:t xml:space="preserve">    </w:t>
      </w:r>
      <w:r>
        <w:rPr>
          <w:rFonts w:ascii="Times New Roman" w:eastAsia="黑体"/>
          <w:sz w:val="18"/>
          <w:szCs w:val="18"/>
        </w:rPr>
        <w:t>注1：</w:t>
      </w:r>
      <w:r>
        <w:rPr>
          <w:rFonts w:ascii="Times New Roman"/>
          <w:sz w:val="18"/>
          <w:szCs w:val="18"/>
        </w:rPr>
        <w:t>常见的数据交换格式包括CSV、Excel、JSON等。</w:t>
      </w:r>
    </w:p>
    <w:p w14:paraId="3537C2CA">
      <w:pPr>
        <w:pStyle w:val="27"/>
        <w:ind w:left="63" w:leftChars="30" w:firstLine="360"/>
        <w:rPr>
          <w:rFonts w:ascii="Times New Roman"/>
          <w:sz w:val="18"/>
          <w:szCs w:val="18"/>
        </w:rPr>
      </w:pPr>
      <w:r>
        <w:rPr>
          <w:rFonts w:ascii="Times New Roman" w:eastAsia="黑体"/>
          <w:sz w:val="18"/>
          <w:szCs w:val="18"/>
        </w:rPr>
        <w:t>注2：</w:t>
      </w:r>
      <w:r>
        <w:rPr>
          <w:rFonts w:ascii="Times New Roman"/>
          <w:sz w:val="18"/>
          <w:szCs w:val="18"/>
        </w:rPr>
        <w:t>在碳足迹核算中，数据交换格式通常会与国际标准对接，如PACT Methodology所规定的JSON格式。</w:t>
      </w:r>
    </w:p>
    <w:p w14:paraId="3537C2CB">
      <w:pPr>
        <w:pStyle w:val="51"/>
        <w:spacing w:before="156" w:after="156"/>
        <w:rPr>
          <w:rFonts w:ascii="Times New Roman"/>
        </w:rPr>
      </w:pPr>
      <w:r>
        <w:rPr>
          <w:rFonts w:ascii="Times New Roman"/>
        </w:rPr>
        <w:t>全球变暖潜势 global warming potential</w:t>
      </w:r>
      <w:bookmarkEnd w:id="46"/>
      <w:bookmarkEnd w:id="47"/>
      <w:bookmarkEnd w:id="48"/>
      <w:bookmarkEnd w:id="49"/>
      <w:bookmarkEnd w:id="50"/>
    </w:p>
    <w:p w14:paraId="3537C2CC">
      <w:pPr>
        <w:pStyle w:val="27"/>
        <w:rPr>
          <w:rFonts w:ascii="Times New Roman"/>
        </w:rPr>
      </w:pPr>
      <w:r>
        <w:rPr>
          <w:rFonts w:ascii="Times New Roman"/>
        </w:rPr>
        <w:t>将单位质量的某种温室气体在给定时间段内辐射强迫影响与等量二氧化碳辐射强迫影响相关联的系数。</w:t>
      </w:r>
    </w:p>
    <w:p w14:paraId="3537C2CD">
      <w:pPr>
        <w:pStyle w:val="27"/>
        <w:rPr>
          <w:rFonts w:ascii="Times New Roman"/>
        </w:rPr>
      </w:pPr>
      <w:r>
        <w:rPr>
          <w:rFonts w:ascii="Times New Roman"/>
        </w:rPr>
        <w:t>[来源：GB/T 24067-2024，3.2.4]</w:t>
      </w:r>
    </w:p>
    <w:p w14:paraId="3537C2CE">
      <w:pPr>
        <w:pStyle w:val="51"/>
        <w:spacing w:before="156" w:after="156"/>
        <w:rPr>
          <w:rFonts w:ascii="Times New Roman"/>
        </w:rPr>
      </w:pPr>
      <w:bookmarkStart w:id="51" w:name="_Toc138241541"/>
      <w:bookmarkStart w:id="52" w:name="_Toc137772385"/>
      <w:bookmarkStart w:id="53" w:name="_Toc139292012"/>
      <w:bookmarkStart w:id="54" w:name="_Toc138865418"/>
      <w:bookmarkStart w:id="55" w:name="_Toc27452"/>
      <w:r>
        <w:rPr>
          <w:rFonts w:ascii="Times New Roman"/>
        </w:rPr>
        <w:t>二氧化碳当量carbon dioxide equivalen</w:t>
      </w:r>
      <w:bookmarkEnd w:id="51"/>
      <w:bookmarkEnd w:id="52"/>
      <w:r>
        <w:rPr>
          <w:rFonts w:ascii="Times New Roman"/>
        </w:rPr>
        <w:t>t</w:t>
      </w:r>
      <w:bookmarkEnd w:id="53"/>
      <w:bookmarkEnd w:id="54"/>
      <w:r>
        <w:rPr>
          <w:rFonts w:ascii="Times New Roman"/>
        </w:rPr>
        <w:t>；CO</w:t>
      </w:r>
      <w:r>
        <w:rPr>
          <w:rFonts w:ascii="Times New Roman"/>
          <w:vertAlign w:val="subscript"/>
        </w:rPr>
        <w:t>2</w:t>
      </w:r>
      <w:r>
        <w:rPr>
          <w:rFonts w:ascii="Times New Roman"/>
        </w:rPr>
        <w:t>e</w:t>
      </w:r>
      <w:bookmarkEnd w:id="55"/>
    </w:p>
    <w:p w14:paraId="3537C2CF">
      <w:pPr>
        <w:pStyle w:val="27"/>
        <w:rPr>
          <w:rFonts w:ascii="Times New Roman"/>
        </w:rPr>
      </w:pPr>
      <w:r>
        <w:rPr>
          <w:rFonts w:ascii="Times New Roman"/>
        </w:rPr>
        <w:t>比较某种温室气体与二氧化碳的辐射强迫的单位。</w:t>
      </w:r>
    </w:p>
    <w:p w14:paraId="3537C2D0">
      <w:pPr>
        <w:pStyle w:val="27"/>
        <w:autoSpaceDE/>
        <w:autoSpaceDN/>
        <w:rPr>
          <w:rFonts w:ascii="Times New Roman"/>
        </w:rPr>
      </w:pPr>
      <w:r>
        <w:rPr>
          <w:rFonts w:ascii="Times New Roman"/>
        </w:rPr>
        <w:t>[来源：GB/T 24067-2024，3.2.2]</w:t>
      </w:r>
    </w:p>
    <w:bookmarkEnd w:id="25"/>
    <w:bookmarkEnd w:id="26"/>
    <w:bookmarkEnd w:id="27"/>
    <w:bookmarkEnd w:id="28"/>
    <w:p w14:paraId="3537C2D1">
      <w:pPr>
        <w:pStyle w:val="54"/>
        <w:spacing w:before="312" w:after="312"/>
        <w:outlineLvl w:val="0"/>
        <w:rPr>
          <w:rFonts w:ascii="Times New Roman"/>
        </w:rPr>
      </w:pPr>
      <w:bookmarkStart w:id="56" w:name="_Toc9352"/>
      <w:bookmarkStart w:id="57" w:name="_Toc27708"/>
      <w:bookmarkStart w:id="58" w:name="_Toc6608"/>
      <w:r>
        <w:rPr>
          <w:rFonts w:ascii="Times New Roman"/>
        </w:rPr>
        <w:t>基本</w:t>
      </w:r>
      <w:bookmarkEnd w:id="29"/>
      <w:r>
        <w:rPr>
          <w:rFonts w:ascii="Times New Roman"/>
        </w:rPr>
        <w:t>原则</w:t>
      </w:r>
      <w:bookmarkEnd w:id="56"/>
      <w:bookmarkEnd w:id="57"/>
      <w:bookmarkEnd w:id="58"/>
    </w:p>
    <w:p w14:paraId="3537C2D2">
      <w:pPr>
        <w:pStyle w:val="51"/>
        <w:spacing w:before="156" w:after="156"/>
        <w:rPr>
          <w:rFonts w:ascii="Times New Roman"/>
        </w:rPr>
      </w:pPr>
      <w:bookmarkStart w:id="59" w:name="_Toc30239"/>
      <w:r>
        <w:rPr>
          <w:rFonts w:ascii="Times New Roman"/>
        </w:rPr>
        <w:t>概述</w:t>
      </w:r>
      <w:bookmarkEnd w:id="59"/>
    </w:p>
    <w:p w14:paraId="3537C2D3">
      <w:pPr>
        <w:pStyle w:val="27"/>
        <w:rPr>
          <w:rFonts w:ascii="Times New Roman"/>
        </w:rPr>
      </w:pPr>
      <w:r>
        <w:rPr>
          <w:rFonts w:ascii="Times New Roman"/>
        </w:rPr>
        <w:t>为确保产品碳足迹核算、数据质量管理、信息披露与数据交换过程符合本</w:t>
      </w:r>
      <w:r>
        <w:rPr>
          <w:rFonts w:hint="eastAsia" w:ascii="Times New Roman"/>
        </w:rPr>
        <w:t>标准</w:t>
      </w:r>
      <w:r>
        <w:rPr>
          <w:rFonts w:ascii="Times New Roman"/>
        </w:rPr>
        <w:t>的要求，实施主体（包括行业企业、监管机构、客户及金融机构等）在开展碳足迹核算与数据管理时，</w:t>
      </w:r>
      <w:r>
        <w:rPr>
          <w:rFonts w:hint="eastAsia" w:ascii="Times New Roman"/>
        </w:rPr>
        <w:t>建议</w:t>
      </w:r>
      <w:r>
        <w:rPr>
          <w:rFonts w:ascii="Times New Roman"/>
        </w:rPr>
        <w:t>遵循以下基本原则：数据与方法的完整性、准确性、透明性、一致性，同时满足国际标准对接及行业应用需求。</w:t>
      </w:r>
    </w:p>
    <w:p w14:paraId="3537C2D4">
      <w:pPr>
        <w:pStyle w:val="51"/>
        <w:spacing w:before="156" w:after="156"/>
        <w:rPr>
          <w:rFonts w:ascii="Times New Roman"/>
        </w:rPr>
      </w:pPr>
      <w:bookmarkStart w:id="60" w:name="_Toc1412"/>
      <w:r>
        <w:rPr>
          <w:rFonts w:ascii="Times New Roman"/>
        </w:rPr>
        <w:t>相关性</w:t>
      </w:r>
      <w:bookmarkEnd w:id="60"/>
    </w:p>
    <w:p w14:paraId="3537C2D5">
      <w:pPr>
        <w:pStyle w:val="27"/>
        <w:rPr>
          <w:rFonts w:ascii="Times New Roman"/>
        </w:rPr>
      </w:pPr>
      <w:r>
        <w:rPr>
          <w:rFonts w:ascii="Times New Roman"/>
        </w:rPr>
        <w:t>所选温室气体排放数据、减排措施和数据交换字段必须与目标用户的需求高度契合，确保能够支持行业企业、客户、监管机构及金融机构等不同利益相关方的实际使用。数据和方法的选择应服务于碳足迹核算的实际应用，确保其能为用户提供真实、有效的决策支持。</w:t>
      </w:r>
    </w:p>
    <w:p w14:paraId="3537C2D6">
      <w:pPr>
        <w:pStyle w:val="51"/>
        <w:spacing w:before="156" w:after="156"/>
        <w:rPr>
          <w:rFonts w:ascii="Times New Roman"/>
        </w:rPr>
      </w:pPr>
      <w:bookmarkStart w:id="61" w:name="_Toc5407"/>
      <w:r>
        <w:rPr>
          <w:rFonts w:ascii="Times New Roman"/>
        </w:rPr>
        <w:t>完整性</w:t>
      </w:r>
      <w:bookmarkEnd w:id="61"/>
    </w:p>
    <w:p w14:paraId="3537C2D7">
      <w:pPr>
        <w:pStyle w:val="27"/>
        <w:rPr>
          <w:rFonts w:ascii="Times New Roman"/>
        </w:rPr>
      </w:pPr>
      <w:r>
        <w:rPr>
          <w:rFonts w:ascii="Times New Roman"/>
        </w:rPr>
        <w:t>碳足迹核算需涵盖系统边界内所有相关的温室气体排放和减排活动，包括直接排放、间接排放及抵消活动。数据交换应包括所需的核心字段，并根据行业需求提供必要的扩展字段，以确保数据全面且无遗漏。</w:t>
      </w:r>
    </w:p>
    <w:p w14:paraId="3537C2D8">
      <w:pPr>
        <w:pStyle w:val="51"/>
        <w:spacing w:before="156" w:after="156"/>
        <w:rPr>
          <w:rFonts w:ascii="Times New Roman"/>
        </w:rPr>
      </w:pPr>
      <w:bookmarkStart w:id="62" w:name="_Toc7709"/>
      <w:r>
        <w:rPr>
          <w:rFonts w:ascii="Times New Roman"/>
        </w:rPr>
        <w:t>一致性</w:t>
      </w:r>
      <w:bookmarkEnd w:id="62"/>
    </w:p>
    <w:p w14:paraId="3537C2D9">
      <w:pPr>
        <w:pStyle w:val="27"/>
        <w:rPr>
          <w:rFonts w:ascii="Times New Roman"/>
        </w:rPr>
      </w:pPr>
      <w:r>
        <w:rPr>
          <w:rFonts w:ascii="Times New Roman"/>
        </w:rPr>
        <w:t>所有假设、计算方法和数据质量规则应在行业内保持一致，确保不同企业和产品之间的数据可比性与可对比性。这要求行业广泛采用统一的计算方法和标准化的数据结构，便于跨企业、跨产品、跨地区的数据对比与汇总。</w:t>
      </w:r>
    </w:p>
    <w:p w14:paraId="3537C2DA">
      <w:pPr>
        <w:pStyle w:val="51"/>
        <w:spacing w:before="156" w:after="156"/>
        <w:rPr>
          <w:rFonts w:ascii="Times New Roman"/>
        </w:rPr>
      </w:pPr>
      <w:bookmarkStart w:id="63" w:name="_Toc18467"/>
      <w:r>
        <w:rPr>
          <w:rFonts w:ascii="Times New Roman"/>
        </w:rPr>
        <w:t>准确性</w:t>
      </w:r>
      <w:bookmarkEnd w:id="63"/>
    </w:p>
    <w:p w14:paraId="3537C2DB">
      <w:pPr>
        <w:pStyle w:val="27"/>
        <w:rPr>
          <w:rFonts w:ascii="Times New Roman"/>
        </w:rPr>
      </w:pPr>
      <w:bookmarkStart w:id="64" w:name="_Hlk138241830"/>
      <w:r>
        <w:rPr>
          <w:rFonts w:hint="eastAsia" w:ascii="Times New Roman"/>
        </w:rPr>
        <w:t>所有碳排放数据应尽可能准确、可验证，采用的数据和计算方法应最大限度地减少偏差和不确定性。数据的质量评价应按照统一标准进行，以确保碳足迹核算结果的可靠性与科学性。</w:t>
      </w:r>
    </w:p>
    <w:p w14:paraId="3537C2DC">
      <w:pPr>
        <w:pStyle w:val="51"/>
        <w:spacing w:before="156" w:after="156"/>
        <w:rPr>
          <w:rFonts w:ascii="Times New Roman"/>
        </w:rPr>
      </w:pPr>
      <w:bookmarkStart w:id="65" w:name="_Toc30147"/>
      <w:r>
        <w:rPr>
          <w:rFonts w:ascii="Times New Roman"/>
        </w:rPr>
        <w:t>透明性</w:t>
      </w:r>
      <w:bookmarkEnd w:id="65"/>
    </w:p>
    <w:p w14:paraId="3537C2DD">
      <w:pPr>
        <w:pStyle w:val="27"/>
        <w:rPr>
          <w:rFonts w:ascii="Times New Roman"/>
        </w:rPr>
      </w:pPr>
      <w:r>
        <w:rPr>
          <w:rFonts w:ascii="Times New Roman"/>
        </w:rPr>
        <w:t>所有数据来源、假设条件、计算方法和数据质量等级应具备清晰的可追溯性，能够公开透明地呈现。在碳足迹核算和数据交换过程中，相关信息应准确地反映在报告和披露中，以便利益相关者能够清晰理解数据的来源和处理方式。</w:t>
      </w:r>
    </w:p>
    <w:bookmarkEnd w:id="64"/>
    <w:p w14:paraId="3537C2DE">
      <w:pPr>
        <w:pStyle w:val="54"/>
        <w:spacing w:before="312" w:after="312"/>
        <w:outlineLvl w:val="0"/>
        <w:rPr>
          <w:rFonts w:ascii="Times New Roman"/>
        </w:rPr>
      </w:pPr>
      <w:bookmarkStart w:id="66" w:name="_Toc16326"/>
      <w:bookmarkStart w:id="67" w:name="_Toc928"/>
      <w:r>
        <w:rPr>
          <w:rFonts w:hint="eastAsia" w:ascii="Times New Roman"/>
        </w:rPr>
        <w:t>产品碳足迹核算与数据管理方法</w:t>
      </w:r>
      <w:bookmarkEnd w:id="66"/>
    </w:p>
    <w:p w14:paraId="3537C2DF">
      <w:pPr>
        <w:pStyle w:val="51"/>
        <w:spacing w:before="156" w:after="156"/>
        <w:rPr>
          <w:rFonts w:ascii="Times New Roman"/>
        </w:rPr>
      </w:pPr>
      <w:r>
        <w:rPr>
          <w:rFonts w:hint="eastAsia" w:ascii="Times New Roman"/>
        </w:rPr>
        <w:t>核算方法</w:t>
      </w:r>
    </w:p>
    <w:p w14:paraId="3537C2E0">
      <w:pPr>
        <w:pStyle w:val="27"/>
        <w:rPr>
          <w:rFonts w:hint="eastAsia" w:ascii="Times New Roman"/>
        </w:rPr>
      </w:pPr>
      <w:r>
        <w:rPr>
          <w:rFonts w:hint="eastAsia" w:ascii="Times New Roman"/>
        </w:rPr>
        <w:t>核算流程建议按以下步骤开展：明确产品对象与核算目的；确定功能单位/声明单位；确定系统边界；收集生命周期清单数据；选取排放因子；开展分配、生物碳、回收等专项处理；汇总结果并形成报告。</w:t>
      </w:r>
    </w:p>
    <w:p w14:paraId="3537C2E1">
      <w:pPr>
        <w:pStyle w:val="55"/>
        <w:spacing w:before="156" w:after="156"/>
        <w:ind w:left="0"/>
        <w:rPr>
          <w:rFonts w:ascii="Times New Roman"/>
        </w:rPr>
      </w:pPr>
      <w:r>
        <w:rPr>
          <w:rFonts w:hint="eastAsia" w:ascii="Times New Roman"/>
        </w:rPr>
        <w:t>功能单位/声明单位与系统边界</w:t>
      </w:r>
    </w:p>
    <w:p w14:paraId="3537C2E2">
      <w:pPr>
        <w:pStyle w:val="60"/>
        <w:spacing w:before="156" w:after="156"/>
      </w:pPr>
      <w:r>
        <w:rPr>
          <w:rFonts w:hint="eastAsia" w:ascii="Times New Roman"/>
        </w:rPr>
        <w:t>功能单位/</w:t>
      </w:r>
      <w:r>
        <w:rPr>
          <w:rFonts w:hint="eastAsia"/>
        </w:rPr>
        <w:t>声明单位</w:t>
      </w:r>
    </w:p>
    <w:p w14:paraId="3537C2E3">
      <w:pPr>
        <w:pStyle w:val="27"/>
        <w:rPr>
          <w:rFonts w:ascii="Times New Roman"/>
        </w:rPr>
      </w:pPr>
      <w:r>
        <w:rPr>
          <w:rFonts w:hint="eastAsia" w:ascii="Times New Roman"/>
        </w:rPr>
        <w:t>a</w:t>
      </w:r>
      <w:r>
        <w:rPr>
          <w:rFonts w:ascii="Times New Roman"/>
        </w:rPr>
        <w:t>）目的与原则</w:t>
      </w:r>
    </w:p>
    <w:p w14:paraId="3537C2E4">
      <w:pPr>
        <w:pStyle w:val="27"/>
        <w:rPr>
          <w:rFonts w:ascii="Times New Roman"/>
        </w:rPr>
      </w:pPr>
      <w:r>
        <w:rPr>
          <w:rFonts w:ascii="Times New Roman"/>
        </w:rPr>
        <w:t xml:space="preserve">— </w:t>
      </w:r>
      <w:r>
        <w:rPr>
          <w:rFonts w:hint="eastAsia" w:ascii="Times New Roman"/>
        </w:rPr>
        <w:t>功能单位/</w:t>
      </w:r>
      <w:r>
        <w:rPr>
          <w:rFonts w:ascii="Times New Roman"/>
        </w:rPr>
        <w:t>声明单位是产品碳足迹计算的量化基础，用于将结果归一化，确保不同产品或方案间可比较。</w:t>
      </w:r>
    </w:p>
    <w:p w14:paraId="3537C2E5">
      <w:pPr>
        <w:pStyle w:val="27"/>
        <w:rPr>
          <w:kern w:val="2"/>
          <w:szCs w:val="21"/>
          <w14:ligatures w14:val="standardContextual"/>
        </w:rPr>
      </w:pPr>
      <w:r>
        <w:rPr>
          <w:rFonts w:ascii="Times New Roman"/>
        </w:rPr>
        <w:t>—</w:t>
      </w:r>
      <w:r>
        <w:rPr>
          <w:rFonts w:hint="eastAsia" w:ascii="Times New Roman"/>
        </w:rPr>
        <w:t xml:space="preserve"> 对于产品种类和规格较多的企业，可结合经营重点、销售占比和排放热点，优先对重点产品、大类产品或主要销售规格开展核算，并逐步扩展覆盖范围。</w:t>
      </w:r>
    </w:p>
    <w:p w14:paraId="3537C2E6">
      <w:pPr>
        <w:pStyle w:val="27"/>
        <w:rPr>
          <w:rFonts w:ascii="Times New Roman"/>
        </w:rPr>
      </w:pPr>
      <w:r>
        <w:rPr>
          <w:rFonts w:ascii="Times New Roman"/>
        </w:rPr>
        <w:t>— 应符合产品的主要功能属性和行业惯例，保持单位一致性和透明性。</w:t>
      </w:r>
    </w:p>
    <w:p w14:paraId="3537C2E7">
      <w:pPr>
        <w:pStyle w:val="27"/>
        <w:rPr>
          <w:rFonts w:ascii="Times New Roman"/>
        </w:rPr>
      </w:pPr>
      <w:r>
        <w:rPr>
          <w:rFonts w:hint="eastAsia" w:ascii="Times New Roman"/>
        </w:rPr>
        <w:t>b</w:t>
      </w:r>
      <w:r>
        <w:rPr>
          <w:rFonts w:ascii="Times New Roman"/>
        </w:rPr>
        <w:t>）通用要求</w:t>
      </w:r>
    </w:p>
    <w:p w14:paraId="3537C2E8">
      <w:pPr>
        <w:pStyle w:val="27"/>
        <w:rPr>
          <w:rFonts w:ascii="Times New Roman"/>
        </w:rPr>
      </w:pPr>
      <w:r>
        <w:rPr>
          <w:rFonts w:ascii="Times New Roman"/>
        </w:rPr>
        <w:t>— 采用质量（kg）或体积（L）为主的计量单位，特殊产品可</w:t>
      </w:r>
      <w:r>
        <w:rPr>
          <w:rFonts w:hint="eastAsia" w:ascii="Times New Roman"/>
        </w:rPr>
        <w:t>根据实际情况确定，如</w:t>
      </w:r>
      <w:r>
        <w:rPr>
          <w:rFonts w:ascii="Times New Roman"/>
        </w:rPr>
        <w:t>按单件（piece）计。</w:t>
      </w:r>
    </w:p>
    <w:p w14:paraId="3537C2E9">
      <w:pPr>
        <w:pStyle w:val="27"/>
        <w:rPr>
          <w:rFonts w:ascii="Times New Roman"/>
        </w:rPr>
      </w:pPr>
      <w:r>
        <w:rPr>
          <w:rFonts w:ascii="Times New Roman"/>
        </w:rPr>
        <w:t>— 在报告中需说明选择依据及适用场景（如按质量核算或按市场包装规格核算）。</w:t>
      </w:r>
    </w:p>
    <w:p w14:paraId="3537C2EA">
      <w:pPr>
        <w:pStyle w:val="27"/>
        <w:rPr>
          <w:rFonts w:ascii="Times New Roman"/>
        </w:rPr>
      </w:pPr>
      <w:r>
        <w:rPr>
          <w:rFonts w:hint="eastAsia" w:ascii="Times New Roman"/>
        </w:rPr>
        <w:t>c）行业分类指导</w:t>
      </w:r>
    </w:p>
    <w:tbl>
      <w:tblPr>
        <w:tblStyle w:val="39"/>
        <w:tblW w:w="0" w:type="auto"/>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2812"/>
        <w:gridCol w:w="4477"/>
      </w:tblGrid>
      <w:tr w14:paraId="3537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Pr>
          <w:p w14:paraId="3537C2EB">
            <w:pPr>
              <w:pStyle w:val="27"/>
              <w:ind w:firstLine="0" w:firstLineChars="0"/>
              <w:rPr>
                <w:rFonts w:ascii="Times New Roman"/>
                <w:b/>
                <w:bCs/>
                <w:szCs w:val="18"/>
              </w:rPr>
            </w:pPr>
            <w:r>
              <w:rPr>
                <w:rFonts w:ascii="Times New Roman"/>
                <w:b/>
                <w:bCs/>
                <w:szCs w:val="18"/>
              </w:rPr>
              <w:t>行业类别</w:t>
            </w:r>
            <w:r>
              <w:rPr>
                <w:rFonts w:ascii="Times New Roman"/>
                <w:b/>
                <w:bCs/>
                <w:szCs w:val="18"/>
              </w:rPr>
              <w:tab/>
            </w:r>
            <w:r>
              <w:rPr>
                <w:rFonts w:ascii="Times New Roman"/>
                <w:b/>
                <w:bCs/>
                <w:szCs w:val="18"/>
              </w:rPr>
              <w:t>推荐声明单位</w:t>
            </w:r>
            <w:r>
              <w:rPr>
                <w:rFonts w:ascii="Times New Roman"/>
                <w:b/>
                <w:bCs/>
                <w:szCs w:val="18"/>
              </w:rPr>
              <w:tab/>
            </w:r>
            <w:r>
              <w:rPr>
                <w:rFonts w:ascii="Times New Roman"/>
                <w:b/>
                <w:bCs/>
                <w:szCs w:val="18"/>
              </w:rPr>
              <w:t>特殊说明</w:t>
            </w:r>
          </w:p>
        </w:tc>
        <w:tc>
          <w:tcPr>
            <w:tcW w:w="2829" w:type="dxa"/>
            <w:vAlign w:val="center"/>
          </w:tcPr>
          <w:p w14:paraId="3537C2EC">
            <w:pPr>
              <w:pStyle w:val="27"/>
              <w:ind w:firstLine="0" w:firstLineChars="0"/>
              <w:rPr>
                <w:rFonts w:ascii="Times New Roman"/>
                <w:b/>
                <w:bCs/>
                <w:szCs w:val="18"/>
              </w:rPr>
            </w:pPr>
            <w:r>
              <w:rPr>
                <w:rFonts w:ascii="Times New Roman"/>
                <w:b/>
                <w:bCs/>
                <w:szCs w:val="18"/>
              </w:rPr>
              <w:t>推荐声明单位</w:t>
            </w:r>
          </w:p>
        </w:tc>
        <w:tc>
          <w:tcPr>
            <w:tcW w:w="4504" w:type="dxa"/>
            <w:vAlign w:val="center"/>
          </w:tcPr>
          <w:p w14:paraId="3537C2ED">
            <w:pPr>
              <w:pStyle w:val="27"/>
              <w:ind w:firstLine="0" w:firstLineChars="0"/>
              <w:rPr>
                <w:rFonts w:ascii="Times New Roman"/>
                <w:b/>
                <w:bCs/>
                <w:szCs w:val="18"/>
              </w:rPr>
            </w:pPr>
            <w:r>
              <w:rPr>
                <w:rFonts w:ascii="Times New Roman"/>
                <w:b/>
                <w:bCs/>
                <w:szCs w:val="18"/>
              </w:rPr>
              <w:t>特殊说明</w:t>
            </w:r>
          </w:p>
        </w:tc>
      </w:tr>
      <w:tr w14:paraId="3537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Align w:val="center"/>
          </w:tcPr>
          <w:p w14:paraId="3537C2EF">
            <w:pPr>
              <w:widowControl/>
              <w:jc w:val="left"/>
              <w:rPr>
                <w:rFonts w:ascii="宋体"/>
                <w:kern w:val="0"/>
                <w:szCs w:val="20"/>
              </w:rPr>
            </w:pPr>
            <w:r>
              <w:rPr>
                <w:rFonts w:ascii="宋体"/>
                <w:kern w:val="0"/>
                <w:szCs w:val="20"/>
              </w:rPr>
              <w:t>香料类</w:t>
            </w:r>
          </w:p>
        </w:tc>
        <w:tc>
          <w:tcPr>
            <w:tcW w:w="2829" w:type="dxa"/>
            <w:vAlign w:val="center"/>
          </w:tcPr>
          <w:p w14:paraId="3537C2F0">
            <w:pPr>
              <w:widowControl/>
              <w:jc w:val="left"/>
              <w:rPr>
                <w:rFonts w:ascii="宋体"/>
                <w:kern w:val="0"/>
                <w:szCs w:val="20"/>
              </w:rPr>
            </w:pPr>
            <w:r>
              <w:rPr>
                <w:rFonts w:ascii="宋体"/>
                <w:kern w:val="0"/>
                <w:szCs w:val="20"/>
              </w:rPr>
              <w:t>1 kg香料</w:t>
            </w:r>
          </w:p>
        </w:tc>
        <w:tc>
          <w:tcPr>
            <w:tcW w:w="4504" w:type="dxa"/>
            <w:vAlign w:val="center"/>
          </w:tcPr>
          <w:p w14:paraId="3537C2F1">
            <w:pPr>
              <w:widowControl/>
              <w:jc w:val="left"/>
              <w:rPr>
                <w:rFonts w:ascii="宋体"/>
                <w:kern w:val="0"/>
                <w:szCs w:val="20"/>
              </w:rPr>
            </w:pPr>
            <w:r>
              <w:rPr>
                <w:rFonts w:ascii="宋体"/>
                <w:kern w:val="0"/>
                <w:szCs w:val="20"/>
              </w:rPr>
              <w:t>稀有类产品可采用100 g或1 g；需说明原因</w:t>
            </w:r>
          </w:p>
        </w:tc>
      </w:tr>
      <w:tr w14:paraId="3537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Align w:val="center"/>
          </w:tcPr>
          <w:p w14:paraId="3537C2F3">
            <w:pPr>
              <w:widowControl/>
              <w:jc w:val="left"/>
              <w:rPr>
                <w:rFonts w:ascii="宋体"/>
                <w:kern w:val="0"/>
                <w:szCs w:val="20"/>
              </w:rPr>
            </w:pPr>
            <w:r>
              <w:rPr>
                <w:rFonts w:ascii="宋体"/>
                <w:kern w:val="0"/>
                <w:szCs w:val="20"/>
              </w:rPr>
              <w:t>香精类</w:t>
            </w:r>
          </w:p>
        </w:tc>
        <w:tc>
          <w:tcPr>
            <w:tcW w:w="2829" w:type="dxa"/>
            <w:vAlign w:val="center"/>
          </w:tcPr>
          <w:p w14:paraId="3537C2F4">
            <w:pPr>
              <w:widowControl/>
              <w:jc w:val="left"/>
              <w:rPr>
                <w:rFonts w:ascii="宋体"/>
                <w:kern w:val="0"/>
                <w:szCs w:val="20"/>
              </w:rPr>
            </w:pPr>
            <w:r>
              <w:rPr>
                <w:rFonts w:ascii="宋体"/>
                <w:kern w:val="0"/>
                <w:szCs w:val="20"/>
              </w:rPr>
              <w:t>1 kg香精</w:t>
            </w:r>
          </w:p>
        </w:tc>
        <w:tc>
          <w:tcPr>
            <w:tcW w:w="4504" w:type="dxa"/>
            <w:vAlign w:val="center"/>
          </w:tcPr>
          <w:p w14:paraId="3537C2F5">
            <w:pPr>
              <w:widowControl/>
              <w:jc w:val="left"/>
              <w:rPr>
                <w:rFonts w:ascii="宋体"/>
                <w:kern w:val="0"/>
                <w:szCs w:val="20"/>
              </w:rPr>
            </w:pPr>
            <w:r>
              <w:rPr>
                <w:rFonts w:ascii="宋体"/>
                <w:kern w:val="0"/>
                <w:szCs w:val="20"/>
              </w:rPr>
              <w:t>如与客户交付单位不同（升），可改用1 L</w:t>
            </w:r>
          </w:p>
        </w:tc>
      </w:tr>
      <w:tr w14:paraId="3537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Borders>
              <w:top w:val="nil"/>
              <w:left w:val="single" w:color="auto" w:sz="8" w:space="0"/>
              <w:bottom w:val="single" w:color="auto" w:sz="8" w:space="0"/>
              <w:right w:val="single" w:color="auto" w:sz="8" w:space="0"/>
            </w:tcBorders>
            <w:vAlign w:val="center"/>
          </w:tcPr>
          <w:p w14:paraId="3537C2F7">
            <w:pPr>
              <w:jc w:val="left"/>
              <w:rPr>
                <w:rFonts w:ascii="宋体"/>
                <w:szCs w:val="21"/>
                <w14:ligatures w14:val="standardContextual"/>
              </w:rPr>
            </w:pPr>
            <w:r>
              <w:rPr>
                <w:rFonts w:hint="eastAsia" w:ascii="宋体"/>
                <w:kern w:val="0"/>
                <w:szCs w:val="20"/>
              </w:rPr>
              <w:t>化妆品原料</w:t>
            </w:r>
          </w:p>
        </w:tc>
        <w:tc>
          <w:tcPr>
            <w:tcW w:w="2829" w:type="dxa"/>
            <w:tcBorders>
              <w:top w:val="nil"/>
              <w:left w:val="nil"/>
              <w:bottom w:val="single" w:color="auto" w:sz="8" w:space="0"/>
              <w:right w:val="single" w:color="auto" w:sz="8" w:space="0"/>
            </w:tcBorders>
            <w:vAlign w:val="center"/>
          </w:tcPr>
          <w:p w14:paraId="3537C2F8">
            <w:pPr>
              <w:jc w:val="left"/>
              <w:rPr>
                <w:rFonts w:ascii="宋体"/>
              </w:rPr>
            </w:pPr>
            <w:r>
              <w:rPr>
                <w:rFonts w:hint="eastAsia" w:ascii="宋体"/>
                <w:kern w:val="0"/>
                <w:szCs w:val="20"/>
              </w:rPr>
              <w:t>1 kg或1L原料</w:t>
            </w:r>
          </w:p>
        </w:tc>
        <w:tc>
          <w:tcPr>
            <w:tcW w:w="4504" w:type="dxa"/>
            <w:tcBorders>
              <w:top w:val="nil"/>
              <w:left w:val="nil"/>
              <w:bottom w:val="single" w:color="auto" w:sz="8" w:space="0"/>
              <w:right w:val="single" w:color="auto" w:sz="8" w:space="0"/>
            </w:tcBorders>
            <w:vAlign w:val="center"/>
          </w:tcPr>
          <w:p w14:paraId="3537C2F9">
            <w:pPr>
              <w:jc w:val="left"/>
              <w:rPr>
                <w:rFonts w:ascii="宋体"/>
              </w:rPr>
            </w:pPr>
            <w:r>
              <w:rPr>
                <w:rFonts w:hint="eastAsia" w:ascii="宋体"/>
                <w:kern w:val="0"/>
                <w:szCs w:val="20"/>
              </w:rPr>
              <w:t>应根据原料形态和工艺属性确定，不宜简单套用化妆品成品按件核算方式</w:t>
            </w:r>
          </w:p>
        </w:tc>
      </w:tr>
      <w:tr w14:paraId="3537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Align w:val="center"/>
          </w:tcPr>
          <w:p w14:paraId="3537C2FB">
            <w:pPr>
              <w:widowControl/>
              <w:jc w:val="left"/>
              <w:rPr>
                <w:rFonts w:ascii="宋体"/>
                <w:kern w:val="0"/>
                <w:szCs w:val="20"/>
              </w:rPr>
            </w:pPr>
            <w:r>
              <w:rPr>
                <w:rFonts w:ascii="宋体"/>
                <w:kern w:val="0"/>
                <w:szCs w:val="20"/>
              </w:rPr>
              <w:t>化妆品类</w:t>
            </w:r>
          </w:p>
        </w:tc>
        <w:tc>
          <w:tcPr>
            <w:tcW w:w="2829" w:type="dxa"/>
            <w:vAlign w:val="center"/>
          </w:tcPr>
          <w:p w14:paraId="3537C2FC">
            <w:pPr>
              <w:jc w:val="left"/>
              <w:rPr>
                <w:rFonts w:ascii="宋体"/>
                <w:szCs w:val="21"/>
                <w14:ligatures w14:val="standardContextual"/>
              </w:rPr>
            </w:pPr>
            <w:r>
              <w:rPr>
                <w:rFonts w:hint="eastAsia" w:ascii="宋体" w:hAnsi="宋体"/>
              </w:rPr>
              <w:t>1件成品（如1件50 mL面霜、1件30 mL精华液、1支10 g口红）</w:t>
            </w:r>
          </w:p>
          <w:p w14:paraId="3537C2FD">
            <w:pPr>
              <w:widowControl/>
              <w:jc w:val="left"/>
              <w:rPr>
                <w:rFonts w:ascii="宋体"/>
                <w:kern w:val="0"/>
                <w:szCs w:val="20"/>
              </w:rPr>
            </w:pPr>
          </w:p>
        </w:tc>
        <w:tc>
          <w:tcPr>
            <w:tcW w:w="4504" w:type="dxa"/>
            <w:vAlign w:val="center"/>
          </w:tcPr>
          <w:p w14:paraId="3537C2FE">
            <w:pPr>
              <w:jc w:val="left"/>
              <w:rPr>
                <w:rFonts w:hint="eastAsia" w:ascii="宋体"/>
                <w:kern w:val="0"/>
                <w:szCs w:val="20"/>
              </w:rPr>
            </w:pPr>
            <w:r>
              <w:rPr>
                <w:rFonts w:hint="eastAsia" w:ascii="宋体"/>
                <w:kern w:val="0"/>
                <w:szCs w:val="20"/>
              </w:rPr>
              <w:t>若采用代表单品方式，应说明代表性选择原则，并确保规格、主要配方或关键工艺具有可比性</w:t>
            </w:r>
          </w:p>
          <w:p w14:paraId="3537C2FF">
            <w:pPr>
              <w:widowControl/>
              <w:jc w:val="left"/>
              <w:rPr>
                <w:rFonts w:ascii="宋体"/>
                <w:kern w:val="0"/>
                <w:szCs w:val="20"/>
              </w:rPr>
            </w:pPr>
          </w:p>
        </w:tc>
      </w:tr>
    </w:tbl>
    <w:p w14:paraId="3537C301">
      <w:pPr>
        <w:pStyle w:val="27"/>
        <w:rPr>
          <w:rFonts w:ascii="Times New Roman"/>
        </w:rPr>
      </w:pPr>
      <w:r>
        <w:rPr>
          <w:rFonts w:ascii="Times New Roman"/>
        </w:rPr>
        <w:t>实务提示：企业在信息系统中应固定声明单位，以便数据年度可比和与PACT字段（Functional Unit）对接。</w:t>
      </w:r>
    </w:p>
    <w:p w14:paraId="3537C302">
      <w:pPr>
        <w:pStyle w:val="60"/>
        <w:spacing w:before="156" w:after="156"/>
      </w:pPr>
      <w:bookmarkStart w:id="68" w:name="_Toc137642538"/>
      <w:r>
        <w:rPr>
          <w:rFonts w:hint="eastAsia"/>
        </w:rPr>
        <w:t>系统边界</w:t>
      </w:r>
    </w:p>
    <w:p w14:paraId="3537C303">
      <w:pPr>
        <w:pStyle w:val="27"/>
        <w:rPr>
          <w:rFonts w:ascii="Times New Roman"/>
        </w:rPr>
      </w:pPr>
      <w:r>
        <w:rPr>
          <w:rFonts w:ascii="Times New Roman"/>
        </w:rPr>
        <w:t>系统边界的选择可根据香料、香精</w:t>
      </w:r>
      <w:r>
        <w:rPr>
          <w:rFonts w:hint="eastAsia" w:ascii="Times New Roman"/>
        </w:rPr>
        <w:t>、</w:t>
      </w:r>
      <w:r>
        <w:rPr>
          <w:rFonts w:ascii="Times New Roman"/>
        </w:rPr>
        <w:t>化妆品产品碳足迹核算的目的进行调整，明确产品生命周期中应包含的阶段和过程。</w:t>
      </w:r>
    </w:p>
    <w:p w14:paraId="3537C304">
      <w:pPr>
        <w:pStyle w:val="27"/>
        <w:numPr>
          <w:ilvl w:val="0"/>
          <w:numId w:val="11"/>
        </w:numPr>
        <w:rPr>
          <w:rFonts w:ascii="Times New Roman"/>
        </w:rPr>
      </w:pPr>
      <w:r>
        <w:rPr>
          <w:rFonts w:hint="eastAsia" w:ascii="Times New Roman"/>
        </w:rPr>
        <w:t>通用</w:t>
      </w:r>
      <w:r>
        <w:rPr>
          <w:rFonts w:ascii="Times New Roman"/>
        </w:rPr>
        <w:t>要求：</w:t>
      </w:r>
    </w:p>
    <w:p w14:paraId="3537C305">
      <w:pPr>
        <w:pStyle w:val="27"/>
        <w:rPr>
          <w:rFonts w:ascii="Times New Roman"/>
        </w:rPr>
      </w:pPr>
      <w:r>
        <w:rPr>
          <w:rFonts w:ascii="Times New Roman"/>
        </w:rPr>
        <w:t>— 核算的基本范围为</w:t>
      </w:r>
      <w:r>
        <w:rPr>
          <w:rFonts w:hint="eastAsia" w:ascii="Times New Roman"/>
        </w:rPr>
        <w:t>“</w:t>
      </w:r>
      <w:r>
        <w:rPr>
          <w:rFonts w:ascii="Times New Roman"/>
        </w:rPr>
        <w:t>摇篮到大门</w:t>
      </w:r>
      <w:r>
        <w:rPr>
          <w:rFonts w:hint="eastAsia" w:ascii="Times New Roman"/>
        </w:rPr>
        <w:t>”</w:t>
      </w:r>
      <w:r>
        <w:rPr>
          <w:rFonts w:ascii="Times New Roman"/>
        </w:rPr>
        <w:t>（cradle-to-gate），包括原料生产与提取、加工制造、厂内能源使用、原料运输；</w:t>
      </w:r>
    </w:p>
    <w:p w14:paraId="3537C306">
      <w:pPr>
        <w:pStyle w:val="27"/>
        <w:rPr>
          <w:rFonts w:ascii="Times New Roman"/>
        </w:rPr>
      </w:pPr>
      <w:r>
        <w:rPr>
          <w:rFonts w:hint="eastAsia" w:ascii="Times New Roman"/>
        </w:rPr>
        <w:t>— 对于香精及相关原料产品，系统边界中的“原料获取”原则上应至少覆盖一级供应商所提供原料的生产或提取环节；如进一步向更上游穿透，应根据数据可得性和披露目的说明范围。</w:t>
      </w:r>
    </w:p>
    <w:p w14:paraId="3537C307">
      <w:pPr>
        <w:pStyle w:val="27"/>
        <w:rPr>
          <w:rFonts w:ascii="Times New Roman"/>
        </w:rPr>
      </w:pPr>
      <w:r>
        <w:rPr>
          <w:rFonts w:ascii="Times New Roman"/>
        </w:rPr>
        <w:t xml:space="preserve">— </w:t>
      </w:r>
      <w:r>
        <w:rPr>
          <w:rFonts w:hint="eastAsia" w:ascii="Times New Roman"/>
        </w:rPr>
        <w:t>可根据客户、法规或市场要求扩展至下游阶段（</w:t>
      </w:r>
      <w:r>
        <w:rPr>
          <w:rFonts w:ascii="Times New Roman"/>
        </w:rPr>
        <w:t>gate-to-grave</w:t>
      </w:r>
      <w:r>
        <w:rPr>
          <w:rFonts w:hint="eastAsia" w:ascii="Times New Roman"/>
        </w:rPr>
        <w:t>），参考本标准以及</w:t>
      </w:r>
      <w:r>
        <w:rPr>
          <w:rFonts w:ascii="Times New Roman"/>
        </w:rPr>
        <w:t>ISO 14067</w:t>
      </w:r>
      <w:r>
        <w:rPr>
          <w:rFonts w:hint="eastAsia" w:ascii="Times New Roman"/>
        </w:rPr>
        <w:t>、</w:t>
      </w:r>
      <w:r>
        <w:rPr>
          <w:rFonts w:ascii="Times New Roman"/>
        </w:rPr>
        <w:t>GHG Protocol Product Standard</w:t>
      </w:r>
      <w:r>
        <w:rPr>
          <w:rFonts w:hint="eastAsia" w:ascii="Times New Roman"/>
        </w:rPr>
        <w:t>、</w:t>
      </w:r>
      <w:r>
        <w:rPr>
          <w:rFonts w:ascii="Times New Roman"/>
        </w:rPr>
        <w:t>PACT</w:t>
      </w:r>
      <w:r>
        <w:rPr>
          <w:rFonts w:hint="eastAsia" w:ascii="Times New Roman"/>
        </w:rPr>
        <w:t>、</w:t>
      </w:r>
      <w:r>
        <w:rPr>
          <w:rFonts w:ascii="Times New Roman"/>
        </w:rPr>
        <w:t>PEF</w:t>
      </w:r>
      <w:r>
        <w:rPr>
          <w:rFonts w:hint="eastAsia" w:ascii="Times New Roman"/>
        </w:rPr>
        <w:t>等国际标准与指南进行核算。</w:t>
      </w:r>
    </w:p>
    <w:p w14:paraId="3537C308">
      <w:pPr>
        <w:pStyle w:val="27"/>
        <w:rPr>
          <w:rFonts w:ascii="Times New Roman"/>
        </w:rPr>
      </w:pPr>
      <w:r>
        <w:rPr>
          <w:rFonts w:ascii="Times New Roman"/>
        </w:rPr>
        <w:t>— 系统边界应明确说明是否包含包装材料、辅助材料（如溶剂）等间接过程。</w:t>
      </w:r>
    </w:p>
    <w:p w14:paraId="3537C309">
      <w:pPr>
        <w:pStyle w:val="27"/>
        <w:rPr>
          <w:rFonts w:ascii="Times New Roman"/>
        </w:rPr>
      </w:pPr>
      <w:r>
        <w:rPr>
          <w:rFonts w:hint="eastAsia" w:ascii="Times New Roman"/>
        </w:rPr>
        <w:t>— 对于终端消费品，如企业出于产品设计优化、使用阶段环境影响识别等目的，也可在基础边界之外补充开展下游阶段情景分析，并在报告中单独说明。</w:t>
      </w:r>
    </w:p>
    <w:p w14:paraId="3537C30A">
      <w:pPr>
        <w:pStyle w:val="27"/>
        <w:numPr>
          <w:ilvl w:val="0"/>
          <w:numId w:val="11"/>
        </w:numPr>
        <w:rPr>
          <w:rFonts w:ascii="Times New Roman"/>
        </w:rPr>
      </w:pPr>
      <w:r>
        <w:rPr>
          <w:rFonts w:hint="eastAsia" w:ascii="Times New Roman"/>
        </w:rPr>
        <w:t>行业细化建议</w:t>
      </w:r>
      <w:r>
        <w:rPr>
          <w:rFonts w:ascii="Times New Roman"/>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2829"/>
        <w:gridCol w:w="4504"/>
      </w:tblGrid>
      <w:tr w14:paraId="3537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Align w:val="center"/>
          </w:tcPr>
          <w:p w14:paraId="3537C30B">
            <w:pPr>
              <w:widowControl/>
              <w:rPr>
                <w:rFonts w:ascii="宋体"/>
                <w:b/>
                <w:bCs/>
                <w:kern w:val="0"/>
                <w:szCs w:val="20"/>
              </w:rPr>
            </w:pPr>
            <w:r>
              <w:rPr>
                <w:rFonts w:ascii="宋体"/>
                <w:b/>
                <w:bCs/>
                <w:kern w:val="0"/>
                <w:szCs w:val="20"/>
              </w:rPr>
              <w:t>行业类别</w:t>
            </w:r>
          </w:p>
        </w:tc>
        <w:tc>
          <w:tcPr>
            <w:tcW w:w="2829" w:type="dxa"/>
            <w:vAlign w:val="center"/>
          </w:tcPr>
          <w:p w14:paraId="3537C30C">
            <w:pPr>
              <w:widowControl/>
              <w:rPr>
                <w:rFonts w:ascii="宋体"/>
                <w:b/>
                <w:bCs/>
                <w:kern w:val="0"/>
                <w:szCs w:val="20"/>
              </w:rPr>
            </w:pPr>
            <w:r>
              <w:rPr>
                <w:rFonts w:ascii="宋体"/>
                <w:b/>
                <w:bCs/>
                <w:kern w:val="0"/>
                <w:szCs w:val="20"/>
              </w:rPr>
              <w:t>推荐边界范围</w:t>
            </w:r>
          </w:p>
        </w:tc>
        <w:tc>
          <w:tcPr>
            <w:tcW w:w="4504" w:type="dxa"/>
            <w:vAlign w:val="center"/>
          </w:tcPr>
          <w:p w14:paraId="3537C30D">
            <w:pPr>
              <w:widowControl/>
              <w:rPr>
                <w:rFonts w:ascii="宋体"/>
                <w:b/>
                <w:bCs/>
                <w:kern w:val="0"/>
                <w:szCs w:val="20"/>
              </w:rPr>
            </w:pPr>
            <w:r>
              <w:rPr>
                <w:rFonts w:ascii="宋体"/>
                <w:b/>
                <w:bCs/>
                <w:kern w:val="0"/>
                <w:szCs w:val="20"/>
              </w:rPr>
              <w:t>关键要素</w:t>
            </w:r>
          </w:p>
        </w:tc>
      </w:tr>
      <w:tr w14:paraId="3537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Align w:val="center"/>
          </w:tcPr>
          <w:p w14:paraId="3537C30F">
            <w:pPr>
              <w:widowControl/>
              <w:jc w:val="left"/>
              <w:rPr>
                <w:rFonts w:ascii="宋体"/>
                <w:kern w:val="0"/>
                <w:szCs w:val="20"/>
              </w:rPr>
            </w:pPr>
            <w:r>
              <w:rPr>
                <w:rFonts w:hint="eastAsia" w:ascii="宋体"/>
                <w:kern w:val="0"/>
                <w:szCs w:val="20"/>
              </w:rPr>
              <w:t>香料类</w:t>
            </w:r>
          </w:p>
        </w:tc>
        <w:tc>
          <w:tcPr>
            <w:tcW w:w="2829" w:type="dxa"/>
            <w:vAlign w:val="center"/>
          </w:tcPr>
          <w:p w14:paraId="3537C310">
            <w:pPr>
              <w:widowControl/>
              <w:jc w:val="left"/>
              <w:rPr>
                <w:rFonts w:ascii="宋体"/>
                <w:kern w:val="0"/>
                <w:szCs w:val="20"/>
              </w:rPr>
            </w:pPr>
            <w:r>
              <w:rPr>
                <w:rFonts w:hint="eastAsia" w:ascii="宋体"/>
                <w:kern w:val="0"/>
                <w:szCs w:val="20"/>
              </w:rPr>
              <w:t>含种植</w:t>
            </w:r>
            <w:r>
              <w:rPr>
                <w:rFonts w:ascii="宋体"/>
                <w:kern w:val="0"/>
                <w:szCs w:val="20"/>
              </w:rPr>
              <w:t>/</w:t>
            </w:r>
            <w:r>
              <w:rPr>
                <w:rFonts w:hint="eastAsia" w:ascii="宋体"/>
                <w:kern w:val="0"/>
                <w:szCs w:val="20"/>
              </w:rPr>
              <w:t>采集、蒸馏、运输、储存</w:t>
            </w:r>
          </w:p>
        </w:tc>
        <w:tc>
          <w:tcPr>
            <w:tcW w:w="4504" w:type="dxa"/>
            <w:vAlign w:val="center"/>
          </w:tcPr>
          <w:p w14:paraId="3537C311">
            <w:pPr>
              <w:widowControl/>
              <w:jc w:val="left"/>
              <w:rPr>
                <w:rFonts w:ascii="宋体"/>
                <w:kern w:val="0"/>
                <w:szCs w:val="20"/>
              </w:rPr>
            </w:pPr>
            <w:r>
              <w:rPr>
                <w:rFonts w:ascii="宋体"/>
                <w:kern w:val="0"/>
                <w:szCs w:val="20"/>
              </w:rPr>
              <w:t>需考虑土地利用变化与生物排放</w:t>
            </w:r>
          </w:p>
        </w:tc>
      </w:tr>
      <w:tr w14:paraId="3537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Align w:val="center"/>
          </w:tcPr>
          <w:p w14:paraId="3537C313">
            <w:pPr>
              <w:widowControl/>
              <w:jc w:val="left"/>
              <w:rPr>
                <w:rFonts w:ascii="宋体"/>
                <w:kern w:val="0"/>
                <w:szCs w:val="20"/>
              </w:rPr>
            </w:pPr>
            <w:r>
              <w:rPr>
                <w:rFonts w:ascii="宋体"/>
                <w:kern w:val="0"/>
                <w:szCs w:val="20"/>
              </w:rPr>
              <w:t>香精类</w:t>
            </w:r>
          </w:p>
        </w:tc>
        <w:tc>
          <w:tcPr>
            <w:tcW w:w="2829" w:type="dxa"/>
            <w:vAlign w:val="center"/>
          </w:tcPr>
          <w:p w14:paraId="3537C314">
            <w:pPr>
              <w:widowControl/>
              <w:jc w:val="left"/>
              <w:rPr>
                <w:rFonts w:ascii="宋体"/>
                <w:kern w:val="0"/>
                <w:szCs w:val="20"/>
              </w:rPr>
            </w:pPr>
            <w:r>
              <w:rPr>
                <w:rFonts w:ascii="宋体"/>
                <w:kern w:val="0"/>
                <w:szCs w:val="20"/>
              </w:rPr>
              <w:t>含混配、反应、蒸馏与溶剂回收</w:t>
            </w:r>
          </w:p>
        </w:tc>
        <w:tc>
          <w:tcPr>
            <w:tcW w:w="4504" w:type="dxa"/>
            <w:vAlign w:val="center"/>
          </w:tcPr>
          <w:p w14:paraId="3537C315">
            <w:pPr>
              <w:widowControl/>
              <w:jc w:val="left"/>
              <w:rPr>
                <w:rFonts w:ascii="宋体"/>
                <w:kern w:val="0"/>
                <w:szCs w:val="20"/>
              </w:rPr>
            </w:pPr>
            <w:r>
              <w:rPr>
                <w:rFonts w:ascii="宋体"/>
                <w:kern w:val="0"/>
                <w:szCs w:val="20"/>
              </w:rPr>
              <w:t>关键环节为能源和溶剂系统</w:t>
            </w:r>
          </w:p>
        </w:tc>
      </w:tr>
      <w:tr w14:paraId="3537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tcBorders>
              <w:top w:val="nil"/>
              <w:left w:val="single" w:color="auto" w:sz="8" w:space="0"/>
              <w:bottom w:val="single" w:color="auto" w:sz="8" w:space="0"/>
              <w:right w:val="single" w:color="auto" w:sz="8" w:space="0"/>
            </w:tcBorders>
            <w:vAlign w:val="center"/>
          </w:tcPr>
          <w:p w14:paraId="3537C317">
            <w:pPr>
              <w:widowControl/>
              <w:jc w:val="left"/>
              <w:rPr>
                <w:rFonts w:ascii="宋体"/>
                <w:kern w:val="0"/>
                <w:szCs w:val="20"/>
              </w:rPr>
            </w:pPr>
            <w:r>
              <w:rPr>
                <w:rFonts w:hint="eastAsia" w:ascii="宋体"/>
                <w:kern w:val="0"/>
                <w:szCs w:val="20"/>
              </w:rPr>
              <w:t>化妆品原料</w:t>
            </w:r>
          </w:p>
        </w:tc>
        <w:tc>
          <w:tcPr>
            <w:tcW w:w="2829" w:type="dxa"/>
            <w:tcBorders>
              <w:top w:val="nil"/>
              <w:left w:val="nil"/>
              <w:bottom w:val="single" w:color="auto" w:sz="8" w:space="0"/>
              <w:right w:val="single" w:color="auto" w:sz="8" w:space="0"/>
            </w:tcBorders>
            <w:vAlign w:val="center"/>
          </w:tcPr>
          <w:p w14:paraId="3537C318">
            <w:pPr>
              <w:widowControl/>
              <w:jc w:val="left"/>
              <w:rPr>
                <w:rFonts w:ascii="宋体"/>
                <w:kern w:val="0"/>
                <w:szCs w:val="20"/>
              </w:rPr>
            </w:pPr>
            <w:r>
              <w:rPr>
                <w:rFonts w:hint="eastAsia" w:ascii="宋体"/>
                <w:kern w:val="0"/>
                <w:szCs w:val="20"/>
              </w:rPr>
              <w:t>含原料生产、提取、精制及必要的包装与运输环节</w:t>
            </w:r>
          </w:p>
        </w:tc>
        <w:tc>
          <w:tcPr>
            <w:tcW w:w="4504" w:type="dxa"/>
            <w:tcBorders>
              <w:top w:val="nil"/>
              <w:left w:val="nil"/>
              <w:bottom w:val="single" w:color="auto" w:sz="8" w:space="0"/>
              <w:right w:val="single" w:color="auto" w:sz="8" w:space="0"/>
            </w:tcBorders>
            <w:vAlign w:val="center"/>
          </w:tcPr>
          <w:p w14:paraId="3537C319">
            <w:pPr>
              <w:widowControl/>
              <w:jc w:val="left"/>
              <w:rPr>
                <w:rFonts w:ascii="宋体"/>
                <w:kern w:val="0"/>
                <w:szCs w:val="20"/>
              </w:rPr>
            </w:pPr>
            <w:r>
              <w:rPr>
                <w:rFonts w:hint="eastAsia" w:ascii="宋体"/>
                <w:kern w:val="0"/>
                <w:szCs w:val="20"/>
              </w:rPr>
              <w:t>应根据原料制造属性识别边界，不宜简单套用化妆品成品边界</w:t>
            </w:r>
          </w:p>
        </w:tc>
      </w:tr>
      <w:tr w14:paraId="3537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Align w:val="center"/>
          </w:tcPr>
          <w:p w14:paraId="3537C31B">
            <w:pPr>
              <w:widowControl/>
              <w:jc w:val="left"/>
              <w:rPr>
                <w:rFonts w:ascii="宋体"/>
                <w:kern w:val="0"/>
                <w:szCs w:val="20"/>
              </w:rPr>
            </w:pPr>
            <w:r>
              <w:rPr>
                <w:rFonts w:ascii="宋体"/>
                <w:kern w:val="0"/>
                <w:szCs w:val="20"/>
              </w:rPr>
              <w:t>化妆品类</w:t>
            </w:r>
          </w:p>
        </w:tc>
        <w:tc>
          <w:tcPr>
            <w:tcW w:w="2829" w:type="dxa"/>
            <w:vAlign w:val="center"/>
          </w:tcPr>
          <w:p w14:paraId="3537C31C">
            <w:pPr>
              <w:widowControl/>
              <w:jc w:val="left"/>
              <w:rPr>
                <w:rFonts w:ascii="宋体"/>
                <w:kern w:val="0"/>
                <w:szCs w:val="20"/>
              </w:rPr>
            </w:pPr>
            <w:r>
              <w:rPr>
                <w:rFonts w:ascii="宋体"/>
                <w:kern w:val="0"/>
                <w:szCs w:val="20"/>
              </w:rPr>
              <w:t>含配方生产、灌装、包装、下游使用（如需）</w:t>
            </w:r>
          </w:p>
        </w:tc>
        <w:tc>
          <w:tcPr>
            <w:tcW w:w="4504" w:type="dxa"/>
            <w:vAlign w:val="center"/>
          </w:tcPr>
          <w:p w14:paraId="3537C31D">
            <w:pPr>
              <w:widowControl/>
              <w:jc w:val="left"/>
              <w:rPr>
                <w:rFonts w:hint="eastAsia" w:ascii="宋体"/>
                <w:kern w:val="0"/>
                <w:szCs w:val="20"/>
              </w:rPr>
            </w:pPr>
            <w:r>
              <w:rPr>
                <w:rFonts w:hint="eastAsia" w:ascii="宋体"/>
                <w:kern w:val="0"/>
                <w:szCs w:val="20"/>
              </w:rPr>
              <w:t>包装材料宜单独识别并核算，以反映其材料构成、回收处理路径及循环利用特征；是否构成主要排放热点，应根据具体产品结构判断</w:t>
            </w:r>
          </w:p>
          <w:p w14:paraId="3537C31E">
            <w:pPr>
              <w:widowControl/>
              <w:jc w:val="left"/>
              <w:rPr>
                <w:rFonts w:ascii="宋体"/>
                <w:kern w:val="0"/>
                <w:szCs w:val="20"/>
              </w:rPr>
            </w:pPr>
          </w:p>
        </w:tc>
      </w:tr>
      <w:tr w14:paraId="3537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tcBorders>
              <w:top w:val="nil"/>
              <w:left w:val="single" w:color="auto" w:sz="8" w:space="0"/>
              <w:bottom w:val="single" w:color="auto" w:sz="8" w:space="0"/>
              <w:right w:val="single" w:color="auto" w:sz="8" w:space="0"/>
            </w:tcBorders>
            <w:vAlign w:val="center"/>
          </w:tcPr>
          <w:p w14:paraId="3537C320">
            <w:pPr>
              <w:widowControl/>
              <w:jc w:val="left"/>
              <w:rPr>
                <w:rFonts w:hint="eastAsia" w:ascii="宋体"/>
                <w:kern w:val="0"/>
                <w:szCs w:val="20"/>
              </w:rPr>
            </w:pPr>
            <w:r>
              <w:rPr>
                <w:rFonts w:hint="eastAsia" w:ascii="宋体"/>
                <w:kern w:val="0"/>
                <w:szCs w:val="20"/>
              </w:rPr>
              <w:t>合成香料</w:t>
            </w:r>
          </w:p>
        </w:tc>
        <w:tc>
          <w:tcPr>
            <w:tcW w:w="2829" w:type="dxa"/>
            <w:tcBorders>
              <w:top w:val="nil"/>
              <w:left w:val="nil"/>
              <w:bottom w:val="single" w:color="auto" w:sz="8" w:space="0"/>
              <w:right w:val="single" w:color="auto" w:sz="8" w:space="0"/>
            </w:tcBorders>
            <w:vAlign w:val="center"/>
          </w:tcPr>
          <w:p w14:paraId="3537C321">
            <w:pPr>
              <w:widowControl/>
              <w:jc w:val="left"/>
              <w:rPr>
                <w:rFonts w:hint="eastAsia" w:ascii="宋体"/>
                <w:kern w:val="0"/>
                <w:szCs w:val="20"/>
              </w:rPr>
            </w:pPr>
            <w:r>
              <w:rPr>
                <w:rFonts w:hint="eastAsia" w:ascii="宋体"/>
                <w:kern w:val="0"/>
                <w:szCs w:val="20"/>
              </w:rPr>
              <w:t>宜结合具体工艺覆盖原料获取、多步合成反应、溶剂回收、精馏精制及废弃物处理</w:t>
            </w:r>
          </w:p>
        </w:tc>
        <w:tc>
          <w:tcPr>
            <w:tcW w:w="4504" w:type="dxa"/>
            <w:tcBorders>
              <w:top w:val="nil"/>
              <w:left w:val="nil"/>
              <w:bottom w:val="single" w:color="auto" w:sz="8" w:space="0"/>
              <w:right w:val="single" w:color="auto" w:sz="8" w:space="0"/>
            </w:tcBorders>
            <w:vAlign w:val="center"/>
          </w:tcPr>
          <w:p w14:paraId="3537C322">
            <w:pPr>
              <w:widowControl/>
              <w:jc w:val="left"/>
              <w:rPr>
                <w:rFonts w:hint="eastAsia" w:ascii="宋体"/>
                <w:kern w:val="0"/>
                <w:szCs w:val="20"/>
              </w:rPr>
            </w:pPr>
            <w:r>
              <w:rPr>
                <w:rFonts w:hint="eastAsia" w:ascii="宋体"/>
                <w:kern w:val="0"/>
                <w:szCs w:val="20"/>
              </w:rPr>
              <w:t>企业应说明纳入边界的具体环节及理由，并关注溶剂系统与废弃物处理的影响</w:t>
            </w:r>
          </w:p>
        </w:tc>
      </w:tr>
    </w:tbl>
    <w:p w14:paraId="3537C324">
      <w:pPr>
        <w:pStyle w:val="27"/>
        <w:rPr>
          <w:rFonts w:ascii="Times New Roman"/>
        </w:rPr>
      </w:pPr>
      <w:r>
        <w:rPr>
          <w:rFonts w:hint="eastAsia" w:ascii="Times New Roman"/>
        </w:rPr>
        <w:t>c</w:t>
      </w:r>
      <w:r>
        <w:rPr>
          <w:rFonts w:ascii="Times New Roman"/>
        </w:rPr>
        <w:t>）边界扩展与排除</w:t>
      </w:r>
    </w:p>
    <w:p w14:paraId="3537C325">
      <w:pPr>
        <w:pStyle w:val="27"/>
        <w:rPr>
          <w:rFonts w:ascii="Times New Roman"/>
        </w:rPr>
      </w:pPr>
      <w:r>
        <w:rPr>
          <w:rFonts w:ascii="Times New Roman"/>
        </w:rPr>
        <w:t xml:space="preserve">— </w:t>
      </w:r>
      <w:r>
        <w:rPr>
          <w:rFonts w:hint="eastAsia" w:ascii="Times New Roman"/>
        </w:rPr>
        <w:t>若企业为多产出过程（如蒸馏副产物），需说明分配方法（见</w:t>
      </w:r>
      <w:r>
        <w:rPr>
          <w:rFonts w:ascii="Times New Roman"/>
        </w:rPr>
        <w:t>5.3</w:t>
      </w:r>
      <w:r>
        <w:rPr>
          <w:rFonts w:hint="eastAsia" w:ascii="Times New Roman"/>
        </w:rPr>
        <w:t>）。</w:t>
      </w:r>
    </w:p>
    <w:p w14:paraId="3537C326">
      <w:pPr>
        <w:pStyle w:val="27"/>
        <w:rPr>
          <w:rFonts w:ascii="Times New Roman"/>
        </w:rPr>
      </w:pPr>
      <w:r>
        <w:rPr>
          <w:rFonts w:ascii="Times New Roman"/>
        </w:rPr>
        <w:t>— 国际贸易应区分境内/境外运输段，并标明运输方式。</w:t>
      </w:r>
    </w:p>
    <w:p w14:paraId="3537C327">
      <w:pPr>
        <w:pStyle w:val="27"/>
        <w:rPr>
          <w:kern w:val="2"/>
          <w:szCs w:val="21"/>
          <w14:ligatures w14:val="standardContextual"/>
        </w:rPr>
      </w:pPr>
      <w:r>
        <w:rPr>
          <w:rFonts w:ascii="Times New Roman"/>
        </w:rPr>
        <w:t xml:space="preserve">— </w:t>
      </w:r>
      <w:r>
        <w:rPr>
          <w:rFonts w:hint="eastAsia"/>
        </w:rPr>
        <w:t>可舍弃对总碳排放量影响小于</w:t>
      </w:r>
      <w:r>
        <w:rPr>
          <w:rFonts w:ascii="Times New Roman"/>
        </w:rPr>
        <w:t>1%</w:t>
      </w:r>
      <w:r>
        <w:rPr>
          <w:rFonts w:hint="eastAsia"/>
        </w:rPr>
        <w:t>的环节，但总舍弃量不得超过产品总碳足迹的</w:t>
      </w:r>
      <w:r>
        <w:rPr>
          <w:rFonts w:ascii="Times New Roman"/>
        </w:rPr>
        <w:t>5%</w:t>
      </w:r>
      <w:r>
        <w:rPr>
          <w:rFonts w:hint="eastAsia"/>
        </w:rPr>
        <w:t>。并披露舍弃的环节及其大致影响。</w:t>
      </w:r>
    </w:p>
    <w:bookmarkEnd w:id="68"/>
    <w:p w14:paraId="3537C328">
      <w:pPr>
        <w:pStyle w:val="55"/>
        <w:spacing w:before="156" w:after="156"/>
        <w:ind w:left="0"/>
        <w:rPr>
          <w:rFonts w:ascii="Times New Roman"/>
        </w:rPr>
      </w:pPr>
      <w:bookmarkStart w:id="69" w:name="_Toc32729"/>
      <w:bookmarkStart w:id="70" w:name="_Toc4242"/>
      <w:r>
        <w:rPr>
          <w:rFonts w:hint="eastAsia" w:ascii="Times New Roman"/>
        </w:rPr>
        <w:t>排放因子</w:t>
      </w:r>
      <w:bookmarkEnd w:id="69"/>
      <w:r>
        <w:rPr>
          <w:rFonts w:hint="eastAsia" w:ascii="Times New Roman"/>
        </w:rPr>
        <w:t>与数据建模</w:t>
      </w:r>
    </w:p>
    <w:p w14:paraId="3537C329">
      <w:pPr>
        <w:pStyle w:val="60"/>
        <w:spacing w:before="156" w:after="156"/>
      </w:pPr>
      <w:r>
        <w:rPr>
          <w:rFonts w:hint="eastAsia"/>
        </w:rPr>
        <w:t>目的与适用范围</w:t>
      </w:r>
    </w:p>
    <w:p w14:paraId="3537C32A">
      <w:pPr>
        <w:pStyle w:val="27"/>
        <w:rPr>
          <w:rFonts w:ascii="Times New Roman"/>
        </w:rPr>
      </w:pPr>
      <w:r>
        <w:rPr>
          <w:rFonts w:ascii="Times New Roman"/>
        </w:rPr>
        <w:t>本章节旨在指导香料、香精及化妆品行业企业建立排放因子数据库并构建相应的数据模型，以实现产品碳排放的系统量化和标准化管理。</w:t>
      </w:r>
    </w:p>
    <w:p w14:paraId="3537C32B">
      <w:pPr>
        <w:pStyle w:val="27"/>
        <w:rPr>
          <w:rFonts w:hint="eastAsia" w:ascii="Times New Roman"/>
        </w:rPr>
      </w:pPr>
      <w:r>
        <w:rPr>
          <w:rFonts w:hint="eastAsia" w:ascii="Times New Roman"/>
        </w:rPr>
        <w:t>产品碳足迹通常可按系统边界内各生命周期阶段温室气体排放量与清除量汇总计算。其基本表达可为：产品碳足迹＝∑（活动数据×排放因子）±生物碳、回收处理及替代规则等调整项。企业应结合系统边界、分配方法和数据来源对计算过程进行说明。</w:t>
      </w:r>
    </w:p>
    <w:p w14:paraId="3537C32C">
      <w:pPr>
        <w:pStyle w:val="27"/>
        <w:rPr>
          <w:rFonts w:ascii="Times New Roman"/>
        </w:rPr>
      </w:pPr>
      <w:r>
        <w:rPr>
          <w:rFonts w:ascii="Times New Roman"/>
        </w:rPr>
        <w:t>该章节适用于行业内企业基于生命周期评价（LCA）方法开展碳足迹核算，确保排放数据具有可比性、透明性和可复用性，并支持与国际平台（如PACT、PEF）及行业数据库的对接。</w:t>
      </w:r>
    </w:p>
    <w:p w14:paraId="3537C32D">
      <w:pPr>
        <w:pStyle w:val="60"/>
        <w:spacing w:before="156" w:after="156"/>
      </w:pPr>
      <w:r>
        <w:rPr>
          <w:rFonts w:hint="eastAsia"/>
        </w:rPr>
        <w:t>基本原则</w:t>
      </w:r>
    </w:p>
    <w:p w14:paraId="3537C32E">
      <w:pPr>
        <w:pStyle w:val="27"/>
        <w:rPr>
          <w:rFonts w:ascii="Times New Roman"/>
        </w:rPr>
      </w:pPr>
      <w:r>
        <w:rPr>
          <w:rFonts w:ascii="Times New Roman"/>
        </w:rPr>
        <w:t>a）标准一致性：数据建模应符合ISO 14067、GHG Protocol Product</w:t>
      </w:r>
      <w:r>
        <w:rPr>
          <w:rFonts w:hint="eastAsia" w:ascii="Times New Roman"/>
        </w:rPr>
        <w:t xml:space="preserve"> Standard</w:t>
      </w:r>
      <w:r>
        <w:rPr>
          <w:rFonts w:ascii="Times New Roman"/>
        </w:rPr>
        <w:t>、PACT、PEF等国际标准</w:t>
      </w:r>
      <w:r>
        <w:rPr>
          <w:rFonts w:hint="eastAsia" w:ascii="Times New Roman"/>
        </w:rPr>
        <w:t>与指南</w:t>
      </w:r>
      <w:r>
        <w:rPr>
          <w:rFonts w:ascii="Times New Roman"/>
        </w:rPr>
        <w:t>；</w:t>
      </w:r>
    </w:p>
    <w:p w14:paraId="3537C32F">
      <w:pPr>
        <w:pStyle w:val="27"/>
        <w:rPr>
          <w:rFonts w:ascii="Times New Roman"/>
        </w:rPr>
      </w:pPr>
      <w:r>
        <w:rPr>
          <w:rFonts w:ascii="Times New Roman"/>
        </w:rPr>
        <w:t>b）数据优先级：优先使用初级数据，缺失部分使用经验证的次级数据；必要时可采用混合数据，但须明确数据来源和DQR质量等级；</w:t>
      </w:r>
    </w:p>
    <w:p w14:paraId="3537C330">
      <w:pPr>
        <w:pStyle w:val="27"/>
        <w:rPr>
          <w:rFonts w:ascii="Times New Roman"/>
        </w:rPr>
      </w:pPr>
      <w:r>
        <w:rPr>
          <w:rFonts w:ascii="Times New Roman"/>
        </w:rPr>
        <w:t>c）透明性与可追溯性：所有排放因子、模型参数及假设条件应可追溯，确保第三方审核可验证；</w:t>
      </w:r>
    </w:p>
    <w:p w14:paraId="3537C331">
      <w:pPr>
        <w:pStyle w:val="27"/>
        <w:rPr>
          <w:rFonts w:ascii="Times New Roman"/>
        </w:rPr>
      </w:pPr>
      <w:r>
        <w:rPr>
          <w:rFonts w:ascii="Times New Roman"/>
        </w:rPr>
        <w:t>d）可比性与更新性：排放因子及模型参数应保持方法一致，并定期更新，以支持跨企业、跨产品的对比分析。</w:t>
      </w:r>
    </w:p>
    <w:p w14:paraId="3537C332">
      <w:pPr>
        <w:pStyle w:val="60"/>
        <w:spacing w:before="156" w:after="156"/>
      </w:pPr>
      <w:r>
        <w:t>排放因子管理要求</w:t>
      </w:r>
    </w:p>
    <w:p w14:paraId="3537C333">
      <w:pPr>
        <w:pStyle w:val="27"/>
        <w:rPr>
          <w:rFonts w:ascii="Times New Roman"/>
        </w:rPr>
      </w:pPr>
      <w:r>
        <w:rPr>
          <w:rFonts w:ascii="Times New Roman"/>
        </w:rPr>
        <w:t>a）企业在产品碳足迹核算中，应优先采用中国本地化排放因子，包括</w:t>
      </w:r>
      <w:r>
        <w:rPr>
          <w:rFonts w:hint="eastAsia" w:ascii="Times New Roman"/>
        </w:rPr>
        <w:t>但不限于</w:t>
      </w:r>
      <w:r>
        <w:rPr>
          <w:rFonts w:ascii="Times New Roman"/>
        </w:rPr>
        <w:t>国家温室气体清单、行业统计年鉴及区域电力排放因子</w:t>
      </w:r>
      <w:r>
        <w:rPr>
          <w:rFonts w:hint="eastAsia" w:ascii="Times New Roman"/>
        </w:rPr>
        <w:t>等</w:t>
      </w:r>
      <w:r>
        <w:rPr>
          <w:rFonts w:ascii="Times New Roman"/>
        </w:rPr>
        <w:t>；</w:t>
      </w:r>
    </w:p>
    <w:p w14:paraId="3537C334">
      <w:pPr>
        <w:pStyle w:val="27"/>
        <w:rPr>
          <w:rFonts w:hint="eastAsia" w:ascii="Times New Roman"/>
        </w:rPr>
      </w:pPr>
      <w:r>
        <w:rPr>
          <w:rFonts w:hint="eastAsia" w:ascii="Times New Roman"/>
        </w:rPr>
        <w:t>排放因子选择顺序建议如下：优先采用供应商提供并经核实的初级数据；其次采用企业/工厂实测数据；再次采用中国本地权威数据库或行业数据库；在无法取得前述数据时，可采用国际数据库；采用近似因子时，应在报告中说明理由、适用性及不确定性。</w:t>
      </w:r>
    </w:p>
    <w:p w14:paraId="3537C335">
      <w:pPr>
        <w:pStyle w:val="27"/>
        <w:rPr>
          <w:rFonts w:ascii="Times New Roman"/>
        </w:rPr>
      </w:pPr>
      <w:r>
        <w:rPr>
          <w:rFonts w:ascii="Times New Roman"/>
        </w:rPr>
        <w:t>b）对行业特色植物原料（如玫瑰、茉莉、灵芝、雪莲等）及特种合成原料（如透明质酸、胶原蛋白肽），鼓励</w:t>
      </w:r>
      <w:r>
        <w:rPr>
          <w:rFonts w:hint="eastAsia" w:ascii="Times New Roman"/>
        </w:rPr>
        <w:t>联合</w:t>
      </w:r>
      <w:r>
        <w:rPr>
          <w:rFonts w:ascii="Times New Roman"/>
        </w:rPr>
        <w:t>开展专项测算研究，形成行业数据库并动态更新；</w:t>
      </w:r>
    </w:p>
    <w:p w14:paraId="3537C336">
      <w:pPr>
        <w:pStyle w:val="27"/>
        <w:rPr>
          <w:rFonts w:ascii="Times New Roman"/>
        </w:rPr>
      </w:pPr>
      <w:r>
        <w:rPr>
          <w:rFonts w:ascii="Times New Roman"/>
        </w:rPr>
        <w:t>c）在无本地化数据时，可参考国际数据库（如Ecoinvent、GaBi、Agri-footprint），并在报告中注明数据来源、版本号、适用边界及适用性说明；</w:t>
      </w:r>
    </w:p>
    <w:p w14:paraId="3537C337">
      <w:pPr>
        <w:pStyle w:val="27"/>
        <w:rPr>
          <w:rFonts w:ascii="Times New Roman"/>
        </w:rPr>
      </w:pPr>
      <w:r>
        <w:rPr>
          <w:rFonts w:ascii="Times New Roman"/>
        </w:rPr>
        <w:t>d）排放因子应覆盖主要生命周期环节，包括原料种植/采集、能源使用、运输、包装及废弃物处理等；</w:t>
      </w:r>
    </w:p>
    <w:p w14:paraId="3537C338">
      <w:pPr>
        <w:pStyle w:val="27"/>
        <w:rPr>
          <w:kern w:val="2"/>
          <w:szCs w:val="21"/>
          <w14:ligatures w14:val="standardContextual"/>
        </w:rPr>
      </w:pPr>
      <w:r>
        <w:rPr>
          <w:rFonts w:hint="eastAsia"/>
        </w:rPr>
        <w:t>本标准所称“能源使用”应指系统边界所覆盖主要生命周期环节中的能源使用；企业应在报告中说明其是否仅包括生产阶段能源，或同时包括运输、包装、废弃物处理等相关环节能源。</w:t>
      </w:r>
    </w:p>
    <w:p w14:paraId="3537C339">
      <w:pPr>
        <w:pStyle w:val="27"/>
        <w:rPr>
          <w:kern w:val="2"/>
          <w:szCs w:val="21"/>
          <w14:ligatures w14:val="standardContextual"/>
        </w:rPr>
      </w:pPr>
      <w:r>
        <w:rPr>
          <w:rFonts w:ascii="Times New Roman"/>
        </w:rPr>
        <w:t>e</w:t>
      </w:r>
      <w:r>
        <w:rPr>
          <w:rFonts w:hint="eastAsia"/>
        </w:rPr>
        <w:t>）企业应根据数据质量要求选择适用排放因子，并在报告中说明因子来源、版本、适用边界及选择理由。</w:t>
      </w:r>
    </w:p>
    <w:p w14:paraId="3537C33A">
      <w:pPr>
        <w:pStyle w:val="60"/>
        <w:spacing w:before="156" w:after="156"/>
      </w:pPr>
      <w:r>
        <w:t>数据模型构建要求</w:t>
      </w:r>
    </w:p>
    <w:p w14:paraId="3537C33B">
      <w:pPr>
        <w:pStyle w:val="27"/>
        <w:rPr>
          <w:rFonts w:ascii="Times New Roman"/>
        </w:rPr>
      </w:pPr>
      <w:r>
        <w:rPr>
          <w:rFonts w:hint="eastAsia" w:ascii="Times New Roman"/>
        </w:rPr>
        <w:t>a</w:t>
      </w:r>
      <w:r>
        <w:rPr>
          <w:rFonts w:ascii="Times New Roman"/>
        </w:rPr>
        <w:t>）定义与作用</w:t>
      </w:r>
    </w:p>
    <w:p w14:paraId="3537C33C">
      <w:pPr>
        <w:pStyle w:val="27"/>
        <w:rPr>
          <w:rFonts w:ascii="Times New Roman"/>
        </w:rPr>
      </w:pPr>
      <w:r>
        <w:rPr>
          <w:rFonts w:ascii="Times New Roman"/>
        </w:rPr>
        <w:t>数据模型是对产品从原料获取到废弃阶段碳排放进行结构化建模的工具，用于：</w:t>
      </w:r>
    </w:p>
    <w:p w14:paraId="3537C33D">
      <w:pPr>
        <w:pStyle w:val="27"/>
        <w:rPr>
          <w:rFonts w:ascii="Times New Roman"/>
        </w:rPr>
      </w:pPr>
      <w:r>
        <w:rPr>
          <w:rFonts w:ascii="Times New Roman"/>
        </w:rPr>
        <w:t>— 将生产工艺、运输路径、能源消耗等信息转化为可量化排放数据；</w:t>
      </w:r>
    </w:p>
    <w:p w14:paraId="3537C33E">
      <w:pPr>
        <w:pStyle w:val="27"/>
        <w:rPr>
          <w:rFonts w:ascii="Times New Roman"/>
        </w:rPr>
      </w:pPr>
      <w:r>
        <w:rPr>
          <w:rFonts w:ascii="Times New Roman"/>
        </w:rPr>
        <w:t>— 支持对不同工艺路线、原料替代方案的情景分析；</w:t>
      </w:r>
    </w:p>
    <w:p w14:paraId="3537C33F">
      <w:pPr>
        <w:pStyle w:val="27"/>
        <w:rPr>
          <w:rFonts w:ascii="Times New Roman"/>
        </w:rPr>
      </w:pPr>
      <w:r>
        <w:rPr>
          <w:rFonts w:ascii="Times New Roman"/>
        </w:rPr>
        <w:t>— 实现与行业数据库及PACT平台的数据对接。</w:t>
      </w:r>
    </w:p>
    <w:p w14:paraId="3537C340">
      <w:pPr>
        <w:pStyle w:val="27"/>
        <w:rPr>
          <w:rFonts w:ascii="Times New Roman"/>
        </w:rPr>
      </w:pPr>
      <w:r>
        <w:rPr>
          <w:rFonts w:hint="eastAsia" w:ascii="Times New Roman"/>
        </w:rPr>
        <w:t>b</w:t>
      </w:r>
      <w:r>
        <w:rPr>
          <w:rFonts w:ascii="Times New Roman"/>
        </w:rPr>
        <w:t>）模型结构与分类</w:t>
      </w:r>
    </w:p>
    <w:p w14:paraId="3537C341">
      <w:pPr>
        <w:pStyle w:val="27"/>
        <w:rPr>
          <w:rFonts w:ascii="Times New Roman"/>
        </w:rPr>
      </w:pPr>
      <w:r>
        <w:rPr>
          <w:rFonts w:ascii="Times New Roman"/>
        </w:rPr>
        <w:t>— 原料获取模型：考虑天然种植与合成路径，内置农业活动与能源因子；</w:t>
      </w:r>
    </w:p>
    <w:p w14:paraId="3537C342">
      <w:pPr>
        <w:pStyle w:val="27"/>
        <w:rPr>
          <w:rFonts w:ascii="Times New Roman"/>
        </w:rPr>
      </w:pPr>
      <w:r>
        <w:rPr>
          <w:rFonts w:ascii="Times New Roman"/>
        </w:rPr>
        <w:t>— 生产制造模型：涵盖蒸馏、萃取、反应、灌装等工艺模块；</w:t>
      </w:r>
    </w:p>
    <w:p w14:paraId="3537C343">
      <w:pPr>
        <w:pStyle w:val="27"/>
        <w:rPr>
          <w:rFonts w:ascii="Times New Roman"/>
        </w:rPr>
      </w:pPr>
      <w:r>
        <w:rPr>
          <w:rFonts w:ascii="Times New Roman"/>
        </w:rPr>
        <w:t>— 运输模型：提供公路、铁路、海运、空运排放因子及距离参数；</w:t>
      </w:r>
    </w:p>
    <w:p w14:paraId="3537C344">
      <w:pPr>
        <w:pStyle w:val="27"/>
        <w:rPr>
          <w:rFonts w:ascii="Times New Roman"/>
        </w:rPr>
      </w:pPr>
      <w:r>
        <w:rPr>
          <w:rFonts w:ascii="Times New Roman"/>
        </w:rPr>
        <w:t>— 包装与循环模型：包装材料、回收率、再生内容比例；</w:t>
      </w:r>
    </w:p>
    <w:p w14:paraId="3537C345">
      <w:pPr>
        <w:pStyle w:val="27"/>
        <w:rPr>
          <w:rFonts w:ascii="Times New Roman"/>
        </w:rPr>
      </w:pPr>
      <w:r>
        <w:rPr>
          <w:rFonts w:ascii="Times New Roman"/>
        </w:rPr>
        <w:t>— 废弃物与副产物处理模型：蒸馏残渣、废溶剂、污水污泥、废包装、生产残液等。</w:t>
      </w:r>
    </w:p>
    <w:p w14:paraId="3537C346">
      <w:pPr>
        <w:pStyle w:val="27"/>
        <w:rPr>
          <w:rFonts w:ascii="Times New Roman"/>
        </w:rPr>
      </w:pPr>
      <w:r>
        <w:rPr>
          <w:rFonts w:hint="eastAsia" w:ascii="Times New Roman"/>
        </w:rPr>
        <w:t>c</w:t>
      </w:r>
      <w:r>
        <w:rPr>
          <w:rFonts w:ascii="Times New Roman"/>
        </w:rPr>
        <w:t>）建模原则</w:t>
      </w:r>
    </w:p>
    <w:p w14:paraId="3537C347">
      <w:pPr>
        <w:pStyle w:val="27"/>
        <w:rPr>
          <w:rFonts w:ascii="Times New Roman"/>
        </w:rPr>
      </w:pPr>
      <w:r>
        <w:rPr>
          <w:rFonts w:ascii="Times New Roman"/>
        </w:rPr>
        <w:t>— 模型边界应与核算系统边界保持一致（如</w:t>
      </w:r>
      <w:r>
        <w:rPr>
          <w:rFonts w:hint="eastAsia" w:ascii="Times New Roman"/>
        </w:rPr>
        <w:t>“</w:t>
      </w:r>
      <w:r>
        <w:rPr>
          <w:rFonts w:ascii="Times New Roman"/>
        </w:rPr>
        <w:t>摇篮到大门</w:t>
      </w:r>
      <w:r>
        <w:rPr>
          <w:rFonts w:hint="eastAsia" w:ascii="Times New Roman"/>
        </w:rPr>
        <w:t>”</w:t>
      </w:r>
      <w:r>
        <w:rPr>
          <w:rFonts w:ascii="Times New Roman"/>
        </w:rPr>
        <w:t>或</w:t>
      </w:r>
      <w:r>
        <w:rPr>
          <w:rFonts w:hint="eastAsia" w:ascii="Times New Roman"/>
        </w:rPr>
        <w:t>“</w:t>
      </w:r>
      <w:r>
        <w:rPr>
          <w:rFonts w:ascii="Times New Roman"/>
        </w:rPr>
        <w:t>摇篮到</w:t>
      </w:r>
      <w:r>
        <w:rPr>
          <w:rFonts w:hint="eastAsia" w:ascii="Times New Roman"/>
        </w:rPr>
        <w:t>坟墓”</w:t>
      </w:r>
      <w:r>
        <w:rPr>
          <w:rFonts w:ascii="Times New Roman"/>
        </w:rPr>
        <w:t>）；</w:t>
      </w:r>
    </w:p>
    <w:p w14:paraId="3537C348">
      <w:pPr>
        <w:pStyle w:val="27"/>
        <w:rPr>
          <w:rFonts w:ascii="Times New Roman"/>
        </w:rPr>
      </w:pPr>
      <w:r>
        <w:rPr>
          <w:rFonts w:ascii="Times New Roman"/>
        </w:rPr>
        <w:t>— 各模型模块应独立计算、可组合应用；</w:t>
      </w:r>
    </w:p>
    <w:p w14:paraId="3537C349">
      <w:pPr>
        <w:pStyle w:val="27"/>
        <w:rPr>
          <w:rFonts w:ascii="Times New Roman"/>
        </w:rPr>
      </w:pPr>
      <w:r>
        <w:rPr>
          <w:rFonts w:ascii="Times New Roman"/>
        </w:rPr>
        <w:t>— 模型数据应可追溯、可导出并支持复核。</w:t>
      </w:r>
    </w:p>
    <w:p w14:paraId="3537C34A">
      <w:pPr>
        <w:pStyle w:val="27"/>
        <w:rPr>
          <w:kern w:val="2"/>
          <w:szCs w:val="21"/>
          <w14:ligatures w14:val="standardContextual"/>
        </w:rPr>
      </w:pPr>
      <w:r>
        <w:rPr>
          <w:rFonts w:ascii="Times New Roman"/>
        </w:rPr>
        <w:t xml:space="preserve">— </w:t>
      </w:r>
      <w:r>
        <w:rPr>
          <w:rFonts w:hint="eastAsia"/>
        </w:rPr>
        <w:t>可参考</w:t>
      </w:r>
      <w:r>
        <w:rPr>
          <w:rFonts w:ascii="Times New Roman"/>
        </w:rPr>
        <w:t>PACT</w:t>
      </w:r>
      <w:r>
        <w:rPr>
          <w:rFonts w:hint="eastAsia"/>
        </w:rPr>
        <w:t>中已有的具体指南进行模型建立，以提升企业间建模口径的一致性和可比性。</w:t>
      </w:r>
    </w:p>
    <w:p w14:paraId="3537C34B">
      <w:pPr>
        <w:pStyle w:val="60"/>
        <w:spacing w:before="156" w:after="156"/>
      </w:pPr>
      <w:r>
        <w:t>模型参数与排放因子衔接</w:t>
      </w:r>
    </w:p>
    <w:p w14:paraId="3537C34C">
      <w:pPr>
        <w:pStyle w:val="27"/>
        <w:rPr>
          <w:rFonts w:ascii="Times New Roman"/>
        </w:rPr>
      </w:pPr>
      <w:r>
        <w:rPr>
          <w:rFonts w:hint="eastAsia" w:ascii="Times New Roman"/>
        </w:rPr>
        <w:t>a）模型各单元应调用行业统一排放因子数据库，确保结果一致性；</w:t>
      </w:r>
    </w:p>
    <w:p w14:paraId="3537C34D">
      <w:pPr>
        <w:pStyle w:val="27"/>
        <w:rPr>
          <w:rFonts w:ascii="Times New Roman"/>
        </w:rPr>
      </w:pPr>
      <w:r>
        <w:rPr>
          <w:rFonts w:hint="eastAsia" w:ascii="Times New Roman"/>
        </w:rPr>
        <w:t>b）排放因子与模型参数应按统一字段命名，便于在PACT或PEF系统中直接映射；</w:t>
      </w:r>
    </w:p>
    <w:p w14:paraId="3537C34E">
      <w:pPr>
        <w:pStyle w:val="27"/>
        <w:rPr>
          <w:rFonts w:ascii="Times New Roman"/>
        </w:rPr>
      </w:pPr>
      <w:r>
        <w:rPr>
          <w:rFonts w:hint="eastAsia" w:ascii="Times New Roman"/>
        </w:rPr>
        <w:t>c）建议企业采用以下映射格式：</w:t>
      </w:r>
    </w:p>
    <w:tbl>
      <w:tblPr>
        <w:tblStyle w:val="39"/>
        <w:tblW w:w="0" w:type="auto"/>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3089"/>
        <w:gridCol w:w="2902"/>
      </w:tblGrid>
      <w:tr w14:paraId="3537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06" w:type="dxa"/>
            <w:vAlign w:val="center"/>
          </w:tcPr>
          <w:p w14:paraId="3537C34F">
            <w:pPr>
              <w:widowControl/>
              <w:jc w:val="left"/>
              <w:rPr>
                <w:rFonts w:ascii="宋体"/>
                <w:b/>
                <w:bCs/>
                <w:kern w:val="0"/>
                <w:szCs w:val="20"/>
              </w:rPr>
            </w:pPr>
            <w:r>
              <w:rPr>
                <w:rFonts w:hint="eastAsia" w:ascii="宋体"/>
                <w:b/>
                <w:bCs/>
                <w:kern w:val="0"/>
                <w:szCs w:val="20"/>
              </w:rPr>
              <w:t>模型字段</w:t>
            </w:r>
          </w:p>
        </w:tc>
        <w:tc>
          <w:tcPr>
            <w:tcW w:w="3095" w:type="dxa"/>
            <w:vAlign w:val="center"/>
          </w:tcPr>
          <w:p w14:paraId="3537C350">
            <w:pPr>
              <w:widowControl/>
              <w:jc w:val="left"/>
              <w:rPr>
                <w:rFonts w:ascii="宋体"/>
                <w:b/>
                <w:bCs/>
                <w:kern w:val="0"/>
                <w:szCs w:val="20"/>
              </w:rPr>
            </w:pPr>
            <w:r>
              <w:rPr>
                <w:rFonts w:hint="eastAsia" w:ascii="宋体"/>
                <w:b/>
                <w:bCs/>
                <w:kern w:val="0"/>
                <w:szCs w:val="20"/>
              </w:rPr>
              <w:t>对应PACT字段</w:t>
            </w:r>
          </w:p>
        </w:tc>
        <w:tc>
          <w:tcPr>
            <w:tcW w:w="2928" w:type="dxa"/>
            <w:vAlign w:val="center"/>
          </w:tcPr>
          <w:p w14:paraId="3537C351">
            <w:pPr>
              <w:widowControl/>
              <w:jc w:val="left"/>
              <w:rPr>
                <w:rFonts w:ascii="宋体"/>
                <w:b/>
                <w:bCs/>
                <w:kern w:val="0"/>
                <w:szCs w:val="20"/>
              </w:rPr>
            </w:pPr>
            <w:r>
              <w:rPr>
                <w:rFonts w:hint="eastAsia" w:ascii="宋体"/>
                <w:b/>
                <w:bCs/>
                <w:kern w:val="0"/>
                <w:szCs w:val="20"/>
              </w:rPr>
              <w:t>示例</w:t>
            </w:r>
          </w:p>
        </w:tc>
      </w:tr>
      <w:tr w14:paraId="3537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6" w:type="dxa"/>
            <w:vAlign w:val="center"/>
          </w:tcPr>
          <w:p w14:paraId="3537C353">
            <w:pPr>
              <w:jc w:val="left"/>
              <w:rPr>
                <w:rFonts w:ascii="宋体"/>
                <w:szCs w:val="21"/>
                <w14:ligatures w14:val="standardContextual"/>
              </w:rPr>
            </w:pPr>
            <w:r>
              <w:rPr>
                <w:rFonts w:hint="eastAsia" w:ascii="宋体" w:hAnsi="宋体"/>
              </w:rPr>
              <w:t>能源使用_kWh（系统边界覆盖环节）</w:t>
            </w:r>
          </w:p>
          <w:p w14:paraId="3537C354">
            <w:pPr>
              <w:widowControl/>
              <w:jc w:val="left"/>
              <w:rPr>
                <w:rFonts w:ascii="宋体"/>
                <w:kern w:val="0"/>
                <w:szCs w:val="20"/>
              </w:rPr>
            </w:pPr>
          </w:p>
        </w:tc>
        <w:tc>
          <w:tcPr>
            <w:tcW w:w="3095" w:type="dxa"/>
            <w:vAlign w:val="center"/>
          </w:tcPr>
          <w:p w14:paraId="3537C355">
            <w:pPr>
              <w:widowControl/>
              <w:jc w:val="left"/>
              <w:rPr>
                <w:rFonts w:ascii="宋体"/>
                <w:kern w:val="0"/>
                <w:szCs w:val="20"/>
              </w:rPr>
            </w:pPr>
            <w:r>
              <w:rPr>
                <w:rFonts w:hint="eastAsia" w:ascii="宋体"/>
                <w:kern w:val="0"/>
                <w:szCs w:val="20"/>
              </w:rPr>
              <w:t>PACT_energy_use</w:t>
            </w:r>
          </w:p>
        </w:tc>
        <w:tc>
          <w:tcPr>
            <w:tcW w:w="2928" w:type="dxa"/>
            <w:vAlign w:val="center"/>
          </w:tcPr>
          <w:p w14:paraId="3537C356">
            <w:pPr>
              <w:jc w:val="left"/>
              <w:rPr>
                <w:rFonts w:ascii="宋体"/>
                <w:szCs w:val="21"/>
                <w14:ligatures w14:val="standardContextual"/>
              </w:rPr>
            </w:pPr>
            <w:r>
              <w:rPr>
                <w:rFonts w:hint="eastAsia" w:ascii="宋体" w:hAnsi="宋体"/>
              </w:rPr>
              <w:t>500 kWh（应说明是否仅含生产阶段）</w:t>
            </w:r>
          </w:p>
          <w:p w14:paraId="3537C357">
            <w:pPr>
              <w:widowControl/>
              <w:jc w:val="left"/>
              <w:rPr>
                <w:rFonts w:ascii="宋体"/>
                <w:kern w:val="0"/>
                <w:szCs w:val="20"/>
              </w:rPr>
            </w:pPr>
          </w:p>
        </w:tc>
      </w:tr>
      <w:tr w14:paraId="3537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6" w:type="dxa"/>
            <w:vAlign w:val="center"/>
          </w:tcPr>
          <w:p w14:paraId="3537C359">
            <w:pPr>
              <w:widowControl/>
              <w:jc w:val="left"/>
              <w:rPr>
                <w:rFonts w:ascii="宋体"/>
                <w:kern w:val="0"/>
                <w:szCs w:val="20"/>
              </w:rPr>
            </w:pPr>
            <w:r>
              <w:rPr>
                <w:rFonts w:hint="eastAsia" w:ascii="宋体"/>
                <w:kern w:val="0"/>
                <w:szCs w:val="20"/>
              </w:rPr>
              <w:t>排放因子_CO</w:t>
            </w:r>
            <w:r>
              <w:rPr>
                <w:rFonts w:hint="eastAsia" w:ascii="宋体"/>
                <w:kern w:val="0"/>
                <w:szCs w:val="20"/>
                <w:vertAlign w:val="subscript"/>
              </w:rPr>
              <w:t>2</w:t>
            </w:r>
            <w:r>
              <w:rPr>
                <w:rFonts w:hint="eastAsia" w:ascii="宋体"/>
                <w:kern w:val="0"/>
                <w:szCs w:val="20"/>
              </w:rPr>
              <w:t>e</w:t>
            </w:r>
          </w:p>
        </w:tc>
        <w:tc>
          <w:tcPr>
            <w:tcW w:w="3095" w:type="dxa"/>
            <w:vAlign w:val="center"/>
          </w:tcPr>
          <w:p w14:paraId="3537C35A">
            <w:pPr>
              <w:widowControl/>
              <w:jc w:val="left"/>
              <w:rPr>
                <w:rFonts w:ascii="宋体"/>
                <w:kern w:val="0"/>
                <w:szCs w:val="20"/>
              </w:rPr>
            </w:pPr>
            <w:r>
              <w:rPr>
                <w:rFonts w:hint="eastAsia" w:ascii="宋体"/>
                <w:kern w:val="0"/>
                <w:szCs w:val="20"/>
              </w:rPr>
              <w:t>PACT_emission_factor</w:t>
            </w:r>
          </w:p>
        </w:tc>
        <w:tc>
          <w:tcPr>
            <w:tcW w:w="2928" w:type="dxa"/>
            <w:vAlign w:val="center"/>
          </w:tcPr>
          <w:p w14:paraId="3537C35B">
            <w:pPr>
              <w:widowControl/>
              <w:jc w:val="left"/>
              <w:rPr>
                <w:rFonts w:ascii="宋体"/>
                <w:kern w:val="0"/>
                <w:szCs w:val="20"/>
              </w:rPr>
            </w:pPr>
            <w:r>
              <w:rPr>
                <w:rFonts w:hint="eastAsia" w:ascii="宋体"/>
                <w:kern w:val="0"/>
                <w:szCs w:val="20"/>
              </w:rPr>
              <w:t>0.58 kg CO</w:t>
            </w:r>
            <w:r>
              <w:rPr>
                <w:rFonts w:hint="eastAsia" w:ascii="宋体"/>
                <w:kern w:val="0"/>
                <w:szCs w:val="20"/>
                <w:vertAlign w:val="subscript"/>
              </w:rPr>
              <w:t>2</w:t>
            </w:r>
            <w:r>
              <w:rPr>
                <w:rFonts w:hint="eastAsia" w:ascii="宋体"/>
                <w:kern w:val="0"/>
                <w:szCs w:val="20"/>
              </w:rPr>
              <w:t>e/kWh</w:t>
            </w:r>
          </w:p>
        </w:tc>
      </w:tr>
      <w:tr w14:paraId="3537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6" w:type="dxa"/>
            <w:vAlign w:val="center"/>
          </w:tcPr>
          <w:p w14:paraId="3537C35D">
            <w:pPr>
              <w:widowControl/>
              <w:jc w:val="left"/>
              <w:rPr>
                <w:rFonts w:ascii="宋体"/>
                <w:kern w:val="0"/>
                <w:szCs w:val="20"/>
              </w:rPr>
            </w:pPr>
            <w:r>
              <w:rPr>
                <w:rFonts w:hint="eastAsia" w:ascii="宋体"/>
                <w:kern w:val="0"/>
                <w:szCs w:val="20"/>
              </w:rPr>
              <w:t>物料流_kg</w:t>
            </w:r>
          </w:p>
        </w:tc>
        <w:tc>
          <w:tcPr>
            <w:tcW w:w="3095" w:type="dxa"/>
            <w:vAlign w:val="center"/>
          </w:tcPr>
          <w:p w14:paraId="3537C35E">
            <w:pPr>
              <w:widowControl/>
              <w:jc w:val="left"/>
              <w:rPr>
                <w:rFonts w:ascii="宋体"/>
                <w:kern w:val="0"/>
                <w:szCs w:val="20"/>
              </w:rPr>
            </w:pPr>
            <w:r>
              <w:rPr>
                <w:rFonts w:hint="eastAsia" w:ascii="宋体"/>
                <w:kern w:val="0"/>
                <w:szCs w:val="20"/>
              </w:rPr>
              <w:t>PACT_material_flow</w:t>
            </w:r>
          </w:p>
        </w:tc>
        <w:tc>
          <w:tcPr>
            <w:tcW w:w="2928" w:type="dxa"/>
            <w:vAlign w:val="center"/>
          </w:tcPr>
          <w:p w14:paraId="3537C35F">
            <w:pPr>
              <w:widowControl/>
              <w:jc w:val="left"/>
              <w:rPr>
                <w:rFonts w:ascii="宋体"/>
                <w:kern w:val="0"/>
                <w:szCs w:val="20"/>
              </w:rPr>
            </w:pPr>
            <w:r>
              <w:rPr>
                <w:rFonts w:hint="eastAsia" w:ascii="宋体"/>
                <w:kern w:val="0"/>
                <w:szCs w:val="20"/>
              </w:rPr>
              <w:t>100 kg乙醇</w:t>
            </w:r>
          </w:p>
        </w:tc>
      </w:tr>
      <w:tr w14:paraId="3537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6" w:type="dxa"/>
            <w:vAlign w:val="center"/>
          </w:tcPr>
          <w:p w14:paraId="3537C361">
            <w:pPr>
              <w:widowControl/>
              <w:jc w:val="left"/>
              <w:rPr>
                <w:rFonts w:ascii="宋体"/>
                <w:kern w:val="0"/>
                <w:szCs w:val="20"/>
              </w:rPr>
            </w:pPr>
            <w:r>
              <w:rPr>
                <w:rFonts w:hint="eastAsia" w:ascii="宋体"/>
                <w:kern w:val="0"/>
                <w:szCs w:val="20"/>
              </w:rPr>
              <w:t>运输距离_km</w:t>
            </w:r>
          </w:p>
        </w:tc>
        <w:tc>
          <w:tcPr>
            <w:tcW w:w="3095" w:type="dxa"/>
            <w:vAlign w:val="center"/>
          </w:tcPr>
          <w:p w14:paraId="3537C362">
            <w:pPr>
              <w:widowControl/>
              <w:jc w:val="left"/>
              <w:rPr>
                <w:rFonts w:ascii="宋体"/>
                <w:kern w:val="0"/>
                <w:szCs w:val="20"/>
              </w:rPr>
            </w:pPr>
            <w:r>
              <w:rPr>
                <w:rFonts w:hint="eastAsia" w:ascii="宋体"/>
                <w:kern w:val="0"/>
                <w:szCs w:val="20"/>
              </w:rPr>
              <w:t>PACT_transport_distance</w:t>
            </w:r>
          </w:p>
        </w:tc>
        <w:tc>
          <w:tcPr>
            <w:tcW w:w="2928" w:type="dxa"/>
            <w:vAlign w:val="center"/>
          </w:tcPr>
          <w:p w14:paraId="3537C363">
            <w:pPr>
              <w:widowControl/>
              <w:jc w:val="left"/>
              <w:rPr>
                <w:rFonts w:ascii="宋体"/>
                <w:kern w:val="0"/>
                <w:szCs w:val="20"/>
              </w:rPr>
            </w:pPr>
            <w:r>
              <w:rPr>
                <w:rFonts w:hint="eastAsia" w:ascii="宋体"/>
                <w:kern w:val="0"/>
                <w:szCs w:val="20"/>
              </w:rPr>
              <w:t>300 km (公路运输)</w:t>
            </w:r>
          </w:p>
        </w:tc>
      </w:tr>
    </w:tbl>
    <w:p w14:paraId="3537C365">
      <w:pPr>
        <w:pStyle w:val="27"/>
        <w:rPr>
          <w:kern w:val="2"/>
          <w:szCs w:val="21"/>
          <w14:ligatures w14:val="standardContextual"/>
        </w:rPr>
      </w:pPr>
      <w:r>
        <w:rPr>
          <w:rFonts w:ascii="Times New Roman"/>
        </w:rPr>
        <w:t>d</w:t>
      </w:r>
      <w:r>
        <w:rPr>
          <w:rFonts w:hint="eastAsia"/>
        </w:rPr>
        <w:t>）企业可根据行业特性增设行业扩展字段（</w:t>
      </w:r>
      <w:r>
        <w:rPr>
          <w:rFonts w:ascii="Times New Roman"/>
        </w:rPr>
        <w:t>Industry Extension Fields</w:t>
      </w:r>
      <w:r>
        <w:rPr>
          <w:rFonts w:hint="eastAsia"/>
        </w:rPr>
        <w:t>），例如“植物产地”、“包装材料类型”、“溶剂回收率”、“回收溶剂使用量”、“新溶剂补充量”、“催化剂纳入情况”等，以满足数据交换与金融端需求。</w:t>
      </w:r>
    </w:p>
    <w:p w14:paraId="3537C366">
      <w:pPr>
        <w:pStyle w:val="55"/>
        <w:spacing w:before="156" w:after="156"/>
        <w:ind w:left="0"/>
        <w:rPr>
          <w:rFonts w:ascii="Times New Roman"/>
        </w:rPr>
      </w:pPr>
      <w:r>
        <w:rPr>
          <w:rFonts w:hint="eastAsia" w:ascii="Times New Roman"/>
        </w:rPr>
        <w:t>数据收集</w:t>
      </w:r>
      <w:bookmarkEnd w:id="70"/>
      <w:r>
        <w:rPr>
          <w:rFonts w:hint="eastAsia" w:ascii="Times New Roman"/>
        </w:rPr>
        <w:t>与优先级</w:t>
      </w:r>
    </w:p>
    <w:p w14:paraId="3537C367">
      <w:pPr>
        <w:pStyle w:val="60"/>
        <w:spacing w:before="156" w:after="156"/>
      </w:pPr>
      <w:r>
        <w:rPr>
          <w:rFonts w:hint="eastAsia"/>
        </w:rPr>
        <w:t>数据类型分类</w:t>
      </w:r>
    </w:p>
    <w:p w14:paraId="3537C368">
      <w:pPr>
        <w:pStyle w:val="27"/>
        <w:rPr>
          <w:rFonts w:ascii="Times New Roman"/>
        </w:rPr>
      </w:pPr>
      <w:r>
        <w:rPr>
          <w:rFonts w:ascii="Times New Roman"/>
        </w:rPr>
        <w:t>产品碳足迹核算所需的数据可分为以下三类：</w:t>
      </w:r>
    </w:p>
    <w:p w14:paraId="3537C369">
      <w:pPr>
        <w:pStyle w:val="27"/>
        <w:numPr>
          <w:ilvl w:val="0"/>
          <w:numId w:val="12"/>
        </w:numPr>
        <w:rPr>
          <w:rFonts w:ascii="Times New Roman"/>
        </w:rPr>
      </w:pPr>
      <w:r>
        <w:rPr>
          <w:rFonts w:ascii="Times New Roman"/>
        </w:rPr>
        <w:t>初级数据（primary data）：由企业自身或直接供应商采集的实测数据，包括能源消耗、物料消耗、产量</w:t>
      </w:r>
      <w:r>
        <w:rPr>
          <w:rFonts w:hint="eastAsia" w:ascii="Times New Roman"/>
        </w:rPr>
        <w:t>、运输里程</w:t>
      </w:r>
      <w:r>
        <w:rPr>
          <w:rFonts w:ascii="Times New Roman"/>
        </w:rPr>
        <w:t>等。</w:t>
      </w:r>
    </w:p>
    <w:p w14:paraId="3537C36A">
      <w:pPr>
        <w:pStyle w:val="27"/>
        <w:numPr>
          <w:ilvl w:val="0"/>
          <w:numId w:val="12"/>
        </w:numPr>
        <w:rPr>
          <w:rFonts w:ascii="Times New Roman"/>
        </w:rPr>
      </w:pPr>
      <w:r>
        <w:rPr>
          <w:rFonts w:ascii="Times New Roman"/>
        </w:rPr>
        <w:t>次级数据（secondary data）：来自行业数据库、生命周期清单、文献研究或权威统计资料的平均值或代表性数据</w:t>
      </w:r>
      <w:r>
        <w:rPr>
          <w:rFonts w:hint="eastAsia" w:ascii="Times New Roman"/>
        </w:rPr>
        <w:t>，如排放因子数据等</w:t>
      </w:r>
      <w:r>
        <w:rPr>
          <w:rFonts w:ascii="Times New Roman"/>
        </w:rPr>
        <w:t>。</w:t>
      </w:r>
    </w:p>
    <w:p w14:paraId="3537C36B">
      <w:pPr>
        <w:pStyle w:val="27"/>
        <w:numPr>
          <w:ilvl w:val="0"/>
          <w:numId w:val="12"/>
        </w:numPr>
        <w:rPr>
          <w:rFonts w:ascii="Times New Roman"/>
        </w:rPr>
      </w:pPr>
      <w:r>
        <w:rPr>
          <w:rFonts w:ascii="Times New Roman"/>
        </w:rPr>
        <w:t>混合数据（hybrid data）：在部分过程使用初级数据、部分过程使用次级数据的组合。</w:t>
      </w:r>
    </w:p>
    <w:p w14:paraId="3537C36C">
      <w:pPr>
        <w:pStyle w:val="60"/>
        <w:spacing w:before="156" w:after="156"/>
      </w:pPr>
      <w:r>
        <w:t>数据优先级</w:t>
      </w:r>
    </w:p>
    <w:p w14:paraId="3537C36D">
      <w:pPr>
        <w:pStyle w:val="27"/>
        <w:numPr>
          <w:ilvl w:val="0"/>
          <w:numId w:val="13"/>
        </w:numPr>
        <w:rPr>
          <w:rFonts w:ascii="Times New Roman"/>
        </w:rPr>
      </w:pPr>
      <w:r>
        <w:rPr>
          <w:rFonts w:ascii="Times New Roman"/>
        </w:rPr>
        <w:t>应优先使用初级数据，特别是对碳排放量贡献度≥ 10%的关键环节。</w:t>
      </w:r>
    </w:p>
    <w:p w14:paraId="3537C36E">
      <w:pPr>
        <w:pStyle w:val="27"/>
        <w:numPr>
          <w:ilvl w:val="0"/>
          <w:numId w:val="13"/>
        </w:numPr>
        <w:rPr>
          <w:rFonts w:ascii="Times New Roman"/>
        </w:rPr>
      </w:pPr>
      <w:r>
        <w:rPr>
          <w:rFonts w:ascii="Times New Roman"/>
        </w:rPr>
        <w:t>当初级数据缺失时，可使用与行业、地区、技术水平相匹配的次级数据，并应注明来源与适用性。</w:t>
      </w:r>
    </w:p>
    <w:p w14:paraId="3537C36F">
      <w:pPr>
        <w:pStyle w:val="27"/>
        <w:rPr>
          <w:rFonts w:hint="eastAsia" w:ascii="Times New Roman"/>
        </w:rPr>
      </w:pPr>
      <w:r>
        <w:rPr>
          <w:rFonts w:hint="eastAsia" w:ascii="Times New Roman"/>
        </w:rPr>
        <w:t>c）合成香料原料来源可包括石化原料、化工中间体、天然衍生原料等，应根据实际来源选取相应活动数据和排放因子进行核算。</w:t>
      </w:r>
    </w:p>
    <w:p w14:paraId="3537C370">
      <w:pPr>
        <w:pStyle w:val="27"/>
        <w:rPr>
          <w:rFonts w:hint="eastAsia" w:ascii="Times New Roman"/>
        </w:rPr>
      </w:pPr>
      <w:r>
        <w:rPr>
          <w:rFonts w:hint="eastAsia" w:ascii="Times New Roman"/>
        </w:rPr>
        <w:t>d）当采用天然衍生原料或其他生物基来源原料时，应据实核算并披露相关生物碳信息。</w:t>
      </w:r>
    </w:p>
    <w:p w14:paraId="3537C371">
      <w:pPr>
        <w:pStyle w:val="27"/>
        <w:rPr>
          <w:rFonts w:hint="eastAsia" w:ascii="Times New Roman"/>
        </w:rPr>
      </w:pPr>
      <w:r>
        <w:rPr>
          <w:rFonts w:hint="eastAsia" w:ascii="Times New Roman"/>
        </w:rPr>
        <w:t>e）对于合成香料生产中使用的催化剂，如其对总碳足迹可能具有实质性影响，宜纳入核算；即使质量占比较低，亦不宜仅依据质量占比直接排除，企业应说明是否纳入及其判断依据。</w:t>
      </w:r>
    </w:p>
    <w:p w14:paraId="3537C372">
      <w:pPr>
        <w:pStyle w:val="27"/>
        <w:rPr>
          <w:rFonts w:hint="eastAsia" w:ascii="Times New Roman"/>
        </w:rPr>
      </w:pPr>
      <w:r>
        <w:rPr>
          <w:rFonts w:hint="eastAsia" w:ascii="Times New Roman"/>
        </w:rPr>
        <w:t>f）对于香料种植、特色植物提取等环节，若缺乏排放因子，可先行采用IPCC或其他国际数据库的近似因子，并在报告中说明近似因子的来源、适用性及替代理由。</w:t>
      </w:r>
    </w:p>
    <w:p w14:paraId="3537C373">
      <w:pPr>
        <w:pStyle w:val="27"/>
        <w:numPr>
          <w:ilvl w:val="0"/>
          <w:numId w:val="13"/>
        </w:numPr>
        <w:rPr>
          <w:rFonts w:ascii="Times New Roman"/>
        </w:rPr>
      </w:pPr>
      <w:r>
        <w:rPr>
          <w:rFonts w:ascii="Times New Roman"/>
        </w:rPr>
        <w:t>对于中小供应商暂无法提供初级数据的，</w:t>
      </w:r>
      <w:r>
        <w:rPr>
          <w:rFonts w:hint="eastAsia" w:ascii="Times New Roman"/>
        </w:rPr>
        <w:t>可</w:t>
      </w:r>
      <w:r>
        <w:rPr>
          <w:rFonts w:ascii="Times New Roman"/>
        </w:rPr>
        <w:t>通过</w:t>
      </w:r>
      <w:r>
        <w:rPr>
          <w:rFonts w:hint="eastAsia" w:ascii="Times New Roman"/>
        </w:rPr>
        <w:t>标准</w:t>
      </w:r>
      <w:r>
        <w:rPr>
          <w:rFonts w:ascii="Times New Roman"/>
        </w:rPr>
        <w:t>提供的统一数据采集表（见</w:t>
      </w:r>
      <w:r>
        <w:rPr>
          <w:rFonts w:hint="eastAsia" w:ascii="Times New Roman"/>
        </w:rPr>
        <w:t>附录B</w:t>
      </w:r>
      <w:r>
        <w:rPr>
          <w:rFonts w:ascii="Times New Roman"/>
        </w:rPr>
        <w:t>）逐步完善。</w:t>
      </w:r>
    </w:p>
    <w:p w14:paraId="3537C374">
      <w:pPr>
        <w:pStyle w:val="60"/>
        <w:spacing w:before="156" w:after="156"/>
      </w:pPr>
      <w:r>
        <w:rPr>
          <w:rFonts w:hint="eastAsia"/>
        </w:rPr>
        <w:t>废弃物与污染物数据收集</w:t>
      </w:r>
    </w:p>
    <w:p w14:paraId="3537C375">
      <w:pPr>
        <w:pStyle w:val="27"/>
        <w:rPr>
          <w:rFonts w:ascii="Times New Roman"/>
        </w:rPr>
      </w:pPr>
      <w:r>
        <w:rPr>
          <w:rFonts w:hint="eastAsia" w:ascii="Times New Roman"/>
        </w:rPr>
        <w:t>香料、香精和化妆品行业常涉及废弃物和副产品的产生，尤其是在香料提取、香精调配、化妆品生产过程中。因此，企业在数据收集和核算时应特别关注废弃物、污染物的处理及其碳足迹核算：</w:t>
      </w:r>
    </w:p>
    <w:p w14:paraId="3537C376">
      <w:pPr>
        <w:pStyle w:val="27"/>
        <w:rPr>
          <w:kern w:val="2"/>
          <w:szCs w:val="21"/>
          <w14:ligatures w14:val="standardContextual"/>
        </w:rPr>
      </w:pPr>
      <w:r>
        <w:rPr>
          <w:rFonts w:hint="eastAsia"/>
        </w:rPr>
        <w:t>废弃物的定义应遵循</w:t>
      </w:r>
      <w:r>
        <w:rPr>
          <w:rFonts w:ascii="Times New Roman"/>
        </w:rPr>
        <w:t>PACT</w:t>
      </w:r>
      <w:r>
        <w:rPr>
          <w:rFonts w:hint="eastAsia"/>
        </w:rPr>
        <w:t>相关方法学要求，不因其实际最终处置方式（如回收、焚烧、填埋或再利用）而改变分类口径。</w:t>
      </w:r>
    </w:p>
    <w:p w14:paraId="3537C377">
      <w:pPr>
        <w:pStyle w:val="27"/>
        <w:rPr>
          <w:rFonts w:ascii="Times New Roman"/>
        </w:rPr>
      </w:pPr>
      <w:r>
        <w:rPr>
          <w:rFonts w:hint="eastAsia" w:ascii="Times New Roman"/>
        </w:rPr>
        <w:t>a）废弃物核算：企业应在数据收集时区分不同类型的废弃物（如生产废料、包装废弃物、废水、废气等），并对每种废弃物的处理方式（如填埋、焚烧、回收）进行分类；</w:t>
      </w:r>
    </w:p>
    <w:p w14:paraId="3537C378">
      <w:pPr>
        <w:pStyle w:val="27"/>
        <w:rPr>
          <w:rFonts w:ascii="Times New Roman"/>
        </w:rPr>
      </w:pPr>
      <w:r>
        <w:rPr>
          <w:rFonts w:hint="eastAsia" w:ascii="Times New Roman"/>
        </w:rPr>
        <w:t>b）污染物核算：对于在生产过程中产生的副产品（如精油蒸馏时的植物水或残渣），需明确如何在系统边界内进行分配，并确保废弃物的处理与碳足迹核算相一致；</w:t>
      </w:r>
    </w:p>
    <w:p w14:paraId="3537C379">
      <w:pPr>
        <w:pStyle w:val="27"/>
        <w:rPr>
          <w:rFonts w:ascii="Times New Roman"/>
        </w:rPr>
      </w:pPr>
      <w:r>
        <w:rPr>
          <w:rFonts w:hint="eastAsia" w:ascii="Times New Roman"/>
        </w:rPr>
        <w:t>c）在进行“摇篮到坟墓”（Cradle-to-Grave）核算时，要将废弃物处理环节的碳排放、资源利用及其减排效果纳入核算，以支撑企业根据不同披露要求或环境法规灵活应对。</w:t>
      </w:r>
    </w:p>
    <w:p w14:paraId="3537C37A">
      <w:pPr>
        <w:pStyle w:val="27"/>
        <w:rPr>
          <w:rFonts w:hint="eastAsia" w:ascii="Times New Roman"/>
        </w:rPr>
      </w:pPr>
      <w:bookmarkStart w:id="71" w:name="_Toc11667"/>
      <w:r>
        <w:rPr>
          <w:rFonts w:hint="eastAsia" w:ascii="Times New Roman"/>
        </w:rPr>
        <w:t>d）对于在系统边界内回收并回用于本生产系统的溶剂，宜按内部循环处理，不作为副产品进行分配。</w:t>
      </w:r>
    </w:p>
    <w:p w14:paraId="3537C37B">
      <w:pPr>
        <w:pStyle w:val="27"/>
        <w:rPr>
          <w:rFonts w:hint="eastAsia" w:ascii="Times New Roman"/>
        </w:rPr>
      </w:pPr>
      <w:r>
        <w:rPr>
          <w:rFonts w:hint="eastAsia" w:ascii="Times New Roman"/>
        </w:rPr>
        <w:t>e）核算时通常仅对新补充溶剂计入其上游原材料碳足迹；回收溶剂再次回用时，不重复计算其上游生产排放。</w:t>
      </w:r>
    </w:p>
    <w:p w14:paraId="3537C37C">
      <w:pPr>
        <w:pStyle w:val="27"/>
        <w:rPr>
          <w:rFonts w:hint="eastAsia" w:ascii="Times New Roman"/>
        </w:rPr>
      </w:pPr>
      <w:r>
        <w:rPr>
          <w:rFonts w:hint="eastAsia" w:ascii="Times New Roman"/>
        </w:rPr>
        <w:t>f）溶剂回收过程产生的能源消耗与相关排放应计入生产阶段；企业应在报告中披露溶剂回收率、回收溶剂使用量及新溶剂补充量。如回收溶剂对外销售或形成独立产品流，应说明其处理原则。</w:t>
      </w:r>
    </w:p>
    <w:p w14:paraId="3537C37D">
      <w:pPr>
        <w:pStyle w:val="51"/>
        <w:spacing w:before="156" w:after="156"/>
        <w:rPr>
          <w:rFonts w:ascii="Times New Roman"/>
        </w:rPr>
      </w:pPr>
      <w:r>
        <w:rPr>
          <w:rFonts w:hint="eastAsia" w:ascii="Times New Roman"/>
        </w:rPr>
        <w:t>数据质量与管理</w:t>
      </w:r>
    </w:p>
    <w:p w14:paraId="3537C37E">
      <w:pPr>
        <w:pStyle w:val="55"/>
        <w:spacing w:before="156" w:after="156"/>
        <w:ind w:left="0"/>
        <w:rPr>
          <w:rFonts w:ascii="Times New Roman"/>
        </w:rPr>
      </w:pPr>
      <w:r>
        <w:rPr>
          <w:rFonts w:hint="eastAsia" w:ascii="Times New Roman"/>
        </w:rPr>
        <w:t>数据质量要求</w:t>
      </w:r>
      <w:r>
        <w:rPr>
          <w:rFonts w:ascii="Times New Roman"/>
        </w:rPr>
        <w:t>（DQR）</w:t>
      </w:r>
    </w:p>
    <w:p w14:paraId="3537C37F">
      <w:pPr>
        <w:pStyle w:val="27"/>
        <w:rPr>
          <w:rFonts w:ascii="Times New Roman"/>
        </w:rPr>
      </w:pPr>
      <w:r>
        <w:rPr>
          <w:rFonts w:ascii="Times New Roman"/>
        </w:rPr>
        <w:t>为确保产品碳足迹数据的可靠性与可比性，行业企业应采用统一的数据质量评估体系（Data Quality Rating, DQR），依据国际框架TfS与PACT的要求，对数据进行质量分级。</w:t>
      </w:r>
    </w:p>
    <w:p w14:paraId="3537C380">
      <w:pPr>
        <w:pStyle w:val="60"/>
        <w:spacing w:before="156" w:after="156"/>
      </w:pPr>
      <w:r>
        <w:rPr>
          <w:rFonts w:hint="eastAsia"/>
        </w:rPr>
        <w:t>评估维度</w:t>
      </w:r>
    </w:p>
    <w:p w14:paraId="3537C381">
      <w:pPr>
        <w:pStyle w:val="27"/>
        <w:rPr>
          <w:rFonts w:ascii="Times New Roman"/>
        </w:rPr>
      </w:pPr>
      <w:r>
        <w:rPr>
          <w:rFonts w:hint="eastAsia" w:ascii="Times New Roman"/>
        </w:rPr>
        <w:t>数据质量评估应从以下三个核心维度进行：</w:t>
      </w:r>
    </w:p>
    <w:p w14:paraId="3537C382">
      <w:pPr>
        <w:pStyle w:val="27"/>
        <w:rPr>
          <w:rFonts w:ascii="Times New Roman"/>
        </w:rPr>
      </w:pPr>
      <w:r>
        <w:rPr>
          <w:rFonts w:hint="eastAsia" w:ascii="Times New Roman"/>
        </w:rPr>
        <w:t>a）技术相关性（Technological Representativeness）：数据对应的生产工艺、技术水平与实际工艺的相似性；</w:t>
      </w:r>
    </w:p>
    <w:p w14:paraId="3537C383">
      <w:pPr>
        <w:pStyle w:val="27"/>
        <w:rPr>
          <w:rFonts w:ascii="Times New Roman"/>
        </w:rPr>
      </w:pPr>
      <w:r>
        <w:rPr>
          <w:rFonts w:hint="eastAsia" w:ascii="Times New Roman"/>
        </w:rPr>
        <w:t>b）地域相关性（Geographical Representativeness）：数据采集地区与实际生产或供应地区的一致性；</w:t>
      </w:r>
    </w:p>
    <w:p w14:paraId="3537C384">
      <w:pPr>
        <w:pStyle w:val="27"/>
        <w:rPr>
          <w:rFonts w:ascii="Times New Roman"/>
        </w:rPr>
      </w:pPr>
      <w:r>
        <w:rPr>
          <w:rFonts w:hint="eastAsia" w:ascii="Times New Roman"/>
        </w:rPr>
        <w:t>c）时间相关性（Time Representativeness）：数据所代表时间段与核算年份的匹配程度；</w:t>
      </w:r>
    </w:p>
    <w:p w14:paraId="3537C385">
      <w:pPr>
        <w:pStyle w:val="27"/>
        <w:rPr>
          <w:rFonts w:ascii="Times New Roman"/>
        </w:rPr>
      </w:pPr>
      <w:r>
        <w:rPr>
          <w:rFonts w:hint="eastAsia" w:ascii="Times New Roman"/>
        </w:rPr>
        <w:t>注：完整性、方法透明度作为数据管理的基础要求，应在碳足迹报告中单独说明，不纳入 DQR 核心评分维度。</w:t>
      </w:r>
    </w:p>
    <w:p w14:paraId="3537C386">
      <w:pPr>
        <w:pStyle w:val="60"/>
        <w:spacing w:before="156" w:after="156"/>
      </w:pPr>
      <w:r>
        <w:rPr>
          <w:rFonts w:hint="eastAsia"/>
        </w:rPr>
        <w:t>质量分级标准</w:t>
      </w:r>
    </w:p>
    <w:p w14:paraId="3537C387">
      <w:pPr>
        <w:pStyle w:val="27"/>
        <w:rPr>
          <w:rFonts w:ascii="Times New Roman"/>
        </w:rPr>
      </w:pPr>
      <w:r>
        <w:rPr>
          <w:rFonts w:ascii="Times New Roman"/>
        </w:rPr>
        <w:t>数据质量通常分为 A、B、C、D 四个等级，定义如下：</w:t>
      </w:r>
    </w:p>
    <w:p w14:paraId="3537C388">
      <w:pPr>
        <w:pStyle w:val="27"/>
        <w:rPr>
          <w:rFonts w:ascii="Times New Roman"/>
        </w:rPr>
      </w:pPr>
      <w:r>
        <w:rPr>
          <w:rFonts w:ascii="Times New Roman"/>
        </w:rPr>
        <w:t>A 级（高质量）：现场实测数据，经内部审核与第三方验证；</w:t>
      </w:r>
    </w:p>
    <w:p w14:paraId="3537C389">
      <w:pPr>
        <w:pStyle w:val="27"/>
        <w:rPr>
          <w:rFonts w:ascii="Times New Roman"/>
        </w:rPr>
      </w:pPr>
      <w:r>
        <w:rPr>
          <w:rFonts w:ascii="Times New Roman"/>
        </w:rPr>
        <w:t>B 级（较高质量）：供应商提供数据或经验证的次级数据，具备时间与地域代表性；</w:t>
      </w:r>
    </w:p>
    <w:p w14:paraId="3537C38A">
      <w:pPr>
        <w:pStyle w:val="27"/>
        <w:rPr>
          <w:rFonts w:ascii="Times New Roman"/>
        </w:rPr>
      </w:pPr>
      <w:r>
        <w:rPr>
          <w:rFonts w:ascii="Times New Roman"/>
        </w:rPr>
        <w:t>C 级（一般质量）：基于公开数据库或行业平均值的估算数据；</w:t>
      </w:r>
    </w:p>
    <w:p w14:paraId="3537C38B">
      <w:pPr>
        <w:pStyle w:val="27"/>
        <w:rPr>
          <w:rFonts w:ascii="Times New Roman"/>
        </w:rPr>
      </w:pPr>
      <w:r>
        <w:rPr>
          <w:rFonts w:ascii="Times New Roman"/>
        </w:rPr>
        <w:t>D 级（低质量）：缺乏代表性或存在显著不确定性，仅可用于暂估分析。</w:t>
      </w:r>
    </w:p>
    <w:p w14:paraId="3537C38C">
      <w:pPr>
        <w:pStyle w:val="60"/>
        <w:spacing w:before="156" w:after="156"/>
      </w:pPr>
      <w:r>
        <w:rPr>
          <w:rFonts w:hint="eastAsia"/>
        </w:rPr>
        <w:t>管理与披露要求</w:t>
      </w:r>
    </w:p>
    <w:p w14:paraId="3537C38D">
      <w:pPr>
        <w:pStyle w:val="27"/>
        <w:rPr>
          <w:rFonts w:ascii="Times New Roman"/>
        </w:rPr>
      </w:pPr>
      <w:r>
        <w:rPr>
          <w:rFonts w:ascii="Times New Roman"/>
        </w:rPr>
        <w:t>a）企业应在碳足迹报告中披露数据质量等级，并对低质量数据说明替代方法或改进计划；</w:t>
      </w:r>
    </w:p>
    <w:p w14:paraId="3537C38E">
      <w:pPr>
        <w:pStyle w:val="27"/>
        <w:rPr>
          <w:rFonts w:ascii="Times New Roman"/>
        </w:rPr>
      </w:pPr>
      <w:r>
        <w:rPr>
          <w:rFonts w:ascii="Times New Roman"/>
        </w:rPr>
        <w:t>b）供应商数据须进行DQR打分，结果纳入采购与合作评价体系；</w:t>
      </w:r>
    </w:p>
    <w:p w14:paraId="3537C38F">
      <w:pPr>
        <w:pStyle w:val="27"/>
        <w:rPr>
          <w:rFonts w:ascii="Times New Roman"/>
        </w:rPr>
      </w:pPr>
      <w:r>
        <w:rPr>
          <w:rFonts w:ascii="Times New Roman"/>
        </w:rPr>
        <w:t>c）</w:t>
      </w:r>
      <w:r>
        <w:rPr>
          <w:rFonts w:hint="eastAsia" w:ascii="Times New Roman"/>
        </w:rPr>
        <w:t>企业可使用</w:t>
      </w:r>
      <w:r>
        <w:rPr>
          <w:rFonts w:ascii="Times New Roman"/>
        </w:rPr>
        <w:t>协会提供统一的DQR评分模板或在线打分工具。</w:t>
      </w:r>
    </w:p>
    <w:p w14:paraId="3537C390">
      <w:pPr>
        <w:pStyle w:val="55"/>
        <w:spacing w:before="156" w:after="156"/>
        <w:ind w:left="0"/>
        <w:rPr>
          <w:rFonts w:ascii="Times New Roman"/>
        </w:rPr>
      </w:pPr>
      <w:r>
        <w:rPr>
          <w:rFonts w:hint="eastAsia" w:ascii="Times New Roman"/>
        </w:rPr>
        <w:t>数据管理与交换</w:t>
      </w:r>
    </w:p>
    <w:p w14:paraId="3537C391">
      <w:pPr>
        <w:pStyle w:val="60"/>
        <w:spacing w:before="156" w:after="156"/>
      </w:pPr>
      <w:r>
        <w:rPr>
          <w:rFonts w:hint="eastAsia"/>
        </w:rPr>
        <w:t>行业数据库与对接路径说明</w:t>
      </w:r>
    </w:p>
    <w:p w14:paraId="3537C392">
      <w:pPr>
        <w:pStyle w:val="27"/>
        <w:rPr>
          <w:rFonts w:ascii="Times New Roman"/>
        </w:rPr>
      </w:pPr>
      <w:r>
        <w:rPr>
          <w:rFonts w:ascii="Times New Roman"/>
        </w:rPr>
        <w:t>企业可通过API接口或统一表单上传数据，实现与供应链伙伴的自动化对接与验证。</w:t>
      </w:r>
    </w:p>
    <w:p w14:paraId="3537C393">
      <w:pPr>
        <w:pStyle w:val="60"/>
        <w:spacing w:before="156" w:after="156"/>
      </w:pPr>
      <w:r>
        <w:rPr>
          <w:rFonts w:hint="eastAsia"/>
        </w:rPr>
        <w:t>数据采集原则</w:t>
      </w:r>
    </w:p>
    <w:p w14:paraId="3537C394">
      <w:pPr>
        <w:pStyle w:val="27"/>
        <w:rPr>
          <w:rFonts w:ascii="Times New Roman"/>
        </w:rPr>
      </w:pPr>
      <w:r>
        <w:rPr>
          <w:rFonts w:ascii="Times New Roman"/>
        </w:rPr>
        <w:t>a）应优先获取初级数据（Primary Data），在无法获取时可使用经验证的次级数据（Secondary Data）；</w:t>
      </w:r>
    </w:p>
    <w:p w14:paraId="3537C395">
      <w:pPr>
        <w:pStyle w:val="27"/>
        <w:rPr>
          <w:rFonts w:ascii="Times New Roman"/>
        </w:rPr>
      </w:pPr>
      <w:r>
        <w:rPr>
          <w:rFonts w:ascii="Times New Roman"/>
        </w:rPr>
        <w:t>b）数据采集应符合透明性与可追溯性要求，供应商应提供相应的支撑性证据（能耗账单、排放记录、认证文件）；</w:t>
      </w:r>
    </w:p>
    <w:p w14:paraId="3537C396">
      <w:pPr>
        <w:pStyle w:val="60"/>
        <w:spacing w:before="156" w:after="156"/>
      </w:pPr>
      <w:r>
        <w:rPr>
          <w:rFonts w:hint="eastAsia"/>
        </w:rPr>
        <w:t>供应链分级采集流程</w:t>
      </w:r>
    </w:p>
    <w:p w14:paraId="3537C397">
      <w:pPr>
        <w:pStyle w:val="27"/>
        <w:autoSpaceDE/>
        <w:autoSpaceDN/>
        <w:ind w:firstLineChars="0"/>
        <w:rPr>
          <w:rFonts w:ascii="Times New Roman"/>
        </w:rPr>
      </w:pPr>
      <w:bookmarkStart w:id="72" w:name="_Toc22512"/>
      <w:bookmarkStart w:id="73" w:name="_Toc28490"/>
      <w:r>
        <w:rPr>
          <w:rFonts w:ascii="Times New Roman"/>
        </w:rPr>
        <w:t>a）一级供应商（Tier 1）：提供香料、香精、</w:t>
      </w:r>
      <w:r>
        <w:rPr>
          <w:rFonts w:hint="eastAsia" w:ascii="Times New Roman"/>
        </w:rPr>
        <w:t>化妆品原料</w:t>
      </w:r>
      <w:r>
        <w:rPr>
          <w:rFonts w:ascii="Times New Roman"/>
        </w:rPr>
        <w:t>、包装材料等，应提交能耗与运输数据；</w:t>
      </w:r>
    </w:p>
    <w:p w14:paraId="3537C398">
      <w:pPr>
        <w:pStyle w:val="27"/>
        <w:autoSpaceDE/>
        <w:autoSpaceDN/>
        <w:ind w:firstLineChars="0"/>
        <w:rPr>
          <w:rFonts w:ascii="Times New Roman"/>
        </w:rPr>
      </w:pPr>
      <w:r>
        <w:rPr>
          <w:rFonts w:ascii="Times New Roman"/>
        </w:rPr>
        <w:t>b）二级供应商（Tier 2）：上游种植、基础化工或包装原料企业，应优先提交关键原料的排放因子；</w:t>
      </w:r>
    </w:p>
    <w:p w14:paraId="3537C399">
      <w:pPr>
        <w:pStyle w:val="27"/>
        <w:autoSpaceDE/>
        <w:autoSpaceDN/>
        <w:ind w:firstLineChars="0"/>
        <w:rPr>
          <w:rFonts w:ascii="Times New Roman"/>
        </w:rPr>
      </w:pPr>
      <w:r>
        <w:rPr>
          <w:rFonts w:ascii="Times New Roman"/>
        </w:rPr>
        <w:t>c）三级及以上供应商（Tier 3+）：对总排放贡献度小于5%的，可使用行业平均值或次级数据，并注明来源。</w:t>
      </w:r>
    </w:p>
    <w:p w14:paraId="3537C39A">
      <w:pPr>
        <w:pStyle w:val="55"/>
        <w:spacing w:before="156" w:after="156"/>
        <w:ind w:left="0"/>
        <w:rPr>
          <w:rFonts w:ascii="Times New Roman"/>
        </w:rPr>
      </w:pPr>
      <w:r>
        <w:rPr>
          <w:rFonts w:ascii="Times New Roman"/>
        </w:rPr>
        <w:t>PACT数据字段映射与行业扩展字段</w:t>
      </w:r>
      <w:bookmarkEnd w:id="72"/>
      <w:bookmarkEnd w:id="73"/>
    </w:p>
    <w:p w14:paraId="3537C39B">
      <w:pPr>
        <w:pStyle w:val="60"/>
        <w:spacing w:before="156" w:after="156"/>
      </w:pPr>
      <w:bookmarkStart w:id="74" w:name="_Toc22793"/>
      <w:r>
        <w:t>核心字段映射</w:t>
      </w:r>
      <w:bookmarkEnd w:id="74"/>
    </w:p>
    <w:p w14:paraId="3537C39C">
      <w:pPr>
        <w:pStyle w:val="27"/>
        <w:rPr>
          <w:rFonts w:ascii="Times New Roman"/>
        </w:rPr>
      </w:pPr>
      <w:r>
        <w:rPr>
          <w:rFonts w:ascii="Times New Roman"/>
        </w:rPr>
        <w:t>企业在提交产品碳足迹数据时，应遵循Partnership for Carbon Transparency (PACT) 方法学与数据交换规范。</w:t>
      </w:r>
    </w:p>
    <w:p w14:paraId="3537C39D">
      <w:pPr>
        <w:pStyle w:val="27"/>
        <w:rPr>
          <w:rFonts w:ascii="Times New Roman"/>
        </w:rPr>
      </w:pPr>
      <w:r>
        <w:rPr>
          <w:rFonts w:ascii="Times New Roman"/>
        </w:rPr>
        <w:t>主要字段对应如下表：</w:t>
      </w:r>
    </w:p>
    <w:tbl>
      <w:tblPr>
        <w:tblStyle w:val="3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157"/>
        <w:gridCol w:w="1337"/>
        <w:gridCol w:w="2287"/>
      </w:tblGrid>
      <w:tr w14:paraId="3537C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21" w:type="dxa"/>
            <w:tcBorders>
              <w:bottom w:val="single" w:color="auto" w:sz="8" w:space="0"/>
            </w:tcBorders>
            <w:vAlign w:val="center"/>
          </w:tcPr>
          <w:p w14:paraId="3537C39E">
            <w:pPr>
              <w:widowControl/>
              <w:jc w:val="center"/>
              <w:rPr>
                <w:rFonts w:ascii="宋体"/>
                <w:sz w:val="18"/>
                <w:szCs w:val="18"/>
              </w:rPr>
            </w:pPr>
            <w:r>
              <w:rPr>
                <w:rFonts w:ascii="宋体"/>
                <w:b/>
                <w:bCs/>
                <w:kern w:val="0"/>
                <w:sz w:val="18"/>
                <w:szCs w:val="18"/>
                <w:lang w:bidi="ar"/>
              </w:rPr>
              <w:t>PACT 字段</w:t>
            </w:r>
          </w:p>
        </w:tc>
        <w:tc>
          <w:tcPr>
            <w:tcW w:w="3265" w:type="dxa"/>
            <w:tcBorders>
              <w:bottom w:val="single" w:color="auto" w:sz="8" w:space="0"/>
            </w:tcBorders>
            <w:vAlign w:val="center"/>
          </w:tcPr>
          <w:p w14:paraId="3537C39F">
            <w:pPr>
              <w:widowControl/>
              <w:jc w:val="center"/>
              <w:rPr>
                <w:rFonts w:ascii="宋体"/>
                <w:sz w:val="18"/>
                <w:szCs w:val="18"/>
              </w:rPr>
            </w:pPr>
            <w:r>
              <w:rPr>
                <w:rFonts w:ascii="宋体"/>
                <w:b/>
                <w:bCs/>
                <w:kern w:val="0"/>
                <w:sz w:val="18"/>
                <w:szCs w:val="18"/>
                <w:lang w:bidi="ar"/>
              </w:rPr>
              <w:t>本标</w:t>
            </w:r>
            <w:r>
              <w:rPr>
                <w:rFonts w:hint="eastAsia" w:ascii="宋体"/>
                <w:b/>
                <w:bCs/>
                <w:kern w:val="0"/>
                <w:sz w:val="18"/>
                <w:szCs w:val="18"/>
                <w:lang w:bidi="ar"/>
              </w:rPr>
              <w:t>准</w:t>
            </w:r>
            <w:r>
              <w:rPr>
                <w:rFonts w:ascii="宋体"/>
                <w:b/>
                <w:bCs/>
                <w:kern w:val="0"/>
                <w:sz w:val="18"/>
                <w:szCs w:val="18"/>
                <w:lang w:bidi="ar"/>
              </w:rPr>
              <w:t>映射字段</w:t>
            </w:r>
          </w:p>
        </w:tc>
        <w:tc>
          <w:tcPr>
            <w:tcW w:w="1377" w:type="dxa"/>
            <w:tcBorders>
              <w:bottom w:val="single" w:color="auto" w:sz="8" w:space="0"/>
            </w:tcBorders>
            <w:vAlign w:val="center"/>
          </w:tcPr>
          <w:p w14:paraId="3537C3A0">
            <w:pPr>
              <w:widowControl/>
              <w:jc w:val="center"/>
              <w:rPr>
                <w:rFonts w:ascii="宋体"/>
                <w:sz w:val="18"/>
                <w:szCs w:val="18"/>
              </w:rPr>
            </w:pPr>
            <w:r>
              <w:rPr>
                <w:rFonts w:ascii="宋体"/>
                <w:b/>
                <w:bCs/>
                <w:kern w:val="0"/>
                <w:sz w:val="18"/>
                <w:szCs w:val="18"/>
                <w:lang w:bidi="ar"/>
              </w:rPr>
              <w:t>单位/格式</w:t>
            </w:r>
          </w:p>
        </w:tc>
        <w:tc>
          <w:tcPr>
            <w:tcW w:w="2321" w:type="dxa"/>
            <w:tcBorders>
              <w:bottom w:val="single" w:color="auto" w:sz="8" w:space="0"/>
            </w:tcBorders>
            <w:vAlign w:val="center"/>
          </w:tcPr>
          <w:p w14:paraId="3537C3A1">
            <w:pPr>
              <w:widowControl/>
              <w:jc w:val="center"/>
              <w:rPr>
                <w:rFonts w:ascii="宋体"/>
                <w:sz w:val="18"/>
                <w:szCs w:val="18"/>
              </w:rPr>
            </w:pPr>
            <w:r>
              <w:rPr>
                <w:rFonts w:ascii="宋体"/>
                <w:b/>
                <w:bCs/>
                <w:kern w:val="0"/>
                <w:sz w:val="18"/>
                <w:szCs w:val="18"/>
                <w:lang w:bidi="ar"/>
              </w:rPr>
              <w:t>说明</w:t>
            </w:r>
          </w:p>
        </w:tc>
      </w:tr>
      <w:tr w14:paraId="3537C3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21" w:type="dxa"/>
            <w:tcBorders>
              <w:top w:val="single" w:color="auto" w:sz="8" w:space="0"/>
            </w:tcBorders>
            <w:vAlign w:val="center"/>
          </w:tcPr>
          <w:p w14:paraId="3537C3A3">
            <w:pPr>
              <w:widowControl/>
              <w:jc w:val="left"/>
              <w:rPr>
                <w:rFonts w:ascii="宋体"/>
                <w:sz w:val="18"/>
                <w:szCs w:val="18"/>
              </w:rPr>
            </w:pPr>
            <w:r>
              <w:rPr>
                <w:rFonts w:ascii="宋体"/>
                <w:kern w:val="0"/>
                <w:sz w:val="18"/>
                <w:szCs w:val="18"/>
                <w:lang w:bidi="ar"/>
              </w:rPr>
              <w:t>Product Identifier</w:t>
            </w:r>
          </w:p>
        </w:tc>
        <w:tc>
          <w:tcPr>
            <w:tcW w:w="3265" w:type="dxa"/>
            <w:tcBorders>
              <w:top w:val="single" w:color="auto" w:sz="8" w:space="0"/>
            </w:tcBorders>
            <w:vAlign w:val="center"/>
          </w:tcPr>
          <w:p w14:paraId="3537C3A4">
            <w:pPr>
              <w:widowControl/>
              <w:jc w:val="left"/>
              <w:rPr>
                <w:rFonts w:ascii="宋体"/>
                <w:sz w:val="18"/>
                <w:szCs w:val="18"/>
              </w:rPr>
            </w:pPr>
            <w:r>
              <w:rPr>
                <w:rFonts w:ascii="宋体"/>
                <w:kern w:val="0"/>
                <w:sz w:val="18"/>
                <w:szCs w:val="18"/>
                <w:lang w:bidi="ar"/>
              </w:rPr>
              <w:t>产品标识（CAS/INCI 名称、SKU 编码）</w:t>
            </w:r>
          </w:p>
        </w:tc>
        <w:tc>
          <w:tcPr>
            <w:tcW w:w="1377" w:type="dxa"/>
            <w:tcBorders>
              <w:top w:val="single" w:color="auto" w:sz="8" w:space="0"/>
            </w:tcBorders>
            <w:vAlign w:val="center"/>
          </w:tcPr>
          <w:p w14:paraId="3537C3A5">
            <w:pPr>
              <w:widowControl/>
              <w:jc w:val="left"/>
              <w:rPr>
                <w:rFonts w:ascii="宋体"/>
                <w:sz w:val="18"/>
                <w:szCs w:val="18"/>
              </w:rPr>
            </w:pPr>
            <w:r>
              <w:rPr>
                <w:rFonts w:ascii="宋体"/>
                <w:kern w:val="0"/>
                <w:sz w:val="18"/>
                <w:szCs w:val="18"/>
                <w:lang w:bidi="ar"/>
              </w:rPr>
              <w:t>文本</w:t>
            </w:r>
          </w:p>
        </w:tc>
        <w:tc>
          <w:tcPr>
            <w:tcW w:w="2321" w:type="dxa"/>
            <w:tcBorders>
              <w:top w:val="single" w:color="auto" w:sz="8" w:space="0"/>
            </w:tcBorders>
            <w:vAlign w:val="center"/>
          </w:tcPr>
          <w:p w14:paraId="3537C3A6">
            <w:pPr>
              <w:widowControl/>
              <w:jc w:val="left"/>
              <w:rPr>
                <w:rFonts w:ascii="宋体"/>
                <w:sz w:val="18"/>
                <w:szCs w:val="18"/>
              </w:rPr>
            </w:pPr>
            <w:r>
              <w:rPr>
                <w:rFonts w:ascii="宋体"/>
                <w:kern w:val="0"/>
                <w:sz w:val="18"/>
                <w:szCs w:val="18"/>
                <w:lang w:bidi="ar"/>
              </w:rPr>
              <w:t>必填，确保全球唯一性</w:t>
            </w:r>
          </w:p>
        </w:tc>
      </w:tr>
      <w:tr w14:paraId="3537C3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3537C3A8">
            <w:pPr>
              <w:widowControl/>
              <w:jc w:val="left"/>
              <w:rPr>
                <w:rFonts w:ascii="宋体"/>
                <w:sz w:val="18"/>
                <w:szCs w:val="18"/>
              </w:rPr>
            </w:pPr>
            <w:r>
              <w:rPr>
                <w:rFonts w:ascii="宋体"/>
                <w:kern w:val="0"/>
                <w:sz w:val="18"/>
                <w:szCs w:val="18"/>
                <w:lang w:bidi="ar"/>
              </w:rPr>
              <w:t>Reporting Period</w:t>
            </w:r>
          </w:p>
        </w:tc>
        <w:tc>
          <w:tcPr>
            <w:tcW w:w="3265" w:type="dxa"/>
            <w:vAlign w:val="center"/>
          </w:tcPr>
          <w:p w14:paraId="3537C3A9">
            <w:pPr>
              <w:widowControl/>
              <w:jc w:val="left"/>
              <w:rPr>
                <w:rFonts w:ascii="宋体"/>
                <w:sz w:val="18"/>
                <w:szCs w:val="18"/>
              </w:rPr>
            </w:pPr>
            <w:r>
              <w:rPr>
                <w:rFonts w:ascii="宋体"/>
                <w:kern w:val="0"/>
                <w:sz w:val="18"/>
                <w:szCs w:val="18"/>
                <w:lang w:bidi="ar"/>
              </w:rPr>
              <w:t>核算年份</w:t>
            </w:r>
          </w:p>
        </w:tc>
        <w:tc>
          <w:tcPr>
            <w:tcW w:w="1377" w:type="dxa"/>
            <w:vAlign w:val="center"/>
          </w:tcPr>
          <w:p w14:paraId="3537C3AA">
            <w:pPr>
              <w:widowControl/>
              <w:jc w:val="left"/>
              <w:rPr>
                <w:rFonts w:ascii="宋体"/>
                <w:sz w:val="18"/>
                <w:szCs w:val="18"/>
              </w:rPr>
            </w:pPr>
            <w:r>
              <w:rPr>
                <w:rFonts w:ascii="宋体"/>
                <w:kern w:val="0"/>
                <w:sz w:val="18"/>
                <w:szCs w:val="18"/>
                <w:lang w:bidi="ar"/>
              </w:rPr>
              <w:t>YYYY</w:t>
            </w:r>
          </w:p>
        </w:tc>
        <w:tc>
          <w:tcPr>
            <w:tcW w:w="2321" w:type="dxa"/>
            <w:vAlign w:val="center"/>
          </w:tcPr>
          <w:p w14:paraId="3537C3AB">
            <w:pPr>
              <w:widowControl/>
              <w:jc w:val="left"/>
              <w:rPr>
                <w:rFonts w:ascii="宋体"/>
                <w:sz w:val="18"/>
                <w:szCs w:val="18"/>
              </w:rPr>
            </w:pPr>
            <w:r>
              <w:rPr>
                <w:rFonts w:ascii="宋体"/>
                <w:kern w:val="0"/>
                <w:sz w:val="18"/>
                <w:szCs w:val="18"/>
                <w:lang w:bidi="ar"/>
              </w:rPr>
              <w:t>必填，至少覆盖一个自然年</w:t>
            </w:r>
          </w:p>
        </w:tc>
      </w:tr>
      <w:tr w14:paraId="3537C3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3537C3AD">
            <w:pPr>
              <w:widowControl/>
              <w:jc w:val="left"/>
              <w:rPr>
                <w:rFonts w:ascii="宋体"/>
                <w:sz w:val="18"/>
                <w:szCs w:val="18"/>
              </w:rPr>
            </w:pPr>
            <w:r>
              <w:rPr>
                <w:rFonts w:ascii="宋体"/>
                <w:kern w:val="0"/>
                <w:sz w:val="18"/>
                <w:szCs w:val="18"/>
                <w:lang w:bidi="ar"/>
              </w:rPr>
              <w:t>Geographical Scope</w:t>
            </w:r>
          </w:p>
        </w:tc>
        <w:tc>
          <w:tcPr>
            <w:tcW w:w="3265" w:type="dxa"/>
            <w:vAlign w:val="center"/>
          </w:tcPr>
          <w:p w14:paraId="3537C3AE">
            <w:pPr>
              <w:widowControl/>
              <w:jc w:val="left"/>
              <w:rPr>
                <w:rFonts w:ascii="宋体"/>
                <w:sz w:val="18"/>
                <w:szCs w:val="18"/>
              </w:rPr>
            </w:pPr>
            <w:r>
              <w:rPr>
                <w:rFonts w:ascii="宋体"/>
                <w:kern w:val="0"/>
                <w:sz w:val="18"/>
                <w:szCs w:val="18"/>
                <w:lang w:bidi="ar"/>
              </w:rPr>
              <w:t>原料产地、工厂所在地</w:t>
            </w:r>
          </w:p>
        </w:tc>
        <w:tc>
          <w:tcPr>
            <w:tcW w:w="1377" w:type="dxa"/>
            <w:vAlign w:val="center"/>
          </w:tcPr>
          <w:p w14:paraId="3537C3AF">
            <w:pPr>
              <w:widowControl/>
              <w:jc w:val="left"/>
              <w:rPr>
                <w:rFonts w:ascii="宋体"/>
                <w:sz w:val="18"/>
                <w:szCs w:val="18"/>
              </w:rPr>
            </w:pPr>
            <w:r>
              <w:rPr>
                <w:rFonts w:ascii="宋体"/>
                <w:kern w:val="0"/>
                <w:sz w:val="18"/>
                <w:szCs w:val="18"/>
                <w:lang w:bidi="ar"/>
              </w:rPr>
              <w:t>国家/省份</w:t>
            </w:r>
          </w:p>
        </w:tc>
        <w:tc>
          <w:tcPr>
            <w:tcW w:w="2321" w:type="dxa"/>
            <w:vAlign w:val="center"/>
          </w:tcPr>
          <w:p w14:paraId="3537C3B0">
            <w:pPr>
              <w:widowControl/>
              <w:jc w:val="left"/>
              <w:rPr>
                <w:rFonts w:ascii="宋体"/>
                <w:sz w:val="18"/>
                <w:szCs w:val="18"/>
              </w:rPr>
            </w:pPr>
            <w:r>
              <w:rPr>
                <w:rFonts w:ascii="宋体"/>
                <w:kern w:val="0"/>
                <w:sz w:val="18"/>
                <w:szCs w:val="18"/>
                <w:lang w:bidi="ar"/>
              </w:rPr>
              <w:t>必填，支持多地区</w:t>
            </w:r>
          </w:p>
        </w:tc>
      </w:tr>
      <w:tr w14:paraId="3537C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3537C3B2">
            <w:pPr>
              <w:widowControl/>
              <w:jc w:val="left"/>
              <w:rPr>
                <w:rFonts w:ascii="宋体"/>
                <w:sz w:val="18"/>
                <w:szCs w:val="18"/>
              </w:rPr>
            </w:pPr>
            <w:r>
              <w:rPr>
                <w:rFonts w:ascii="宋体"/>
                <w:kern w:val="0"/>
                <w:sz w:val="18"/>
                <w:szCs w:val="18"/>
                <w:lang w:bidi="ar"/>
              </w:rPr>
              <w:t>Functional Unit</w:t>
            </w:r>
          </w:p>
        </w:tc>
        <w:tc>
          <w:tcPr>
            <w:tcW w:w="3265" w:type="dxa"/>
            <w:vAlign w:val="center"/>
          </w:tcPr>
          <w:p w14:paraId="3537C3B3">
            <w:pPr>
              <w:widowControl/>
              <w:jc w:val="left"/>
              <w:rPr>
                <w:rFonts w:ascii="宋体"/>
                <w:sz w:val="18"/>
                <w:szCs w:val="18"/>
              </w:rPr>
            </w:pPr>
            <w:r>
              <w:rPr>
                <w:rFonts w:ascii="宋体"/>
                <w:kern w:val="0"/>
                <w:sz w:val="18"/>
                <w:szCs w:val="18"/>
                <w:lang w:bidi="ar"/>
              </w:rPr>
              <w:t>功能单元</w:t>
            </w:r>
          </w:p>
        </w:tc>
        <w:tc>
          <w:tcPr>
            <w:tcW w:w="1377" w:type="dxa"/>
            <w:vAlign w:val="center"/>
          </w:tcPr>
          <w:p w14:paraId="3537C3B4">
            <w:pPr>
              <w:widowControl/>
              <w:jc w:val="left"/>
              <w:rPr>
                <w:rFonts w:ascii="宋体"/>
                <w:sz w:val="18"/>
                <w:szCs w:val="18"/>
              </w:rPr>
            </w:pPr>
            <w:r>
              <w:rPr>
                <w:rFonts w:ascii="宋体"/>
                <w:kern w:val="0"/>
                <w:sz w:val="18"/>
                <w:szCs w:val="18"/>
                <w:lang w:bidi="ar"/>
              </w:rPr>
              <w:t>1kg / 1L / 1件</w:t>
            </w:r>
          </w:p>
        </w:tc>
        <w:tc>
          <w:tcPr>
            <w:tcW w:w="2321" w:type="dxa"/>
            <w:vAlign w:val="center"/>
          </w:tcPr>
          <w:p w14:paraId="3537C3B5">
            <w:pPr>
              <w:widowControl/>
              <w:jc w:val="left"/>
              <w:rPr>
                <w:rFonts w:ascii="宋体"/>
                <w:sz w:val="18"/>
                <w:szCs w:val="18"/>
              </w:rPr>
            </w:pPr>
            <w:r>
              <w:rPr>
                <w:rFonts w:ascii="宋体"/>
                <w:kern w:val="0"/>
                <w:sz w:val="18"/>
                <w:szCs w:val="18"/>
                <w:lang w:bidi="ar"/>
              </w:rPr>
              <w:t>必填，按产品类别选定</w:t>
            </w:r>
          </w:p>
        </w:tc>
      </w:tr>
      <w:tr w14:paraId="3537C3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3537C3B7">
            <w:pPr>
              <w:widowControl/>
              <w:jc w:val="left"/>
              <w:rPr>
                <w:rFonts w:ascii="宋体"/>
                <w:sz w:val="18"/>
                <w:szCs w:val="18"/>
              </w:rPr>
            </w:pPr>
            <w:r>
              <w:rPr>
                <w:rFonts w:ascii="宋体"/>
                <w:kern w:val="0"/>
                <w:sz w:val="18"/>
                <w:szCs w:val="18"/>
                <w:lang w:bidi="ar"/>
              </w:rPr>
              <w:t>System Boundary</w:t>
            </w:r>
          </w:p>
        </w:tc>
        <w:tc>
          <w:tcPr>
            <w:tcW w:w="3265" w:type="dxa"/>
            <w:vAlign w:val="center"/>
          </w:tcPr>
          <w:p w14:paraId="3537C3B8">
            <w:pPr>
              <w:widowControl/>
              <w:jc w:val="left"/>
              <w:rPr>
                <w:rFonts w:ascii="宋体"/>
                <w:sz w:val="18"/>
                <w:szCs w:val="18"/>
              </w:rPr>
            </w:pPr>
            <w:r>
              <w:rPr>
                <w:rFonts w:ascii="宋体"/>
                <w:kern w:val="0"/>
                <w:sz w:val="18"/>
                <w:szCs w:val="18"/>
                <w:lang w:bidi="ar"/>
              </w:rPr>
              <w:t>系统边界</w:t>
            </w:r>
          </w:p>
        </w:tc>
        <w:tc>
          <w:tcPr>
            <w:tcW w:w="1377" w:type="dxa"/>
            <w:vAlign w:val="center"/>
          </w:tcPr>
          <w:p w14:paraId="3537C3B9">
            <w:pPr>
              <w:widowControl/>
              <w:jc w:val="left"/>
              <w:rPr>
                <w:rFonts w:ascii="宋体"/>
                <w:sz w:val="18"/>
                <w:szCs w:val="18"/>
              </w:rPr>
            </w:pPr>
            <w:r>
              <w:rPr>
                <w:rFonts w:ascii="宋体"/>
                <w:kern w:val="0"/>
                <w:sz w:val="18"/>
                <w:szCs w:val="18"/>
                <w:lang w:bidi="ar"/>
              </w:rPr>
              <w:t>文本</w:t>
            </w:r>
          </w:p>
        </w:tc>
        <w:tc>
          <w:tcPr>
            <w:tcW w:w="2321" w:type="dxa"/>
            <w:vAlign w:val="center"/>
          </w:tcPr>
          <w:p w14:paraId="3537C3BA">
            <w:pPr>
              <w:widowControl/>
              <w:jc w:val="left"/>
              <w:rPr>
                <w:rFonts w:ascii="宋体"/>
                <w:sz w:val="18"/>
                <w:szCs w:val="18"/>
              </w:rPr>
            </w:pPr>
            <w:r>
              <w:rPr>
                <w:rFonts w:ascii="宋体"/>
                <w:kern w:val="0"/>
                <w:sz w:val="18"/>
                <w:szCs w:val="18"/>
                <w:lang w:bidi="ar"/>
              </w:rPr>
              <w:t>必填，默认 cradle-to-gate，可扩展</w:t>
            </w:r>
          </w:p>
        </w:tc>
      </w:tr>
      <w:tr w14:paraId="3537C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3537C3BC">
            <w:pPr>
              <w:widowControl/>
              <w:jc w:val="left"/>
              <w:rPr>
                <w:rFonts w:ascii="宋体"/>
                <w:sz w:val="18"/>
                <w:szCs w:val="18"/>
              </w:rPr>
            </w:pPr>
            <w:r>
              <w:rPr>
                <w:rFonts w:ascii="宋体"/>
                <w:kern w:val="0"/>
                <w:sz w:val="18"/>
                <w:szCs w:val="18"/>
                <w:lang w:bidi="ar"/>
              </w:rPr>
              <w:t>Data Quality Rating (DQR)</w:t>
            </w:r>
          </w:p>
        </w:tc>
        <w:tc>
          <w:tcPr>
            <w:tcW w:w="3265" w:type="dxa"/>
            <w:vAlign w:val="center"/>
          </w:tcPr>
          <w:p w14:paraId="3537C3BD">
            <w:pPr>
              <w:widowControl/>
              <w:jc w:val="left"/>
              <w:rPr>
                <w:rFonts w:ascii="宋体"/>
                <w:sz w:val="18"/>
                <w:szCs w:val="18"/>
              </w:rPr>
            </w:pPr>
            <w:r>
              <w:rPr>
                <w:rFonts w:ascii="宋体"/>
                <w:kern w:val="0"/>
                <w:sz w:val="18"/>
                <w:szCs w:val="18"/>
                <w:lang w:bidi="ar"/>
              </w:rPr>
              <w:t>数据质量评分</w:t>
            </w:r>
          </w:p>
        </w:tc>
        <w:tc>
          <w:tcPr>
            <w:tcW w:w="1377" w:type="dxa"/>
            <w:vAlign w:val="center"/>
          </w:tcPr>
          <w:p w14:paraId="3537C3BE">
            <w:pPr>
              <w:widowControl/>
              <w:jc w:val="left"/>
              <w:rPr>
                <w:rFonts w:ascii="宋体"/>
                <w:sz w:val="18"/>
                <w:szCs w:val="18"/>
              </w:rPr>
            </w:pPr>
            <w:r>
              <w:rPr>
                <w:rFonts w:ascii="宋体"/>
                <w:kern w:val="0"/>
                <w:sz w:val="18"/>
                <w:szCs w:val="18"/>
                <w:lang w:bidi="ar"/>
              </w:rPr>
              <w:t>A–D</w:t>
            </w:r>
          </w:p>
        </w:tc>
        <w:tc>
          <w:tcPr>
            <w:tcW w:w="2321" w:type="dxa"/>
            <w:vAlign w:val="center"/>
          </w:tcPr>
          <w:p w14:paraId="3537C3BF">
            <w:pPr>
              <w:widowControl/>
              <w:jc w:val="left"/>
              <w:rPr>
                <w:rFonts w:ascii="宋体"/>
                <w:sz w:val="18"/>
                <w:szCs w:val="18"/>
              </w:rPr>
            </w:pPr>
            <w:r>
              <w:rPr>
                <w:rFonts w:ascii="宋体"/>
                <w:kern w:val="0"/>
                <w:sz w:val="18"/>
                <w:szCs w:val="18"/>
                <w:lang w:bidi="ar"/>
              </w:rPr>
              <w:t>按5.2.3评价方法</w:t>
            </w:r>
          </w:p>
        </w:tc>
      </w:tr>
      <w:tr w14:paraId="3537C3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3537C3C1">
            <w:pPr>
              <w:widowControl/>
              <w:jc w:val="left"/>
              <w:rPr>
                <w:rFonts w:ascii="宋体"/>
                <w:sz w:val="18"/>
                <w:szCs w:val="18"/>
              </w:rPr>
            </w:pPr>
            <w:r>
              <w:rPr>
                <w:rFonts w:ascii="宋体"/>
                <w:kern w:val="0"/>
                <w:sz w:val="18"/>
                <w:szCs w:val="18"/>
                <w:lang w:bidi="ar"/>
              </w:rPr>
              <w:t>Biogenic Carbon Content</w:t>
            </w:r>
          </w:p>
        </w:tc>
        <w:tc>
          <w:tcPr>
            <w:tcW w:w="3265" w:type="dxa"/>
            <w:vAlign w:val="center"/>
          </w:tcPr>
          <w:p w14:paraId="3537C3C2">
            <w:pPr>
              <w:widowControl/>
              <w:jc w:val="left"/>
              <w:rPr>
                <w:rFonts w:ascii="宋体"/>
                <w:sz w:val="18"/>
                <w:szCs w:val="18"/>
              </w:rPr>
            </w:pPr>
            <w:r>
              <w:rPr>
                <w:rFonts w:ascii="宋体"/>
                <w:kern w:val="0"/>
                <w:sz w:val="18"/>
                <w:szCs w:val="18"/>
                <w:lang w:bidi="ar"/>
              </w:rPr>
              <w:t>生物碳含量</w:t>
            </w:r>
          </w:p>
        </w:tc>
        <w:tc>
          <w:tcPr>
            <w:tcW w:w="1377" w:type="dxa"/>
            <w:vAlign w:val="center"/>
          </w:tcPr>
          <w:p w14:paraId="3537C3C3">
            <w:pPr>
              <w:widowControl/>
              <w:jc w:val="left"/>
              <w:rPr>
                <w:rFonts w:ascii="宋体"/>
                <w:sz w:val="18"/>
                <w:szCs w:val="18"/>
              </w:rPr>
            </w:pPr>
            <w:r>
              <w:rPr>
                <w:rFonts w:ascii="宋体"/>
                <w:kern w:val="0"/>
                <w:sz w:val="18"/>
                <w:szCs w:val="18"/>
                <w:lang w:bidi="ar"/>
              </w:rPr>
              <w:t>g C / kg产品</w:t>
            </w:r>
          </w:p>
        </w:tc>
        <w:tc>
          <w:tcPr>
            <w:tcW w:w="2321" w:type="dxa"/>
            <w:vAlign w:val="center"/>
          </w:tcPr>
          <w:p w14:paraId="3537C3C4">
            <w:pPr>
              <w:widowControl/>
              <w:jc w:val="left"/>
              <w:rPr>
                <w:rFonts w:ascii="宋体"/>
                <w:sz w:val="18"/>
                <w:szCs w:val="18"/>
              </w:rPr>
            </w:pPr>
            <w:r>
              <w:rPr>
                <w:rFonts w:ascii="宋体"/>
                <w:kern w:val="0"/>
                <w:sz w:val="18"/>
                <w:szCs w:val="18"/>
                <w:lang w:bidi="ar"/>
              </w:rPr>
              <w:t>可选，需说明检测方法</w:t>
            </w:r>
          </w:p>
        </w:tc>
      </w:tr>
      <w:tr w14:paraId="3537C3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3537C3C6">
            <w:pPr>
              <w:widowControl/>
              <w:jc w:val="left"/>
              <w:rPr>
                <w:rFonts w:ascii="宋体"/>
                <w:sz w:val="18"/>
                <w:szCs w:val="18"/>
              </w:rPr>
            </w:pPr>
            <w:r>
              <w:rPr>
                <w:rFonts w:ascii="宋体"/>
                <w:kern w:val="0"/>
                <w:sz w:val="18"/>
                <w:szCs w:val="18"/>
                <w:lang w:bidi="ar"/>
              </w:rPr>
              <w:t>Emission Factors Source</w:t>
            </w:r>
          </w:p>
        </w:tc>
        <w:tc>
          <w:tcPr>
            <w:tcW w:w="3265" w:type="dxa"/>
            <w:vAlign w:val="center"/>
          </w:tcPr>
          <w:p w14:paraId="3537C3C7">
            <w:pPr>
              <w:widowControl/>
              <w:jc w:val="left"/>
              <w:rPr>
                <w:rFonts w:ascii="宋体"/>
                <w:sz w:val="18"/>
                <w:szCs w:val="18"/>
              </w:rPr>
            </w:pPr>
            <w:r>
              <w:rPr>
                <w:rFonts w:ascii="宋体"/>
                <w:kern w:val="0"/>
                <w:sz w:val="18"/>
                <w:szCs w:val="18"/>
                <w:lang w:bidi="ar"/>
              </w:rPr>
              <w:t>排放因子来源</w:t>
            </w:r>
          </w:p>
        </w:tc>
        <w:tc>
          <w:tcPr>
            <w:tcW w:w="1377" w:type="dxa"/>
            <w:vAlign w:val="center"/>
          </w:tcPr>
          <w:p w14:paraId="3537C3C8">
            <w:pPr>
              <w:widowControl/>
              <w:jc w:val="left"/>
              <w:rPr>
                <w:rFonts w:ascii="宋体"/>
                <w:sz w:val="18"/>
                <w:szCs w:val="18"/>
              </w:rPr>
            </w:pPr>
            <w:r>
              <w:rPr>
                <w:rFonts w:ascii="宋体"/>
                <w:kern w:val="0"/>
                <w:sz w:val="18"/>
                <w:szCs w:val="18"/>
                <w:lang w:bidi="ar"/>
              </w:rPr>
              <w:t>文本</w:t>
            </w:r>
          </w:p>
        </w:tc>
        <w:tc>
          <w:tcPr>
            <w:tcW w:w="2321" w:type="dxa"/>
            <w:vAlign w:val="center"/>
          </w:tcPr>
          <w:p w14:paraId="3537C3C9">
            <w:pPr>
              <w:widowControl/>
              <w:jc w:val="left"/>
              <w:rPr>
                <w:rFonts w:ascii="宋体"/>
                <w:sz w:val="18"/>
                <w:szCs w:val="18"/>
              </w:rPr>
            </w:pPr>
            <w:r>
              <w:rPr>
                <w:rFonts w:ascii="宋体"/>
                <w:kern w:val="0"/>
                <w:sz w:val="18"/>
                <w:szCs w:val="18"/>
                <w:lang w:bidi="ar"/>
              </w:rPr>
              <w:t>必填，注明数据库/实测</w:t>
            </w:r>
          </w:p>
        </w:tc>
      </w:tr>
      <w:tr w14:paraId="3537C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3537C3CB">
            <w:pPr>
              <w:widowControl/>
              <w:jc w:val="left"/>
              <w:rPr>
                <w:rFonts w:ascii="宋体"/>
                <w:sz w:val="18"/>
                <w:szCs w:val="18"/>
              </w:rPr>
            </w:pPr>
            <w:r>
              <w:rPr>
                <w:rFonts w:ascii="宋体"/>
                <w:kern w:val="0"/>
                <w:sz w:val="18"/>
                <w:szCs w:val="18"/>
                <w:lang w:bidi="ar"/>
              </w:rPr>
              <w:t>Allocation Method</w:t>
            </w:r>
          </w:p>
        </w:tc>
        <w:tc>
          <w:tcPr>
            <w:tcW w:w="3265" w:type="dxa"/>
            <w:vAlign w:val="center"/>
          </w:tcPr>
          <w:p w14:paraId="3537C3CC">
            <w:pPr>
              <w:widowControl/>
              <w:jc w:val="left"/>
              <w:rPr>
                <w:rFonts w:ascii="宋体"/>
                <w:sz w:val="18"/>
                <w:szCs w:val="18"/>
              </w:rPr>
            </w:pPr>
            <w:r>
              <w:rPr>
                <w:rFonts w:ascii="宋体"/>
                <w:kern w:val="0"/>
                <w:sz w:val="18"/>
                <w:szCs w:val="18"/>
                <w:lang w:bidi="ar"/>
              </w:rPr>
              <w:t>分配方法</w:t>
            </w:r>
          </w:p>
        </w:tc>
        <w:tc>
          <w:tcPr>
            <w:tcW w:w="1377" w:type="dxa"/>
            <w:vAlign w:val="center"/>
          </w:tcPr>
          <w:p w14:paraId="3537C3CD">
            <w:pPr>
              <w:widowControl/>
              <w:jc w:val="left"/>
              <w:rPr>
                <w:rFonts w:ascii="宋体"/>
                <w:sz w:val="18"/>
                <w:szCs w:val="18"/>
              </w:rPr>
            </w:pPr>
            <w:r>
              <w:rPr>
                <w:rFonts w:ascii="宋体"/>
                <w:kern w:val="0"/>
                <w:sz w:val="18"/>
                <w:szCs w:val="18"/>
                <w:lang w:bidi="ar"/>
              </w:rPr>
              <w:t>文本</w:t>
            </w:r>
          </w:p>
        </w:tc>
        <w:tc>
          <w:tcPr>
            <w:tcW w:w="2321" w:type="dxa"/>
            <w:vAlign w:val="center"/>
          </w:tcPr>
          <w:p w14:paraId="3537C3CE">
            <w:pPr>
              <w:widowControl/>
              <w:jc w:val="left"/>
              <w:rPr>
                <w:rFonts w:ascii="宋体"/>
                <w:sz w:val="18"/>
                <w:szCs w:val="18"/>
              </w:rPr>
            </w:pPr>
            <w:r>
              <w:rPr>
                <w:rFonts w:ascii="宋体"/>
                <w:kern w:val="0"/>
                <w:sz w:val="18"/>
                <w:szCs w:val="18"/>
                <w:lang w:bidi="ar"/>
              </w:rPr>
              <w:t>必填，注明物理/经济/能量</w:t>
            </w:r>
          </w:p>
        </w:tc>
      </w:tr>
      <w:tr w14:paraId="3537C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3537C3D0">
            <w:pPr>
              <w:widowControl/>
              <w:jc w:val="left"/>
              <w:rPr>
                <w:rFonts w:ascii="宋体"/>
                <w:sz w:val="18"/>
                <w:szCs w:val="18"/>
              </w:rPr>
            </w:pPr>
            <w:r>
              <w:rPr>
                <w:rFonts w:ascii="宋体"/>
                <w:kern w:val="0"/>
                <w:sz w:val="18"/>
                <w:szCs w:val="18"/>
                <w:lang w:bidi="ar"/>
              </w:rPr>
              <w:t>Packaging Treatment</w:t>
            </w:r>
          </w:p>
        </w:tc>
        <w:tc>
          <w:tcPr>
            <w:tcW w:w="3265" w:type="dxa"/>
            <w:vAlign w:val="center"/>
          </w:tcPr>
          <w:p w14:paraId="3537C3D1">
            <w:pPr>
              <w:widowControl/>
              <w:jc w:val="left"/>
              <w:rPr>
                <w:rFonts w:ascii="宋体"/>
                <w:sz w:val="18"/>
                <w:szCs w:val="18"/>
              </w:rPr>
            </w:pPr>
            <w:r>
              <w:rPr>
                <w:rFonts w:ascii="宋体"/>
                <w:kern w:val="0"/>
                <w:sz w:val="18"/>
                <w:szCs w:val="18"/>
                <w:lang w:bidi="ar"/>
              </w:rPr>
              <w:t>包装材料处理方式</w:t>
            </w:r>
          </w:p>
        </w:tc>
        <w:tc>
          <w:tcPr>
            <w:tcW w:w="1377" w:type="dxa"/>
            <w:vAlign w:val="center"/>
          </w:tcPr>
          <w:p w14:paraId="3537C3D2">
            <w:pPr>
              <w:widowControl/>
              <w:jc w:val="left"/>
              <w:rPr>
                <w:rFonts w:ascii="宋体"/>
                <w:sz w:val="18"/>
                <w:szCs w:val="18"/>
              </w:rPr>
            </w:pPr>
            <w:r>
              <w:rPr>
                <w:rFonts w:ascii="宋体"/>
                <w:kern w:val="0"/>
                <w:sz w:val="18"/>
                <w:szCs w:val="18"/>
                <w:lang w:bidi="ar"/>
              </w:rPr>
              <w:t>文本</w:t>
            </w:r>
          </w:p>
        </w:tc>
        <w:tc>
          <w:tcPr>
            <w:tcW w:w="2321" w:type="dxa"/>
            <w:vAlign w:val="center"/>
          </w:tcPr>
          <w:p w14:paraId="3537C3D3">
            <w:pPr>
              <w:widowControl/>
              <w:jc w:val="left"/>
              <w:rPr>
                <w:rFonts w:ascii="宋体"/>
                <w:sz w:val="18"/>
                <w:szCs w:val="18"/>
              </w:rPr>
            </w:pPr>
            <w:r>
              <w:rPr>
                <w:rFonts w:ascii="宋体"/>
                <w:kern w:val="0"/>
                <w:sz w:val="18"/>
                <w:szCs w:val="18"/>
                <w:lang w:bidi="ar"/>
              </w:rPr>
              <w:t>可选，cut-off / 替代</w:t>
            </w:r>
          </w:p>
        </w:tc>
      </w:tr>
    </w:tbl>
    <w:p w14:paraId="3537C3D5">
      <w:pPr>
        <w:pStyle w:val="60"/>
        <w:spacing w:before="156" w:after="156"/>
      </w:pPr>
      <w:bookmarkStart w:id="75" w:name="_Toc18285"/>
      <w:r>
        <w:t>行业扩展字段</w:t>
      </w:r>
      <w:bookmarkEnd w:id="75"/>
    </w:p>
    <w:p w14:paraId="3537C3D6">
      <w:pPr>
        <w:pStyle w:val="27"/>
        <w:rPr>
          <w:rFonts w:ascii="Times New Roman"/>
        </w:rPr>
      </w:pPr>
      <w:r>
        <w:rPr>
          <w:rFonts w:ascii="Times New Roman"/>
        </w:rPr>
        <w:t>考虑到香料、香精及化妆品行业的特定需求，</w:t>
      </w:r>
      <w:r>
        <w:rPr>
          <w:rFonts w:hint="eastAsia" w:ascii="Times New Roman"/>
        </w:rPr>
        <w:t>建议</w:t>
      </w:r>
      <w:r>
        <w:rPr>
          <w:rFonts w:ascii="Times New Roman"/>
        </w:rPr>
        <w:t>企业在数据交换时增加以下扩展字段：</w:t>
      </w:r>
    </w:p>
    <w:p w14:paraId="3537C3D7">
      <w:pPr>
        <w:pStyle w:val="27"/>
        <w:numPr>
          <w:ilvl w:val="0"/>
          <w:numId w:val="14"/>
        </w:numPr>
        <w:rPr>
          <w:rFonts w:ascii="Times New Roman"/>
        </w:rPr>
      </w:pPr>
      <w:r>
        <w:rPr>
          <w:rFonts w:ascii="Times New Roman"/>
        </w:rPr>
        <w:t>原料属性：</w:t>
      </w:r>
    </w:p>
    <w:p w14:paraId="3537C3D8">
      <w:pPr>
        <w:pStyle w:val="27"/>
        <w:rPr>
          <w:rFonts w:ascii="Times New Roman"/>
        </w:rPr>
      </w:pPr>
      <w:r>
        <w:rPr>
          <w:rFonts w:ascii="Times New Roman"/>
        </w:rPr>
        <w:t>— 是否为动物源性原料（Yes/No）；</w:t>
      </w:r>
    </w:p>
    <w:p w14:paraId="3537C3D9">
      <w:pPr>
        <w:pStyle w:val="27"/>
        <w:rPr>
          <w:rFonts w:ascii="Times New Roman"/>
        </w:rPr>
      </w:pPr>
      <w:r>
        <w:rPr>
          <w:rFonts w:ascii="Times New Roman"/>
        </w:rPr>
        <w:t>— 有机认证比例（%）；</w:t>
      </w:r>
    </w:p>
    <w:p w14:paraId="3537C3DA">
      <w:pPr>
        <w:pStyle w:val="27"/>
        <w:rPr>
          <w:rFonts w:ascii="Times New Roman"/>
        </w:rPr>
      </w:pPr>
      <w:r>
        <w:rPr>
          <w:rFonts w:ascii="Times New Roman"/>
        </w:rPr>
        <w:t>— 天然成分含量（%）；</w:t>
      </w:r>
    </w:p>
    <w:p w14:paraId="3537C3DB">
      <w:pPr>
        <w:pStyle w:val="27"/>
        <w:numPr>
          <w:ilvl w:val="0"/>
          <w:numId w:val="14"/>
        </w:numPr>
        <w:rPr>
          <w:rFonts w:ascii="Times New Roman"/>
        </w:rPr>
      </w:pPr>
      <w:r>
        <w:rPr>
          <w:rFonts w:ascii="Times New Roman"/>
        </w:rPr>
        <w:t>产品属性：</w:t>
      </w:r>
    </w:p>
    <w:p w14:paraId="3537C3DC">
      <w:pPr>
        <w:pStyle w:val="27"/>
        <w:rPr>
          <w:rFonts w:ascii="Times New Roman"/>
        </w:rPr>
      </w:pPr>
      <w:r>
        <w:rPr>
          <w:rFonts w:ascii="Times New Roman"/>
        </w:rPr>
        <w:t>— 产品类别（香料、香精、护肤、彩妆、香水）；</w:t>
      </w:r>
    </w:p>
    <w:p w14:paraId="3537C3DD">
      <w:pPr>
        <w:pStyle w:val="27"/>
        <w:rPr>
          <w:rFonts w:ascii="Times New Roman"/>
        </w:rPr>
      </w:pPr>
      <w:r>
        <w:rPr>
          <w:rFonts w:ascii="Times New Roman"/>
        </w:rPr>
        <w:t>— 是否含限用组分（依照《化妆品安全技术规范》）；</w:t>
      </w:r>
    </w:p>
    <w:p w14:paraId="3537C3DE">
      <w:pPr>
        <w:pStyle w:val="27"/>
        <w:rPr>
          <w:rFonts w:ascii="Times New Roman"/>
        </w:rPr>
      </w:pPr>
      <w:r>
        <w:rPr>
          <w:rFonts w:ascii="Times New Roman"/>
        </w:rPr>
        <w:t>— 包装再生材料比例（%）；</w:t>
      </w:r>
    </w:p>
    <w:p w14:paraId="3537C3DF">
      <w:pPr>
        <w:pStyle w:val="27"/>
        <w:numPr>
          <w:ilvl w:val="0"/>
          <w:numId w:val="14"/>
        </w:numPr>
        <w:rPr>
          <w:rFonts w:ascii="Times New Roman"/>
        </w:rPr>
      </w:pPr>
      <w:r>
        <w:rPr>
          <w:rFonts w:ascii="Times New Roman"/>
        </w:rPr>
        <w:t>供应链属性：</w:t>
      </w:r>
    </w:p>
    <w:p w14:paraId="3537C3E0">
      <w:pPr>
        <w:pStyle w:val="27"/>
        <w:rPr>
          <w:rFonts w:ascii="Times New Roman"/>
        </w:rPr>
      </w:pPr>
      <w:r>
        <w:rPr>
          <w:rFonts w:ascii="Times New Roman"/>
        </w:rPr>
        <w:t>— 运输方式（海运/空运/陆运）；</w:t>
      </w:r>
    </w:p>
    <w:p w14:paraId="3537C3E1">
      <w:pPr>
        <w:pStyle w:val="27"/>
        <w:rPr>
          <w:rFonts w:ascii="Times New Roman"/>
        </w:rPr>
      </w:pPr>
      <w:r>
        <w:rPr>
          <w:rFonts w:ascii="Times New Roman"/>
        </w:rPr>
        <w:t>— 冷链运输比例（%）；</w:t>
      </w:r>
    </w:p>
    <w:p w14:paraId="3537C3E2">
      <w:pPr>
        <w:pStyle w:val="27"/>
        <w:rPr>
          <w:rFonts w:ascii="Times New Roman"/>
        </w:rPr>
      </w:pPr>
      <w:r>
        <w:rPr>
          <w:rFonts w:ascii="Times New Roman"/>
        </w:rPr>
        <w:t>— 跨境流向（出口目的国）。</w:t>
      </w:r>
    </w:p>
    <w:p w14:paraId="3537C3E3">
      <w:pPr>
        <w:pStyle w:val="60"/>
        <w:spacing w:before="156" w:after="156"/>
      </w:pPr>
      <w:bookmarkStart w:id="76" w:name="_Toc2120"/>
      <w:r>
        <w:t>数据格式</w:t>
      </w:r>
      <w:r>
        <w:rPr>
          <w:rFonts w:hint="eastAsia"/>
        </w:rPr>
        <w:t>与安全</w:t>
      </w:r>
      <w:r>
        <w:t>要求</w:t>
      </w:r>
      <w:bookmarkEnd w:id="76"/>
    </w:p>
    <w:p w14:paraId="3537C3E4">
      <w:pPr>
        <w:pStyle w:val="27"/>
        <w:numPr>
          <w:ilvl w:val="255"/>
          <w:numId w:val="0"/>
        </w:numPr>
        <w:autoSpaceDE/>
        <w:autoSpaceDN/>
        <w:rPr>
          <w:rFonts w:ascii="Times New Roman"/>
        </w:rPr>
      </w:pPr>
      <w:r>
        <w:rPr>
          <w:rFonts w:hint="eastAsia" w:ascii="Times New Roman"/>
        </w:rPr>
        <w:t xml:space="preserve">    企业提交的产品碳足迹数据及相关要求如下：</w:t>
      </w:r>
    </w:p>
    <w:p w14:paraId="3537C3E5">
      <w:pPr>
        <w:pStyle w:val="27"/>
        <w:numPr>
          <w:ilvl w:val="0"/>
          <w:numId w:val="15"/>
        </w:numPr>
        <w:rPr>
          <w:rFonts w:ascii="Times New Roman"/>
        </w:rPr>
      </w:pPr>
      <w:r>
        <w:rPr>
          <w:rFonts w:ascii="Times New Roman"/>
        </w:rPr>
        <w:t>所有字段应以电子格式提交，推荐使用ILCD+扩展字段的XML/JSON结构；</w:t>
      </w:r>
    </w:p>
    <w:p w14:paraId="3537C3E6">
      <w:pPr>
        <w:pStyle w:val="27"/>
        <w:numPr>
          <w:ilvl w:val="0"/>
          <w:numId w:val="15"/>
        </w:numPr>
        <w:rPr>
          <w:rFonts w:ascii="Times New Roman"/>
        </w:rPr>
      </w:pPr>
      <w:r>
        <w:rPr>
          <w:rFonts w:ascii="Times New Roman"/>
        </w:rPr>
        <w:t>对于敏感商业数据（如配方比例），企业可仅提交加权平均因子或通过第三方托管数据平台进行保密处理</w:t>
      </w:r>
      <w:r>
        <w:rPr>
          <w:rFonts w:hint="eastAsia" w:ascii="Times New Roman"/>
        </w:rPr>
        <w:t>；</w:t>
      </w:r>
    </w:p>
    <w:p w14:paraId="3537C3E7">
      <w:pPr>
        <w:pStyle w:val="51"/>
        <w:spacing w:before="156" w:after="156"/>
        <w:rPr>
          <w:rFonts w:ascii="Times New Roman"/>
        </w:rPr>
      </w:pPr>
      <w:r>
        <w:rPr>
          <w:rFonts w:ascii="Times New Roman"/>
        </w:rPr>
        <w:t>多产</w:t>
      </w:r>
      <w:r>
        <w:rPr>
          <w:rFonts w:hint="eastAsia" w:ascii="Times New Roman"/>
        </w:rPr>
        <w:t>品</w:t>
      </w:r>
      <w:r>
        <w:rPr>
          <w:rFonts w:ascii="Times New Roman"/>
        </w:rPr>
        <w:t>分配</w:t>
      </w:r>
      <w:bookmarkEnd w:id="71"/>
      <w:r>
        <w:rPr>
          <w:rFonts w:hint="eastAsia" w:ascii="Times New Roman"/>
        </w:rPr>
        <w:t>与废弃物管理</w:t>
      </w:r>
    </w:p>
    <w:p w14:paraId="3537C3E8">
      <w:pPr>
        <w:pStyle w:val="55"/>
        <w:spacing w:before="156" w:after="156"/>
        <w:ind w:left="0"/>
        <w:rPr>
          <w:rFonts w:ascii="Times New Roman"/>
        </w:rPr>
      </w:pPr>
      <w:r>
        <w:rPr>
          <w:rFonts w:hint="eastAsia" w:ascii="Times New Roman"/>
        </w:rPr>
        <w:t>多产品</w:t>
      </w:r>
      <w:r>
        <w:rPr>
          <w:rFonts w:ascii="Times New Roman"/>
        </w:rPr>
        <w:t>原则与决策顺序</w:t>
      </w:r>
    </w:p>
    <w:p w14:paraId="3537C3E9">
      <w:pPr>
        <w:pStyle w:val="27"/>
        <w:rPr>
          <w:kern w:val="2"/>
          <w:szCs w:val="21"/>
          <w14:ligatures w14:val="standardContextual"/>
        </w:rPr>
      </w:pPr>
      <w:r>
        <w:rPr>
          <w:rFonts w:hint="eastAsia"/>
        </w:rPr>
        <w:t>当一个过程产生两种及以上产品或副产品时，应采用分配规则将该过程的输入与排放合理分配至各产出物。建议根据实际情况选择以下方法，并在报告中说明理由，建议同时提供替代方案的敏感性结果。</w:t>
      </w:r>
    </w:p>
    <w:p w14:paraId="3537C3EA">
      <w:pPr>
        <w:pStyle w:val="27"/>
        <w:rPr>
          <w:kern w:val="2"/>
          <w:szCs w:val="21"/>
          <w14:ligatures w14:val="standardContextual"/>
        </w:rPr>
      </w:pPr>
      <w:r>
        <w:rPr>
          <w:rFonts w:ascii="Times New Roman"/>
        </w:rPr>
        <w:t>a</w:t>
      </w:r>
      <w:r>
        <w:rPr>
          <w:rFonts w:hint="eastAsia"/>
        </w:rPr>
        <w:t>）系统扩展</w:t>
      </w:r>
      <w:r>
        <w:rPr>
          <w:rFonts w:ascii="Times New Roman"/>
        </w:rPr>
        <w:t>/</w:t>
      </w:r>
      <w:r>
        <w:rPr>
          <w:rFonts w:hint="eastAsia"/>
        </w:rPr>
        <w:t>替代法</w:t>
      </w:r>
    </w:p>
    <w:p w14:paraId="3537C3EB">
      <w:pPr>
        <w:pStyle w:val="27"/>
        <w:rPr>
          <w:kern w:val="2"/>
          <w:szCs w:val="21"/>
          <w14:ligatures w14:val="standardContextual"/>
        </w:rPr>
      </w:pPr>
      <w:r>
        <w:rPr>
          <w:rFonts w:hint="eastAsia"/>
        </w:rPr>
        <w:t>在有行业共识的基础上，可识别出一个占主导地位的可被该副产物替代的产品及其对应的生产路径时，可采用系统扩展或替代法计入被替代产品的减排效应。</w:t>
      </w:r>
    </w:p>
    <w:p w14:paraId="3537C3EC">
      <w:pPr>
        <w:pStyle w:val="27"/>
        <w:rPr>
          <w:rFonts w:ascii="Times New Roman"/>
        </w:rPr>
      </w:pPr>
      <w:r>
        <w:rPr>
          <w:rFonts w:ascii="Times New Roman"/>
        </w:rPr>
        <w:t>适用情形：蒸馏副产蒸汽/可燃残渣替代锅炉燃料；发酵副产物作为饲料/化工原料进入市场等。</w:t>
      </w:r>
    </w:p>
    <w:p w14:paraId="3537C3ED">
      <w:pPr>
        <w:pStyle w:val="27"/>
        <w:rPr>
          <w:rFonts w:ascii="Times New Roman"/>
        </w:rPr>
      </w:pPr>
      <w:r>
        <w:rPr>
          <w:rFonts w:hint="eastAsia" w:ascii="Times New Roman"/>
        </w:rPr>
        <w:t>b）</w:t>
      </w:r>
      <w:r>
        <w:rPr>
          <w:rFonts w:ascii="Times New Roman"/>
        </w:rPr>
        <w:t>物理因果分配（首选物理量）</w:t>
      </w:r>
    </w:p>
    <w:p w14:paraId="3537C3EE">
      <w:pPr>
        <w:pStyle w:val="27"/>
        <w:rPr>
          <w:rFonts w:ascii="Times New Roman"/>
        </w:rPr>
      </w:pPr>
      <w:r>
        <w:rPr>
          <w:rFonts w:ascii="Times New Roman"/>
        </w:rPr>
        <w:t>当存在明确的物理因果关系时，建议按质量、能量含量、固含量、有效成分（活性物）含量、反应当量/碳摩尔等进行分配。</w:t>
      </w:r>
    </w:p>
    <w:p w14:paraId="3537C3EF">
      <w:pPr>
        <w:pStyle w:val="27"/>
        <w:rPr>
          <w:rFonts w:ascii="Times New Roman"/>
        </w:rPr>
      </w:pPr>
      <w:r>
        <w:rPr>
          <w:rFonts w:ascii="Times New Roman"/>
        </w:rPr>
        <w:t>适用情形：</w:t>
      </w:r>
    </w:p>
    <w:p w14:paraId="3537C3F0">
      <w:pPr>
        <w:pStyle w:val="27"/>
        <w:rPr>
          <w:rFonts w:ascii="Times New Roman"/>
        </w:rPr>
      </w:pPr>
      <w:r>
        <w:rPr>
          <w:rFonts w:ascii="Times New Roman"/>
        </w:rPr>
        <w:t>— 精油与植物水：按有效香气组分含量或质量；</w:t>
      </w:r>
    </w:p>
    <w:p w14:paraId="3537C3F1">
      <w:pPr>
        <w:pStyle w:val="27"/>
        <w:rPr>
          <w:rFonts w:ascii="Times New Roman"/>
        </w:rPr>
      </w:pPr>
      <w:r>
        <w:rPr>
          <w:rFonts w:ascii="Times New Roman"/>
        </w:rPr>
        <w:t>— 发酵液→原料级 HA（透明质酸）与副产滤渣：按干基质量或HA含量；</w:t>
      </w:r>
    </w:p>
    <w:p w14:paraId="3537C3F2">
      <w:pPr>
        <w:pStyle w:val="27"/>
        <w:rPr>
          <w:rFonts w:ascii="Times New Roman"/>
        </w:rPr>
      </w:pPr>
      <w:r>
        <w:rPr>
          <w:rFonts w:ascii="Times New Roman"/>
        </w:rPr>
        <w:t>— 溶剂回收：按回收溶剂的能量含量或回收率。</w:t>
      </w:r>
    </w:p>
    <w:p w14:paraId="3537C3F3">
      <w:pPr>
        <w:pStyle w:val="27"/>
        <w:rPr>
          <w:rFonts w:ascii="Times New Roman"/>
        </w:rPr>
      </w:pPr>
      <w:r>
        <w:rPr>
          <w:rFonts w:hint="eastAsia" w:ascii="Times New Roman"/>
        </w:rPr>
        <w:t>选择物理分配时，需与副产物经济价值比率的判断结合：当主副产品的价格差异≤5 倍时，应优先采用物理分配；若价格差异＞5 倍，物理量已无法准确反映生产过程的驱动力，应转为采用经济分配。</w:t>
      </w:r>
    </w:p>
    <w:p w14:paraId="3537C3F4">
      <w:pPr>
        <w:pStyle w:val="27"/>
        <w:rPr>
          <w:rFonts w:ascii="Times New Roman"/>
        </w:rPr>
      </w:pPr>
      <w:r>
        <w:rPr>
          <w:rFonts w:hint="eastAsia" w:ascii="Times New Roman"/>
        </w:rPr>
        <w:t>c）</w:t>
      </w:r>
      <w:r>
        <w:rPr>
          <w:rFonts w:ascii="Times New Roman"/>
        </w:rPr>
        <w:t>经济分配（谨慎作为多产出过程</w:t>
      </w:r>
      <w:r>
        <w:rPr>
          <w:rFonts w:hint="eastAsia" w:ascii="Times New Roman"/>
        </w:rPr>
        <w:t>分配方法</w:t>
      </w:r>
      <w:r>
        <w:rPr>
          <w:rFonts w:ascii="Times New Roman"/>
        </w:rPr>
        <w:t>）</w:t>
      </w:r>
    </w:p>
    <w:p w14:paraId="3537C3F5">
      <w:pPr>
        <w:pStyle w:val="27"/>
        <w:rPr>
          <w:rFonts w:ascii="Times New Roman"/>
        </w:rPr>
      </w:pPr>
      <w:r>
        <w:rPr>
          <w:rFonts w:ascii="Times New Roman"/>
        </w:rPr>
        <w:t>当无法建立合理物理因果关系时，可采用经济分配，但为降低价格周期对结果的影响，建议采用价格稳健机制（见5.</w:t>
      </w:r>
      <w:r>
        <w:rPr>
          <w:rFonts w:hint="eastAsia" w:ascii="Times New Roman"/>
        </w:rPr>
        <w:t>3</w:t>
      </w:r>
      <w:r>
        <w:rPr>
          <w:rFonts w:ascii="Times New Roman"/>
        </w:rPr>
        <w:t>.3）。</w:t>
      </w:r>
    </w:p>
    <w:p w14:paraId="3537C3F6">
      <w:pPr>
        <w:pStyle w:val="27"/>
        <w:rPr>
          <w:kern w:val="2"/>
          <w:szCs w:val="21"/>
          <w14:ligatures w14:val="standardContextual"/>
        </w:rPr>
      </w:pPr>
      <w:r>
        <w:rPr>
          <w:rFonts w:hint="eastAsia"/>
        </w:rPr>
        <w:t>注：如两种或以上方法均合理，建议选择与</w:t>
      </w:r>
      <w:r>
        <w:rPr>
          <w:rFonts w:ascii="Times New Roman"/>
        </w:rPr>
        <w:t>PACT/PEFCR</w:t>
      </w:r>
      <w:r>
        <w:rPr>
          <w:rFonts w:hint="eastAsia"/>
        </w:rPr>
        <w:t>一致的方法，并建议在报告中同时给出敏感性结果。</w:t>
      </w:r>
    </w:p>
    <w:p w14:paraId="3537C3F7">
      <w:pPr>
        <w:pStyle w:val="55"/>
        <w:spacing w:before="156" w:after="156"/>
        <w:ind w:left="0"/>
        <w:rPr>
          <w:rFonts w:ascii="Times New Roman"/>
        </w:rPr>
      </w:pPr>
      <w:r>
        <w:rPr>
          <w:rFonts w:ascii="Times New Roman"/>
        </w:rPr>
        <w:t>行业情景指引（香料/香精/化妆品）</w:t>
      </w:r>
    </w:p>
    <w:p w14:paraId="3537C3F8">
      <w:pPr>
        <w:pStyle w:val="27"/>
        <w:rPr>
          <w:rFonts w:ascii="Times New Roman"/>
        </w:rPr>
      </w:pPr>
      <w:r>
        <w:rPr>
          <w:rFonts w:hint="eastAsia" w:ascii="Times New Roman"/>
        </w:rPr>
        <w:t>a）</w:t>
      </w:r>
      <w:r>
        <w:rPr>
          <w:rFonts w:ascii="Times New Roman"/>
        </w:rPr>
        <w:t>香料（天然精油/树脂）</w:t>
      </w:r>
    </w:p>
    <w:p w14:paraId="3537C3F9">
      <w:pPr>
        <w:pStyle w:val="27"/>
        <w:rPr>
          <w:rFonts w:ascii="Times New Roman"/>
        </w:rPr>
      </w:pPr>
      <w:r>
        <w:rPr>
          <w:rFonts w:ascii="Times New Roman"/>
        </w:rPr>
        <w:t>— 蒸馏获得精油 + 植物水/残渣：优先有效组分含量或质量分配；若植物水仅作处置，不建议分摊至其上，而将其处置排放计入废弃物环节。</w:t>
      </w:r>
    </w:p>
    <w:p w14:paraId="3537C3FA">
      <w:pPr>
        <w:pStyle w:val="27"/>
        <w:rPr>
          <w:rFonts w:ascii="Times New Roman"/>
        </w:rPr>
      </w:pPr>
      <w:r>
        <w:rPr>
          <w:rFonts w:ascii="Times New Roman"/>
        </w:rPr>
        <w:t>— 树脂类伴随副产品：如副产品进入市场且价格与主产品相差&gt;5倍，经济分配易受价格周期影响，建议物理量分配为主，并附经济法敏感性。</w:t>
      </w:r>
    </w:p>
    <w:p w14:paraId="3537C3FB">
      <w:pPr>
        <w:pStyle w:val="27"/>
        <w:rPr>
          <w:rFonts w:ascii="Times New Roman"/>
        </w:rPr>
      </w:pPr>
      <w:r>
        <w:rPr>
          <w:rFonts w:hint="eastAsia" w:ascii="Times New Roman"/>
        </w:rPr>
        <w:t>b）</w:t>
      </w:r>
      <w:r>
        <w:rPr>
          <w:rFonts w:ascii="Times New Roman"/>
        </w:rPr>
        <w:t>香精（复配/蒸馏/萃取）</w:t>
      </w:r>
    </w:p>
    <w:p w14:paraId="3537C3FC">
      <w:pPr>
        <w:pStyle w:val="27"/>
        <w:rPr>
          <w:rFonts w:ascii="Times New Roman"/>
        </w:rPr>
      </w:pPr>
      <w:r>
        <w:rPr>
          <w:rFonts w:ascii="Times New Roman"/>
        </w:rPr>
        <w:t>— 复配过程通常无副产物；</w:t>
      </w:r>
    </w:p>
    <w:p w14:paraId="3537C3FD">
      <w:pPr>
        <w:pStyle w:val="27"/>
        <w:rPr>
          <w:rFonts w:ascii="Times New Roman"/>
        </w:rPr>
      </w:pPr>
      <w:r>
        <w:rPr>
          <w:rFonts w:ascii="Times New Roman"/>
        </w:rPr>
        <w:t>— 若蒸馏得到可售溶剂馏分，优先按能量含量/质量分配；若副馏分仅回用，建议通过系统边界内循环处理而非对外分配。</w:t>
      </w:r>
    </w:p>
    <w:p w14:paraId="20006E0E">
      <w:pPr>
        <w:pStyle w:val="27"/>
        <w:spacing w:before="156" w:after="156"/>
        <w:rPr>
          <w:kern w:val="2"/>
          <w:szCs w:val="21"/>
          <w14:ligatures w14:val="standardContextual"/>
        </w:rPr>
      </w:pPr>
      <w:r>
        <w:rPr>
          <w:rFonts w:ascii="Times New Roman"/>
        </w:rPr>
        <w:t>c</w:t>
      </w:r>
      <w:r>
        <w:rPr>
          <w:rFonts w:hint="eastAsia"/>
        </w:rPr>
        <w:t>）化妆品（成品与公用工程）</w:t>
      </w:r>
    </w:p>
    <w:p w14:paraId="3537C402">
      <w:pPr>
        <w:pStyle w:val="27"/>
        <w:rPr>
          <w:kern w:val="2"/>
          <w:szCs w:val="21"/>
          <w14:ligatures w14:val="standardContextual"/>
        </w:rPr>
      </w:pPr>
      <w:r>
        <w:rPr>
          <w:rFonts w:ascii="Times New Roman"/>
        </w:rPr>
        <w:t xml:space="preserve">— </w:t>
      </w:r>
      <w:r>
        <w:rPr>
          <w:rFonts w:hint="eastAsia"/>
        </w:rPr>
        <w:t>多品种共线：建议根据实际情况按产量、质量、经济或标准工时</w:t>
      </w:r>
      <w:r>
        <w:rPr>
          <w:rFonts w:ascii="Times New Roman"/>
        </w:rPr>
        <w:t>/</w:t>
      </w:r>
      <w:r>
        <w:rPr>
          <w:rFonts w:hint="eastAsia"/>
        </w:rPr>
        <w:t>批次耗能曲线分配共用能源与公用工程。</w:t>
      </w:r>
    </w:p>
    <w:p w14:paraId="3537C403">
      <w:pPr>
        <w:pStyle w:val="27"/>
        <w:rPr>
          <w:rFonts w:ascii="Times New Roman"/>
        </w:rPr>
      </w:pPr>
      <w:r>
        <w:rPr>
          <w:rFonts w:ascii="Times New Roman"/>
        </w:rPr>
        <w:t>— 灌装/包装共线：可按件数分配，若包装重量差异显著，建议改用质量或材料当量分配。</w:t>
      </w:r>
    </w:p>
    <w:p w14:paraId="3537C404">
      <w:pPr>
        <w:pStyle w:val="27"/>
        <w:rPr>
          <w:rFonts w:ascii="Times New Roman"/>
        </w:rPr>
      </w:pPr>
      <w:r>
        <w:rPr>
          <w:rFonts w:ascii="Times New Roman"/>
        </w:rPr>
        <w:t>— 次品/残液：如无市价且仅处置，建议计入主产品并在废弃物环节核算处置排放。</w:t>
      </w:r>
    </w:p>
    <w:p w14:paraId="67E85BE4">
      <w:pPr>
        <w:pStyle w:val="27"/>
        <w:rPr>
          <w:rFonts w:ascii="Times New Roman"/>
        </w:rPr>
      </w:pPr>
      <w:r>
        <w:rPr>
          <w:rFonts w:ascii="Times New Roman"/>
        </w:rPr>
        <w:t>d</w:t>
      </w:r>
      <w:r>
        <w:rPr>
          <w:rFonts w:hint="eastAsia" w:ascii="Times New Roman"/>
        </w:rPr>
        <w:t>）合成香料（多品种、小批量、间歇共线）</w:t>
      </w:r>
    </w:p>
    <w:p w14:paraId="7CE7C6E6">
      <w:pPr>
        <w:pStyle w:val="27"/>
        <w:rPr>
          <w:rFonts w:ascii="Times New Roman"/>
        </w:rPr>
      </w:pPr>
      <w:r>
        <w:rPr>
          <w:rFonts w:ascii="Times New Roman"/>
        </w:rPr>
        <w:t xml:space="preserve">— </w:t>
      </w:r>
      <w:r>
        <w:rPr>
          <w:rFonts w:hint="eastAsia" w:ascii="Times New Roman"/>
        </w:rPr>
        <w:t>宜优先考虑能够反映物理因果关系的分配基础，如质量、能耗、批次或标准工时；如无法建立合理物理因果关系，可采用经济分配并说明理由。</w:t>
      </w:r>
    </w:p>
    <w:p w14:paraId="4EF6BA17">
      <w:pPr>
        <w:pStyle w:val="27"/>
        <w:rPr>
          <w:rFonts w:ascii="Times New Roman"/>
        </w:rPr>
      </w:pPr>
      <w:r>
        <w:rPr>
          <w:rFonts w:ascii="Times New Roman"/>
        </w:rPr>
        <w:t xml:space="preserve">— </w:t>
      </w:r>
      <w:r>
        <w:rPr>
          <w:rFonts w:hint="eastAsia" w:ascii="Times New Roman"/>
        </w:rPr>
        <w:t>系统边界内回收并回用的溶剂宜按内部循环处理，不作为副产品对外分配。</w:t>
      </w:r>
    </w:p>
    <w:p w14:paraId="3537C405">
      <w:pPr>
        <w:pStyle w:val="55"/>
        <w:spacing w:before="156" w:after="156"/>
        <w:ind w:left="0"/>
        <w:rPr>
          <w:rFonts w:ascii="Times New Roman"/>
        </w:rPr>
      </w:pPr>
      <w:r>
        <w:rPr>
          <w:rFonts w:ascii="Times New Roman"/>
        </w:rPr>
        <w:t>经济分配的稳健化做法（针对价格波动）</w:t>
      </w:r>
    </w:p>
    <w:p w14:paraId="3537C406">
      <w:pPr>
        <w:pStyle w:val="27"/>
        <w:rPr>
          <w:rFonts w:ascii="Times New Roman"/>
        </w:rPr>
      </w:pPr>
      <w:r>
        <w:rPr>
          <w:rFonts w:ascii="Times New Roman"/>
        </w:rPr>
        <w:t>— 为</w:t>
      </w:r>
      <w:r>
        <w:rPr>
          <w:rFonts w:hint="eastAsia" w:ascii="Times New Roman"/>
        </w:rPr>
        <w:t>避免“</w:t>
      </w:r>
      <w:r>
        <w:rPr>
          <w:rFonts w:ascii="Times New Roman"/>
        </w:rPr>
        <w:t>价格下行导致分配失真</w:t>
      </w:r>
      <w:r>
        <w:rPr>
          <w:rFonts w:hint="eastAsia" w:ascii="Times New Roman"/>
        </w:rPr>
        <w:t>”</w:t>
      </w:r>
      <w:r>
        <w:rPr>
          <w:rFonts w:ascii="Times New Roman"/>
        </w:rPr>
        <w:t>的问题，若确需经济分配，建议采用以下稳健机制，以提升一致性与可比性：</w:t>
      </w:r>
    </w:p>
    <w:p w14:paraId="3537C407">
      <w:pPr>
        <w:pStyle w:val="27"/>
        <w:rPr>
          <w:kern w:val="2"/>
          <w:szCs w:val="21"/>
          <w14:ligatures w14:val="standardContextual"/>
        </w:rPr>
      </w:pPr>
      <w:r>
        <w:rPr>
          <w:rFonts w:ascii="Times New Roman"/>
        </w:rPr>
        <w:t xml:space="preserve">— </w:t>
      </w:r>
      <w:r>
        <w:rPr>
          <w:rFonts w:hint="eastAsia"/>
        </w:rPr>
        <w:t>滚动均价：建议采用近</w:t>
      </w:r>
      <w:r>
        <w:rPr>
          <w:rFonts w:ascii="Times New Roman"/>
        </w:rPr>
        <w:t>3</w:t>
      </w:r>
      <w:r>
        <w:rPr>
          <w:rFonts w:hint="eastAsia"/>
        </w:rPr>
        <w:t>年滚动平均价格（价格口径应保持含税或不含税一致），以降低短期价格波动对结果的影响。</w:t>
      </w:r>
    </w:p>
    <w:p w14:paraId="3537C408">
      <w:pPr>
        <w:pStyle w:val="27"/>
        <w:rPr>
          <w:rFonts w:ascii="Times New Roman"/>
        </w:rPr>
      </w:pPr>
      <w:r>
        <w:rPr>
          <w:rFonts w:ascii="Times New Roman"/>
        </w:rPr>
        <w:t>— 价格带与上限：为副产物设置价格带，超出带外部分按边界值计；或对经济权重设置上限（例如副产物最高不超过总分摊 30%），并给出物理法比对。</w:t>
      </w:r>
    </w:p>
    <w:p w14:paraId="3537C409">
      <w:pPr>
        <w:pStyle w:val="27"/>
        <w:rPr>
          <w:rFonts w:ascii="Times New Roman"/>
        </w:rPr>
      </w:pPr>
      <w:r>
        <w:rPr>
          <w:rFonts w:ascii="Times New Roman"/>
        </w:rPr>
        <w:t>— 可替代价格源：如企业自有交易价格受销售策略影响，建议采用第三方公开均价/指数（行业协会、海关/统计口径）进行交叉核对。</w:t>
      </w:r>
    </w:p>
    <w:p w14:paraId="3537C40A">
      <w:pPr>
        <w:pStyle w:val="27"/>
        <w:rPr>
          <w:rFonts w:ascii="Times New Roman"/>
        </w:rPr>
      </w:pPr>
      <w:r>
        <w:rPr>
          <w:rFonts w:ascii="Times New Roman"/>
        </w:rPr>
        <w:t>— 异常期处理：当季度/年度出现重大价格冲击（阈值例如同比±30%），建议披露“异常期口径”与“常态期口径”两套结果，并进行敏感性分析。</w:t>
      </w:r>
    </w:p>
    <w:p w14:paraId="3537C40B">
      <w:pPr>
        <w:pStyle w:val="27"/>
        <w:rPr>
          <w:rFonts w:ascii="Times New Roman"/>
        </w:rPr>
      </w:pPr>
      <w:r>
        <w:rPr>
          <w:rFonts w:ascii="Times New Roman"/>
        </w:rPr>
        <w:t>— 一致性承诺：一旦选定经济分配与稳健机制，建议至少保持一个完整年度不变，变更时需在报告中说明原因与影响。</w:t>
      </w:r>
    </w:p>
    <w:p w14:paraId="3537C40C">
      <w:pPr>
        <w:pStyle w:val="55"/>
        <w:spacing w:before="156" w:after="156"/>
        <w:ind w:left="0"/>
        <w:rPr>
          <w:rFonts w:ascii="Times New Roman"/>
        </w:rPr>
      </w:pPr>
      <w:r>
        <w:rPr>
          <w:rFonts w:ascii="Times New Roman"/>
        </w:rPr>
        <w:t>废弃物与污染物管理</w:t>
      </w:r>
    </w:p>
    <w:p w14:paraId="3537C40D">
      <w:pPr>
        <w:pStyle w:val="60"/>
        <w:spacing w:before="156" w:after="156"/>
      </w:pPr>
      <w:r>
        <w:t>核算边界</w:t>
      </w:r>
    </w:p>
    <w:p w14:paraId="3537C40E">
      <w:pPr>
        <w:pStyle w:val="27"/>
        <w:rPr>
          <w:rFonts w:ascii="Times New Roman"/>
        </w:rPr>
      </w:pPr>
      <w:r>
        <w:rPr>
          <w:rFonts w:ascii="Times New Roman"/>
        </w:rPr>
        <w:t>废弃物与污染物应纳入产品生命周期核算范围，覆盖“摇篮到大门”及可选的“使用与处置阶段”，并与系统边界定义一致。</w:t>
      </w:r>
    </w:p>
    <w:p w14:paraId="3537C40F">
      <w:pPr>
        <w:pStyle w:val="27"/>
        <w:rPr>
          <w:rFonts w:ascii="Times New Roman"/>
        </w:rPr>
      </w:pPr>
      <w:r>
        <w:rPr>
          <w:rFonts w:ascii="Times New Roman"/>
        </w:rPr>
        <w:t>包括：</w:t>
      </w:r>
    </w:p>
    <w:p w14:paraId="3537C410">
      <w:pPr>
        <w:pStyle w:val="27"/>
        <w:rPr>
          <w:rFonts w:ascii="Times New Roman"/>
        </w:rPr>
      </w:pPr>
      <w:r>
        <w:rPr>
          <w:rFonts w:ascii="Times New Roman"/>
        </w:rPr>
        <w:t>— 原料提取与生产阶段的废料、残渣、废水、废气；</w:t>
      </w:r>
    </w:p>
    <w:p w14:paraId="3537C411">
      <w:pPr>
        <w:pStyle w:val="27"/>
        <w:rPr>
          <w:rFonts w:ascii="Times New Roman"/>
        </w:rPr>
      </w:pPr>
      <w:r>
        <w:rPr>
          <w:rFonts w:ascii="Times New Roman"/>
        </w:rPr>
        <w:t>— 制造过程中的不合格品、包装废弃物；</w:t>
      </w:r>
    </w:p>
    <w:p w14:paraId="3537C412">
      <w:pPr>
        <w:pStyle w:val="27"/>
        <w:rPr>
          <w:rFonts w:ascii="Times New Roman"/>
        </w:rPr>
      </w:pPr>
      <w:r>
        <w:rPr>
          <w:rFonts w:ascii="Times New Roman"/>
        </w:rPr>
        <w:t>— 产品使用后的容器与废弃物处置环节。</w:t>
      </w:r>
    </w:p>
    <w:p w14:paraId="3537C413">
      <w:pPr>
        <w:pStyle w:val="60"/>
        <w:spacing w:before="156" w:after="156"/>
      </w:pPr>
      <w:r>
        <w:t>废弃物分类与数据收集要求</w:t>
      </w:r>
    </w:p>
    <w:p w14:paraId="3537C414">
      <w:pPr>
        <w:pStyle w:val="27"/>
        <w:rPr>
          <w:kern w:val="2"/>
          <w:szCs w:val="21"/>
          <w14:ligatures w14:val="standardContextual"/>
        </w:rPr>
      </w:pPr>
      <w:r>
        <w:rPr>
          <w:rFonts w:hint="eastAsia"/>
        </w:rPr>
        <w:t>废弃物的定义应遵循</w:t>
      </w:r>
      <w:r>
        <w:rPr>
          <w:rFonts w:ascii="Times New Roman"/>
        </w:rPr>
        <w:t>PACT</w:t>
      </w:r>
      <w:r>
        <w:rPr>
          <w:rFonts w:hint="eastAsia"/>
        </w:rPr>
        <w:t>相关方法学要求，不因其实际最终处置方式（如回收、焚烧、填埋或再利用）而改变分类口径。</w:t>
      </w:r>
    </w:p>
    <w:p w14:paraId="3537C415">
      <w:pPr>
        <w:pStyle w:val="27"/>
        <w:rPr>
          <w:rFonts w:ascii="Times New Roman"/>
        </w:rPr>
      </w:pPr>
      <w:r>
        <w:rPr>
          <w:rFonts w:ascii="Times New Roman"/>
        </w:rPr>
        <w:t>a）固体废弃物：应区分可回收（再利用、再生）与不可回收（填埋、焚烧）两类；</w:t>
      </w:r>
    </w:p>
    <w:p w14:paraId="3537C416">
      <w:pPr>
        <w:pStyle w:val="27"/>
        <w:rPr>
          <w:rFonts w:ascii="Times New Roman"/>
        </w:rPr>
      </w:pPr>
      <w:r>
        <w:rPr>
          <w:rFonts w:ascii="Times New Roman"/>
        </w:rPr>
        <w:t>b）液体废弃物：包括废水、溶剂残液，应记录COD、BOD、pH等关键指标及处理方式；</w:t>
      </w:r>
    </w:p>
    <w:p w14:paraId="3537C417">
      <w:pPr>
        <w:pStyle w:val="27"/>
        <w:rPr>
          <w:rFonts w:ascii="Times New Roman"/>
        </w:rPr>
      </w:pPr>
      <w:r>
        <w:rPr>
          <w:rFonts w:ascii="Times New Roman"/>
        </w:rPr>
        <w:t>c）气体排放物：包括有机挥发物（VOCs）、CO₂、CH₄、N₂O等，应按工艺环节采集监测数据；</w:t>
      </w:r>
    </w:p>
    <w:p w14:paraId="3537C418">
      <w:pPr>
        <w:pStyle w:val="27"/>
        <w:rPr>
          <w:rFonts w:ascii="Times New Roman"/>
        </w:rPr>
      </w:pPr>
      <w:r>
        <w:rPr>
          <w:rFonts w:ascii="Times New Roman"/>
        </w:rPr>
        <w:t>d）应记录废弃物产生量、处理方式、运输距离与处理设施排放因子。</w:t>
      </w:r>
    </w:p>
    <w:p w14:paraId="3537C419">
      <w:pPr>
        <w:pStyle w:val="60"/>
        <w:spacing w:before="156" w:after="156"/>
      </w:pPr>
      <w:r>
        <w:t>污染物管理与减排措施</w:t>
      </w:r>
    </w:p>
    <w:p w14:paraId="3537C41A">
      <w:pPr>
        <w:pStyle w:val="27"/>
        <w:rPr>
          <w:rFonts w:ascii="Times New Roman"/>
        </w:rPr>
      </w:pPr>
      <w:r>
        <w:rPr>
          <w:rFonts w:ascii="Times New Roman"/>
        </w:rPr>
        <w:t>a）应明确污染物处理环节（废水处理站、废气治理装置）的能耗与副产物排放是否计入系统边界；</w:t>
      </w:r>
    </w:p>
    <w:p w14:paraId="3537C41B">
      <w:pPr>
        <w:pStyle w:val="27"/>
        <w:rPr>
          <w:rFonts w:ascii="Times New Roman"/>
        </w:rPr>
      </w:pPr>
      <w:r>
        <w:rPr>
          <w:rFonts w:ascii="Times New Roman"/>
        </w:rPr>
        <w:t>b）当采用减排或回收措施（如余热利用、生物残渣堆肥）时，应计算其替代减排效应并予以说明；</w:t>
      </w:r>
    </w:p>
    <w:p w14:paraId="3537C41C">
      <w:pPr>
        <w:pStyle w:val="27"/>
        <w:rPr>
          <w:rFonts w:ascii="Times New Roman"/>
        </w:rPr>
      </w:pPr>
      <w:r>
        <w:rPr>
          <w:rFonts w:ascii="Times New Roman"/>
        </w:rPr>
        <w:t>c）对高浓度或危废废弃物，应采用专用排放因子或经验证的处理数据，避免使用平均因子。</w:t>
      </w:r>
    </w:p>
    <w:p w14:paraId="3537C41D">
      <w:pPr>
        <w:pStyle w:val="60"/>
        <w:spacing w:before="156" w:after="156"/>
      </w:pPr>
      <w:r>
        <w:t>报告与透明度要求</w:t>
      </w:r>
    </w:p>
    <w:p w14:paraId="3537C41E">
      <w:pPr>
        <w:pStyle w:val="27"/>
        <w:rPr>
          <w:rFonts w:ascii="Times New Roman"/>
        </w:rPr>
      </w:pPr>
      <w:r>
        <w:rPr>
          <w:rFonts w:ascii="Times New Roman"/>
        </w:rPr>
        <w:t>— 披露废弃物分类、处理方式及碳排放贡献；</w:t>
      </w:r>
    </w:p>
    <w:p w14:paraId="3537C41F">
      <w:pPr>
        <w:pStyle w:val="27"/>
        <w:rPr>
          <w:rFonts w:ascii="Times New Roman"/>
        </w:rPr>
      </w:pPr>
      <w:r>
        <w:rPr>
          <w:rFonts w:ascii="Times New Roman"/>
        </w:rPr>
        <w:t>— 对主要废弃物类别（贡献≥5%）应提供处理因子来源及适用性说明；</w:t>
      </w:r>
    </w:p>
    <w:p w14:paraId="3537C420">
      <w:pPr>
        <w:pStyle w:val="27"/>
        <w:rPr>
          <w:rFonts w:ascii="Times New Roman"/>
        </w:rPr>
      </w:pPr>
      <w:r>
        <w:rPr>
          <w:rFonts w:ascii="Times New Roman"/>
        </w:rPr>
        <w:t>— 若采用系统扩展或替代计算，应披露被替代产品及替代逻辑；</w:t>
      </w:r>
    </w:p>
    <w:p w14:paraId="3537C421">
      <w:pPr>
        <w:pStyle w:val="27"/>
      </w:pPr>
      <w:r>
        <w:rPr>
          <w:rFonts w:ascii="Times New Roman"/>
        </w:rPr>
        <w:t>— 鼓励企业在年度报告或ESG披露中同步披露废弃物减量绩效与循环利用率。</w:t>
      </w:r>
    </w:p>
    <w:p w14:paraId="3537C422">
      <w:pPr>
        <w:pStyle w:val="55"/>
        <w:spacing w:before="156" w:after="156"/>
        <w:ind w:left="0"/>
        <w:rPr>
          <w:rFonts w:ascii="Times New Roman"/>
        </w:rPr>
      </w:pPr>
      <w:r>
        <w:rPr>
          <w:rFonts w:ascii="Times New Roman"/>
        </w:rPr>
        <w:t>跨环节一致性与内部循环</w:t>
      </w:r>
    </w:p>
    <w:p w14:paraId="3537C423">
      <w:pPr>
        <w:pStyle w:val="27"/>
        <w:rPr>
          <w:rFonts w:ascii="Times New Roman"/>
        </w:rPr>
      </w:pPr>
      <w:r>
        <w:rPr>
          <w:rFonts w:ascii="Times New Roman"/>
        </w:rPr>
        <w:t>对于覆盖多个生产环节的企业（如自有种植/提取/配方生产一体化），应：</w:t>
      </w:r>
    </w:p>
    <w:p w14:paraId="3537C424">
      <w:pPr>
        <w:pStyle w:val="27"/>
        <w:rPr>
          <w:rFonts w:ascii="Times New Roman"/>
        </w:rPr>
      </w:pPr>
      <w:r>
        <w:rPr>
          <w:rFonts w:ascii="Times New Roman"/>
        </w:rPr>
        <w:t>a）先在单环节内部完成分配（优先物理因果）；</w:t>
      </w:r>
    </w:p>
    <w:p w14:paraId="3537C425">
      <w:pPr>
        <w:pStyle w:val="27"/>
        <w:rPr>
          <w:rFonts w:ascii="Times New Roman"/>
        </w:rPr>
      </w:pPr>
      <w:r>
        <w:rPr>
          <w:rFonts w:ascii="Times New Roman"/>
        </w:rPr>
        <w:t>b）再检查跨环节流转口径是否一致（防止重复或遗漏）；</w:t>
      </w:r>
    </w:p>
    <w:p w14:paraId="3537C426">
      <w:pPr>
        <w:pStyle w:val="27"/>
        <w:rPr>
          <w:rFonts w:ascii="Times New Roman"/>
        </w:rPr>
      </w:pPr>
      <w:r>
        <w:rPr>
          <w:rFonts w:ascii="Times New Roman"/>
        </w:rPr>
        <w:t>c）当内部副产物流部分外售时，应区分“厂内循环”与“对外销售”的系统边界；</w:t>
      </w:r>
    </w:p>
    <w:p w14:paraId="3537C427">
      <w:pPr>
        <w:pStyle w:val="27"/>
      </w:pPr>
      <w:r>
        <w:rPr>
          <w:rFonts w:ascii="Times New Roman"/>
        </w:rPr>
        <w:t>d）价格波动或促销周期不得回溯性修改上游分配结果，除非上游确有实质性生产变动，并需提供敏感性分析。</w:t>
      </w:r>
    </w:p>
    <w:p w14:paraId="3537C428">
      <w:pPr>
        <w:pStyle w:val="51"/>
        <w:spacing w:before="156" w:after="156"/>
        <w:rPr>
          <w:rFonts w:ascii="Times New Roman"/>
        </w:rPr>
      </w:pPr>
      <w:bookmarkStart w:id="77" w:name="_Toc4330"/>
      <w:r>
        <w:rPr>
          <w:rFonts w:hint="eastAsia" w:ascii="Times New Roman"/>
        </w:rPr>
        <w:t>生物炭与回收材料处理</w:t>
      </w:r>
    </w:p>
    <w:p w14:paraId="3537C429">
      <w:pPr>
        <w:pStyle w:val="55"/>
        <w:spacing w:before="156" w:after="156"/>
        <w:ind w:left="0"/>
        <w:rPr>
          <w:rFonts w:ascii="Times New Roman"/>
        </w:rPr>
      </w:pPr>
      <w:r>
        <w:rPr>
          <w:rFonts w:hint="eastAsia" w:ascii="Times New Roman"/>
        </w:rPr>
        <w:t>生物基原料与生物碳处理方法</w:t>
      </w:r>
      <w:bookmarkEnd w:id="77"/>
    </w:p>
    <w:p w14:paraId="3537C42A">
      <w:pPr>
        <w:pStyle w:val="60"/>
        <w:tabs>
          <w:tab w:val="center" w:pos="4201"/>
          <w:tab w:val="right" w:leader="dot" w:pos="9298"/>
        </w:tabs>
        <w:spacing w:before="156" w:after="156"/>
      </w:pPr>
      <w:r>
        <w:rPr>
          <w:rFonts w:hint="eastAsia"/>
        </w:rPr>
        <w:t>一般原则</w:t>
      </w:r>
    </w:p>
    <w:p w14:paraId="3537C42B">
      <w:pPr>
        <w:pStyle w:val="27"/>
        <w:numPr>
          <w:ilvl w:val="0"/>
          <w:numId w:val="16"/>
        </w:numPr>
        <w:rPr>
          <w:rFonts w:ascii="Times New Roman"/>
        </w:rPr>
      </w:pPr>
      <w:r>
        <w:rPr>
          <w:rFonts w:ascii="Times New Roman"/>
        </w:rPr>
        <w:t>生物基原料的碳排放核算应符合ISO 14067和PACT指南，明确生物碳的吸收、释放与储存；</w:t>
      </w:r>
    </w:p>
    <w:p w14:paraId="3537C42C">
      <w:pPr>
        <w:pStyle w:val="27"/>
        <w:numPr>
          <w:ilvl w:val="0"/>
          <w:numId w:val="16"/>
        </w:numPr>
        <w:rPr>
          <w:rFonts w:ascii="Times New Roman"/>
        </w:rPr>
      </w:pPr>
      <w:r>
        <w:rPr>
          <w:rFonts w:ascii="Times New Roman"/>
        </w:rPr>
        <w:t>生物碳的计量应以CO</w:t>
      </w:r>
      <w:r>
        <w:rPr>
          <w:rFonts w:hint="eastAsia" w:ascii="Times New Roman"/>
          <w:vertAlign w:val="subscript"/>
        </w:rPr>
        <w:t>2</w:t>
      </w:r>
      <w:r>
        <w:rPr>
          <w:rFonts w:ascii="Times New Roman"/>
        </w:rPr>
        <w:t>当量表示，并在报告中单独标注，不得与化石碳混淆；</w:t>
      </w:r>
    </w:p>
    <w:p w14:paraId="36EC7069">
      <w:pPr>
        <w:pStyle w:val="27"/>
        <w:numPr>
          <w:ilvl w:val="0"/>
          <w:numId w:val="16"/>
        </w:numPr>
        <w:spacing w:before="156" w:after="156"/>
        <w:rPr>
          <w:rFonts w:ascii="宋体"/>
          <w:color w:val="auto"/>
          <w:kern w:val="2"/>
          <w:szCs w:val="21"/>
          <w:u w:val="none"/>
          <w14:ligatures w14:val="standardContextual"/>
        </w:rPr>
      </w:pPr>
      <w:r>
        <w:rPr>
          <w:rFonts w:ascii="Times New Roman"/>
        </w:rPr>
        <w:t>生物碳的核算边界应覆盖原料种植、采集、加工及产品使用和废弃阶段。</w:t>
      </w:r>
    </w:p>
    <w:p w14:paraId="28D581D9">
      <w:pPr>
        <w:pStyle w:val="27"/>
        <w:rPr>
          <w:rFonts w:hint="eastAsia" w:ascii="Times New Roman"/>
        </w:rPr>
      </w:pPr>
      <w:r>
        <w:rPr>
          <w:rFonts w:hint="eastAsia" w:ascii="Times New Roman"/>
          <w:lang w:val="en-US" w:eastAsia="zh-CN"/>
        </w:rPr>
        <w:t>d）</w:t>
      </w:r>
      <w:r>
        <w:rPr>
          <w:rFonts w:hint="eastAsia" w:ascii="Times New Roman"/>
        </w:rPr>
        <w:t>对于种植来源的原料，除土地利用变化外，还宜考虑施肥、灌溉、农机作业、土壤管理及田间残余物处理等土地管理活动产生的排放。</w:t>
      </w:r>
    </w:p>
    <w:p w14:paraId="32C02030">
      <w:pPr>
        <w:pStyle w:val="27"/>
        <w:rPr>
          <w:rFonts w:ascii="Times New Roman"/>
        </w:rPr>
      </w:pPr>
      <w:r>
        <w:rPr>
          <w:rFonts w:hint="eastAsia" w:ascii="Times New Roman"/>
          <w:lang w:val="en-US" w:eastAsia="zh-CN"/>
        </w:rPr>
        <w:t>e）</w:t>
      </w:r>
      <w:r>
        <w:rPr>
          <w:rFonts w:hint="eastAsia" w:ascii="Times New Roman"/>
        </w:rPr>
        <w:t>为避免部分短生命周期产品误算长期减排效益，建议在碳流核算时，企业可通过核算报告标明使用寿命与碳储存年限，并强调“即时释放”与“长期储存”的区分。</w:t>
      </w:r>
    </w:p>
    <w:p w14:paraId="3537C42F">
      <w:pPr>
        <w:pStyle w:val="60"/>
        <w:tabs>
          <w:tab w:val="center" w:pos="4201"/>
          <w:tab w:val="right" w:leader="dot" w:pos="9298"/>
        </w:tabs>
        <w:spacing w:before="156" w:after="156"/>
      </w:pPr>
      <w:r>
        <w:rPr>
          <w:rFonts w:hint="eastAsia"/>
        </w:rPr>
        <w:t>生物基原料的碳流核算</w:t>
      </w:r>
    </w:p>
    <w:p w14:paraId="3537C430">
      <w:pPr>
        <w:pStyle w:val="27"/>
        <w:numPr>
          <w:ilvl w:val="0"/>
          <w:numId w:val="17"/>
        </w:numPr>
        <w:rPr>
          <w:rFonts w:ascii="Times New Roman"/>
        </w:rPr>
      </w:pPr>
      <w:r>
        <w:rPr>
          <w:rFonts w:ascii="Times New Roman"/>
        </w:rPr>
        <w:t xml:space="preserve"> 碳吸收：</w:t>
      </w:r>
    </w:p>
    <w:p w14:paraId="3537C431">
      <w:pPr>
        <w:pStyle w:val="27"/>
        <w:rPr>
          <w:rFonts w:ascii="Times New Roman"/>
        </w:rPr>
      </w:pPr>
      <w:r>
        <w:rPr>
          <w:rFonts w:ascii="Times New Roman"/>
        </w:rPr>
        <w:t>— 植物在生长过程中吸收的 CO</w:t>
      </w:r>
      <w:r>
        <w:rPr>
          <w:rFonts w:hint="eastAsia" w:ascii="Times New Roman"/>
          <w:vertAlign w:val="subscript"/>
        </w:rPr>
        <w:t>2</w:t>
      </w:r>
      <w:r>
        <w:rPr>
          <w:rFonts w:ascii="Times New Roman"/>
        </w:rPr>
        <w:t xml:space="preserve"> 可计为生物碳固定，但仅在碳储存在产品中达到一定时间（&gt; 100 年）时，方可作为长期碳储存；</w:t>
      </w:r>
    </w:p>
    <w:p w14:paraId="3537C432">
      <w:pPr>
        <w:pStyle w:val="27"/>
        <w:rPr>
          <w:rFonts w:ascii="Times New Roman"/>
        </w:rPr>
      </w:pPr>
      <w:r>
        <w:rPr>
          <w:rFonts w:ascii="Times New Roman"/>
        </w:rPr>
        <w:t>— 对于化妆品和香精等短周期消费品，其使用寿命较短（例如几个月到几年），应视为碳即时释放，不得计入长期减排。</w:t>
      </w:r>
    </w:p>
    <w:p w14:paraId="3537C433">
      <w:pPr>
        <w:pStyle w:val="27"/>
        <w:numPr>
          <w:ilvl w:val="0"/>
          <w:numId w:val="17"/>
        </w:numPr>
        <w:rPr>
          <w:rFonts w:ascii="Times New Roman"/>
        </w:rPr>
      </w:pPr>
      <w:r>
        <w:rPr>
          <w:rFonts w:ascii="Times New Roman"/>
        </w:rPr>
        <w:t>碳储存与释放：</w:t>
      </w:r>
    </w:p>
    <w:p w14:paraId="3537C434">
      <w:pPr>
        <w:pStyle w:val="27"/>
        <w:rPr>
          <w:rFonts w:ascii="Times New Roman"/>
        </w:rPr>
      </w:pPr>
      <w:r>
        <w:rPr>
          <w:rFonts w:ascii="Times New Roman"/>
        </w:rPr>
        <w:t>— 在木质包装、纸盒等产品中，若使用寿命超过2年，可计入临时储存，并在报告中注明</w:t>
      </w:r>
      <w:r>
        <w:rPr>
          <w:rFonts w:hint="eastAsia" w:ascii="Times New Roman"/>
        </w:rPr>
        <w:t>，</w:t>
      </w:r>
      <w:r>
        <w:rPr>
          <w:rFonts w:ascii="Times New Roman"/>
        </w:rPr>
        <w:t>确保对暂时储存与长期储存的差异有所区分；</w:t>
      </w:r>
    </w:p>
    <w:p w14:paraId="3537C435">
      <w:pPr>
        <w:pStyle w:val="27"/>
        <w:rPr>
          <w:rFonts w:ascii="Times New Roman"/>
        </w:rPr>
      </w:pPr>
      <w:r>
        <w:rPr>
          <w:rFonts w:ascii="Times New Roman"/>
        </w:rPr>
        <w:t>— 对于精油、植物提取物、发酵产物等原料，其在产品使用过程中即被释放，应计入使用阶段排放。</w:t>
      </w:r>
    </w:p>
    <w:p w14:paraId="3537C436">
      <w:pPr>
        <w:pStyle w:val="27"/>
        <w:numPr>
          <w:ilvl w:val="0"/>
          <w:numId w:val="17"/>
        </w:numPr>
        <w:rPr>
          <w:rFonts w:ascii="Times New Roman"/>
        </w:rPr>
      </w:pPr>
      <w:r>
        <w:rPr>
          <w:rFonts w:ascii="Times New Roman"/>
        </w:rPr>
        <w:t>生物基衍生品（如胶原蛋白、透明质酸）：</w:t>
      </w:r>
    </w:p>
    <w:p w14:paraId="3537C437">
      <w:pPr>
        <w:pStyle w:val="27"/>
        <w:rPr>
          <w:rFonts w:ascii="Times New Roman"/>
        </w:rPr>
      </w:pPr>
      <w:r>
        <w:rPr>
          <w:rFonts w:ascii="Times New Roman"/>
        </w:rPr>
        <w:t>— 碳含量应通过实验室检测（如C14分析）或文献数据确定；</w:t>
      </w:r>
    </w:p>
    <w:p w14:paraId="3537C438">
      <w:pPr>
        <w:pStyle w:val="27"/>
        <w:rPr>
          <w:rFonts w:ascii="Times New Roman"/>
        </w:rPr>
      </w:pPr>
      <w:r>
        <w:rPr>
          <w:rFonts w:ascii="Times New Roman"/>
        </w:rPr>
        <w:t>— 若产品最终排放路径为可降解或焚烧，应计为碳即时释放；</w:t>
      </w:r>
    </w:p>
    <w:p w14:paraId="3537C439">
      <w:pPr>
        <w:pStyle w:val="27"/>
        <w:rPr>
          <w:rFonts w:ascii="Times New Roman"/>
        </w:rPr>
      </w:pPr>
      <w:r>
        <w:rPr>
          <w:rFonts w:ascii="Times New Roman"/>
        </w:rPr>
        <w:t>— 若进入填埋或长寿命材料中，可按储存年限计入临时储存。</w:t>
      </w:r>
    </w:p>
    <w:p w14:paraId="3537C43A">
      <w:pPr>
        <w:pStyle w:val="27"/>
        <w:rPr>
          <w:rFonts w:ascii="Times New Roman"/>
        </w:rPr>
      </w:pPr>
      <w:r>
        <w:rPr>
          <w:rFonts w:ascii="Times New Roman"/>
        </w:rPr>
        <w:t>对于生物基衍生品（如透明质酸、胶原蛋白等），建议企业通过双重确认（如结合实验数据与文献比对）来确保碳流核算的准确性，避免因原料处理路径或使用方式的不同影响数据一致性。</w:t>
      </w:r>
    </w:p>
    <w:p w14:paraId="3537C43B">
      <w:pPr>
        <w:pStyle w:val="60"/>
        <w:tabs>
          <w:tab w:val="center" w:pos="4201"/>
          <w:tab w:val="right" w:leader="dot" w:pos="9298"/>
        </w:tabs>
        <w:spacing w:before="156" w:after="156"/>
      </w:pPr>
      <w:r>
        <w:rPr>
          <w:rFonts w:hint="eastAsia"/>
        </w:rPr>
        <w:t>生物碳的报告与标注</w:t>
      </w:r>
    </w:p>
    <w:p w14:paraId="3537C43C">
      <w:pPr>
        <w:pStyle w:val="27"/>
        <w:numPr>
          <w:ilvl w:val="0"/>
          <w:numId w:val="18"/>
        </w:numPr>
        <w:rPr>
          <w:rFonts w:ascii="Times New Roman"/>
        </w:rPr>
      </w:pPr>
      <w:r>
        <w:rPr>
          <w:rFonts w:ascii="Times New Roman"/>
        </w:rPr>
        <w:t>生物碳应在核算结果中单独报告，并与化石碳排放区分；</w:t>
      </w:r>
    </w:p>
    <w:p w14:paraId="3537C43D">
      <w:pPr>
        <w:pStyle w:val="27"/>
        <w:numPr>
          <w:ilvl w:val="0"/>
          <w:numId w:val="18"/>
        </w:numPr>
        <w:rPr>
          <w:rFonts w:ascii="Times New Roman"/>
        </w:rPr>
      </w:pPr>
      <w:r>
        <w:rPr>
          <w:rFonts w:ascii="Times New Roman"/>
        </w:rPr>
        <w:t>应在报告中明确以下内容：</w:t>
      </w:r>
    </w:p>
    <w:p w14:paraId="3537C43E">
      <w:pPr>
        <w:pStyle w:val="27"/>
        <w:rPr>
          <w:rFonts w:ascii="Times New Roman"/>
        </w:rPr>
      </w:pPr>
      <w:r>
        <w:rPr>
          <w:rFonts w:ascii="Times New Roman"/>
        </w:rPr>
        <w:t>— 生物基原料的种类与来源（如植物种植、动物源性或微生物发酵）；</w:t>
      </w:r>
    </w:p>
    <w:p w14:paraId="3537C43F">
      <w:pPr>
        <w:pStyle w:val="27"/>
        <w:rPr>
          <w:rFonts w:ascii="Times New Roman"/>
        </w:rPr>
      </w:pPr>
      <w:r>
        <w:rPr>
          <w:rFonts w:ascii="Times New Roman"/>
        </w:rPr>
        <w:t>— 碳含量的确定方法（实测或数据库引用）；</w:t>
      </w:r>
    </w:p>
    <w:p w14:paraId="3537C440">
      <w:pPr>
        <w:pStyle w:val="27"/>
        <w:rPr>
          <w:rFonts w:ascii="Times New Roman"/>
        </w:rPr>
      </w:pPr>
      <w:r>
        <w:rPr>
          <w:rFonts w:ascii="Times New Roman"/>
        </w:rPr>
        <w:t>— 生物碳吸收、释放与储存的时间界定；</w:t>
      </w:r>
    </w:p>
    <w:p w14:paraId="3537C441">
      <w:pPr>
        <w:pStyle w:val="27"/>
        <w:numPr>
          <w:ilvl w:val="0"/>
          <w:numId w:val="18"/>
        </w:numPr>
        <w:rPr>
          <w:rFonts w:ascii="Times New Roman"/>
        </w:rPr>
      </w:pPr>
      <w:r>
        <w:rPr>
          <w:rFonts w:ascii="Times New Roman"/>
        </w:rPr>
        <w:t>当采用质量平衡认证体系（如 ISCC、RSB）时，应在报告中说明认证比例与核算口径</w:t>
      </w:r>
      <w:r>
        <w:rPr>
          <w:rFonts w:hint="eastAsia" w:ascii="Times New Roman"/>
        </w:rPr>
        <w:t>，特别是如何将生物碳的流入和流出与该体系认证的规定相匹配。这有助于提高碳足迹核算的透明度和可追溯性</w:t>
      </w:r>
      <w:r>
        <w:rPr>
          <w:rFonts w:ascii="Times New Roman"/>
        </w:rPr>
        <w:t>。</w:t>
      </w:r>
    </w:p>
    <w:p w14:paraId="3537C442">
      <w:pPr>
        <w:pStyle w:val="27"/>
        <w:ind w:firstLine="0" w:firstLineChars="0"/>
        <w:rPr>
          <w:rFonts w:ascii="Times New Roman"/>
        </w:rPr>
      </w:pPr>
      <w:r>
        <w:rPr>
          <w:rFonts w:hint="eastAsia" w:ascii="Times New Roman"/>
        </w:rPr>
        <w:t xml:space="preserve">    由于生物碳涉及不同生命周期的处理，建议企业根据温室气体清单标准（如ISO 14064-1/2）对每一类生物碳的计算路径进行透明标注。需要强调，在报告中明确生物碳的时间界定，避免错误将短期碳释放作为长期减排报告。</w:t>
      </w:r>
    </w:p>
    <w:p w14:paraId="3537C443">
      <w:pPr>
        <w:pStyle w:val="60"/>
        <w:tabs>
          <w:tab w:val="center" w:pos="4201"/>
          <w:tab w:val="right" w:leader="dot" w:pos="9298"/>
        </w:tabs>
        <w:spacing w:before="156" w:after="156"/>
      </w:pPr>
      <w:r>
        <w:rPr>
          <w:rFonts w:hint="eastAsia"/>
        </w:rPr>
        <w:t>行业应用指导</w:t>
      </w:r>
    </w:p>
    <w:p w14:paraId="3537C444">
      <w:pPr>
        <w:pStyle w:val="27"/>
        <w:numPr>
          <w:ilvl w:val="0"/>
          <w:numId w:val="19"/>
        </w:numPr>
        <w:rPr>
          <w:rFonts w:ascii="Times New Roman"/>
        </w:rPr>
      </w:pPr>
      <w:r>
        <w:rPr>
          <w:rFonts w:ascii="Times New Roman"/>
        </w:rPr>
        <w:t>香料类企业：</w:t>
      </w:r>
    </w:p>
    <w:p w14:paraId="3537C445">
      <w:pPr>
        <w:pStyle w:val="27"/>
        <w:rPr>
          <w:rFonts w:ascii="Times New Roman"/>
        </w:rPr>
      </w:pPr>
      <w:r>
        <w:rPr>
          <w:rFonts w:ascii="Times New Roman"/>
        </w:rPr>
        <w:t>— 应重点关注天然植物精油、树脂、香料作物（如玫瑰、檀香、广藿香）的生物碳流；</w:t>
      </w:r>
    </w:p>
    <w:p w14:paraId="3537C446">
      <w:pPr>
        <w:pStyle w:val="175"/>
        <w:ind w:firstLine="420"/>
        <w:rPr>
          <w:rFonts w:hint="eastAsia" w:ascii="宋体" w:hAnsi="宋体" w:eastAsia="宋体" w:cs="宋体"/>
          <w:kern w:val="2"/>
          <w:sz w:val="21"/>
          <w:szCs w:val="21"/>
          <w:lang w:val="en-US" w:eastAsia="zh-CN" w:bidi="ar-SA"/>
          <w14:ligatures w14:val="none"/>
        </w:rPr>
      </w:pPr>
      <w:r>
        <w:rPr>
          <w:rFonts w:hint="eastAsia" w:ascii="宋体" w:hAnsi="宋体" w:eastAsia="宋体" w:cs="宋体"/>
          <w:kern w:val="2"/>
          <w:sz w:val="21"/>
          <w:szCs w:val="21"/>
          <w:lang w:val="en-US" w:eastAsia="zh-CN" w:bidi="ar-SA"/>
          <w14:ligatures w14:val="none"/>
        </w:rPr>
        <w:t>— 合成香料是否含有生物碳，应根据其原料来源和生产路径据实判断，不宜按产品类别作统一假设；当采用天然衍生原料或其他生物基来源原料时，应核算并披露相关生物碳信息。</w:t>
      </w:r>
    </w:p>
    <w:p w14:paraId="3537C447">
      <w:pPr>
        <w:pStyle w:val="27"/>
        <w:rPr>
          <w:rFonts w:ascii="Times New Roman"/>
        </w:rPr>
      </w:pPr>
      <w:r>
        <w:rPr>
          <w:rFonts w:ascii="Times New Roman"/>
        </w:rPr>
        <w:t>— 若为野生采集，应评估土地利用变化（LUC）带来的额外排放。</w:t>
      </w:r>
    </w:p>
    <w:p w14:paraId="3537C448">
      <w:pPr>
        <w:pStyle w:val="27"/>
        <w:numPr>
          <w:ilvl w:val="0"/>
          <w:numId w:val="19"/>
        </w:numPr>
        <w:rPr>
          <w:rFonts w:ascii="Times New Roman"/>
        </w:rPr>
      </w:pPr>
      <w:r>
        <w:rPr>
          <w:rFonts w:ascii="Times New Roman"/>
        </w:rPr>
        <w:t>香精类企业：</w:t>
      </w:r>
    </w:p>
    <w:p w14:paraId="3537C449">
      <w:pPr>
        <w:pStyle w:val="27"/>
        <w:rPr>
          <w:rFonts w:ascii="Times New Roman"/>
        </w:rPr>
      </w:pPr>
      <w:r>
        <w:rPr>
          <w:rFonts w:ascii="Times New Roman"/>
        </w:rPr>
        <w:t>— 应在配方中区分天然与合成原料，明确生物基比例；</w:t>
      </w:r>
    </w:p>
    <w:p w14:paraId="3537C44A">
      <w:pPr>
        <w:pStyle w:val="27"/>
        <w:rPr>
          <w:rFonts w:ascii="Times New Roman"/>
        </w:rPr>
      </w:pPr>
      <w:r>
        <w:rPr>
          <w:rFonts w:ascii="Times New Roman"/>
        </w:rPr>
        <w:t>— 对于含高比例植物提取物的配方，应单独报告生物碳含量。</w:t>
      </w:r>
    </w:p>
    <w:p w14:paraId="3537C44B">
      <w:pPr>
        <w:pStyle w:val="27"/>
        <w:numPr>
          <w:ilvl w:val="0"/>
          <w:numId w:val="19"/>
        </w:numPr>
        <w:rPr>
          <w:rFonts w:ascii="Times New Roman"/>
        </w:rPr>
      </w:pPr>
      <w:r>
        <w:rPr>
          <w:rFonts w:ascii="Times New Roman"/>
        </w:rPr>
        <w:t>化妆品类企业：</w:t>
      </w:r>
    </w:p>
    <w:p w14:paraId="3537C44C">
      <w:pPr>
        <w:pStyle w:val="27"/>
        <w:rPr>
          <w:rFonts w:ascii="Times New Roman"/>
        </w:rPr>
      </w:pPr>
      <w:r>
        <w:rPr>
          <w:rFonts w:ascii="Times New Roman"/>
        </w:rPr>
        <w:t>— 对护肤品、彩妆、香水，应在包装中单独核算纸盒、木质等生物基包装材料；</w:t>
      </w:r>
    </w:p>
    <w:p w14:paraId="3537C44D">
      <w:pPr>
        <w:pStyle w:val="27"/>
        <w:rPr>
          <w:kern w:val="2"/>
          <w:szCs w:val="21"/>
          <w14:ligatures w14:val="standardContextual"/>
        </w:rPr>
      </w:pPr>
      <w:r>
        <w:rPr>
          <w:rFonts w:ascii="Times New Roman"/>
        </w:rPr>
        <w:t xml:space="preserve">— </w:t>
      </w:r>
      <w:r>
        <w:rPr>
          <w:rFonts w:hint="eastAsia"/>
        </w:rPr>
        <w:t>含胶原蛋白、透明质酸等生物基活性成分的产品，应区分其碳储存与释放路径，报告其生物碳含量，并报告临时储存情况。</w:t>
      </w:r>
    </w:p>
    <w:p w14:paraId="3537C44E">
      <w:pPr>
        <w:pStyle w:val="60"/>
        <w:tabs>
          <w:tab w:val="center" w:pos="4201"/>
          <w:tab w:val="right" w:leader="dot" w:pos="9298"/>
        </w:tabs>
        <w:spacing w:before="156" w:after="156"/>
      </w:pPr>
      <w:r>
        <w:rPr>
          <w:rFonts w:hint="eastAsia"/>
        </w:rPr>
        <w:t>注意事项</w:t>
      </w:r>
    </w:p>
    <w:p w14:paraId="3537C44F">
      <w:pPr>
        <w:pStyle w:val="27"/>
        <w:numPr>
          <w:ilvl w:val="0"/>
          <w:numId w:val="20"/>
        </w:numPr>
        <w:rPr>
          <w:rFonts w:ascii="Times New Roman"/>
        </w:rPr>
      </w:pPr>
      <w:r>
        <w:rPr>
          <w:rFonts w:ascii="Times New Roman"/>
        </w:rPr>
        <w:t>生物碳不得作为额外的减排量抵消产品碳足迹，只能作为信息性披露；</w:t>
      </w:r>
    </w:p>
    <w:p w14:paraId="3537C450">
      <w:pPr>
        <w:pStyle w:val="27"/>
        <w:numPr>
          <w:ilvl w:val="0"/>
          <w:numId w:val="20"/>
        </w:numPr>
        <w:rPr>
          <w:rFonts w:ascii="Times New Roman"/>
        </w:rPr>
      </w:pPr>
      <w:r>
        <w:rPr>
          <w:rFonts w:ascii="Times New Roman"/>
        </w:rPr>
        <w:t>当国际法规（如欧盟 PEFCR）对生物碳处理有特殊要求时，应以法规优先；</w:t>
      </w:r>
    </w:p>
    <w:p w14:paraId="3537C451">
      <w:pPr>
        <w:pStyle w:val="27"/>
        <w:numPr>
          <w:ilvl w:val="0"/>
          <w:numId w:val="20"/>
        </w:numPr>
        <w:tabs>
          <w:tab w:val="clear" w:pos="4201"/>
          <w:tab w:val="clear" w:pos="9298"/>
        </w:tabs>
        <w:ind w:left="720" w:hanging="360" w:firstLineChars="0"/>
        <w:rPr>
          <w:rFonts w:ascii="Times New Roman"/>
          <w:szCs w:val="21"/>
          <w14:ligatures w14:val="standardContextual"/>
        </w:rPr>
      </w:pPr>
      <w:r>
        <w:rPr>
          <w:rFonts w:hint="eastAsia"/>
        </w:rPr>
        <w:t>企业应在报告中说明所采用排放因子的来源、适用性及版本信息。</w:t>
      </w:r>
    </w:p>
    <w:p w14:paraId="3537C452">
      <w:pPr>
        <w:pStyle w:val="55"/>
        <w:spacing w:before="156" w:after="156"/>
        <w:ind w:left="0"/>
        <w:rPr>
          <w:rFonts w:ascii="Times New Roman"/>
        </w:rPr>
      </w:pPr>
      <w:bookmarkStart w:id="78" w:name="_Toc17347"/>
      <w:r>
        <w:rPr>
          <w:rFonts w:ascii="Times New Roman"/>
        </w:rPr>
        <w:t>回收与循环材料处理方法</w:t>
      </w:r>
      <w:bookmarkEnd w:id="78"/>
    </w:p>
    <w:p w14:paraId="3537C453">
      <w:pPr>
        <w:pStyle w:val="60"/>
        <w:tabs>
          <w:tab w:val="center" w:pos="4201"/>
          <w:tab w:val="right" w:leader="dot" w:pos="9298"/>
        </w:tabs>
        <w:spacing w:before="156" w:after="156"/>
      </w:pPr>
      <w:r>
        <w:rPr>
          <w:rFonts w:hint="eastAsia"/>
        </w:rPr>
        <w:t>一般要求</w:t>
      </w:r>
    </w:p>
    <w:p w14:paraId="3537C454">
      <w:pPr>
        <w:pStyle w:val="27"/>
        <w:numPr>
          <w:ilvl w:val="0"/>
          <w:numId w:val="21"/>
        </w:numPr>
        <w:rPr>
          <w:rFonts w:ascii="Times New Roman"/>
        </w:rPr>
      </w:pPr>
      <w:r>
        <w:rPr>
          <w:rFonts w:ascii="Times New Roman"/>
        </w:rPr>
        <w:t>回收与循环材料的处理应符合ISO 14067与PACT指南，区分前端回收投入（recycled content）与末端回收利用（end-of-life recycling）</w:t>
      </w:r>
      <w:r>
        <w:rPr>
          <w:rFonts w:hint="eastAsia" w:ascii="Times New Roman"/>
        </w:rPr>
        <w:t>：</w:t>
      </w:r>
    </w:p>
    <w:p w14:paraId="3537C455">
      <w:pPr>
        <w:pStyle w:val="27"/>
        <w:ind w:firstLine="0" w:firstLineChars="0"/>
        <w:rPr>
          <w:rFonts w:ascii="Times New Roman"/>
        </w:rPr>
      </w:pPr>
      <w:r>
        <w:rPr>
          <w:rFonts w:hint="eastAsia" w:ascii="Times New Roman"/>
        </w:rPr>
        <w:t xml:space="preserve">    </w:t>
      </w:r>
      <w:r>
        <w:rPr>
          <w:rFonts w:ascii="Times New Roman"/>
        </w:rPr>
        <w:t xml:space="preserve">— </w:t>
      </w:r>
      <w:r>
        <w:rPr>
          <w:rFonts w:hint="eastAsia" w:ascii="Times New Roman"/>
        </w:rPr>
        <w:t>前端回收投入指产品在生产过程中所使用的再生材料（如再生玻璃、PCR塑料等）。</w:t>
      </w:r>
    </w:p>
    <w:p w14:paraId="3537C456">
      <w:pPr>
        <w:pStyle w:val="27"/>
        <w:rPr>
          <w:rFonts w:ascii="Times New Roman"/>
        </w:rPr>
      </w:pPr>
      <w:r>
        <w:rPr>
          <w:rFonts w:ascii="Times New Roman"/>
        </w:rPr>
        <w:t xml:space="preserve">— </w:t>
      </w:r>
      <w:r>
        <w:rPr>
          <w:rFonts w:hint="eastAsia" w:ascii="Times New Roman"/>
        </w:rPr>
        <w:t>末端回收利用则指产品在使用后的回收和处理过程，涉及市场回收率、减排效益等。</w:t>
      </w:r>
    </w:p>
    <w:p w14:paraId="3537C457">
      <w:pPr>
        <w:pStyle w:val="27"/>
        <w:numPr>
          <w:ilvl w:val="0"/>
          <w:numId w:val="21"/>
        </w:numPr>
        <w:rPr>
          <w:rFonts w:ascii="Times New Roman"/>
        </w:rPr>
      </w:pPr>
      <w:r>
        <w:rPr>
          <w:rFonts w:ascii="Times New Roman"/>
        </w:rPr>
        <w:t>应明确采用的分配方法（如</w:t>
      </w:r>
      <w:r>
        <w:rPr>
          <w:rFonts w:hint="eastAsia" w:ascii="Times New Roman"/>
        </w:rPr>
        <w:t>取舍法</w:t>
      </w:r>
      <w:r>
        <w:rPr>
          <w:rFonts w:ascii="Times New Roman"/>
        </w:rPr>
        <w:t>、替代法、分摊法），并在报告中透明披露</w:t>
      </w:r>
      <w:r>
        <w:rPr>
          <w:rFonts w:hint="eastAsia" w:ascii="Times New Roman"/>
        </w:rPr>
        <w:t>：企业应详细说明如何选择分配方法，并保证所采用的分配方法符合本标准的要求（例如是否采用物理分配、经济分配、系统扩展等）。</w:t>
      </w:r>
    </w:p>
    <w:p w14:paraId="3537C458">
      <w:pPr>
        <w:pStyle w:val="27"/>
        <w:numPr>
          <w:ilvl w:val="0"/>
          <w:numId w:val="21"/>
        </w:numPr>
        <w:rPr>
          <w:rFonts w:ascii="Times New Roman"/>
        </w:rPr>
      </w:pPr>
      <w:r>
        <w:rPr>
          <w:rFonts w:ascii="Times New Roman"/>
        </w:rPr>
        <w:t>包装材料的回收核算应覆盖玻璃、塑料、金属、纸张等主要类别</w:t>
      </w:r>
      <w:r>
        <w:rPr>
          <w:rFonts w:hint="eastAsia" w:ascii="Times New Roman"/>
        </w:rPr>
        <w:t>：这些材料的回收率、回收方法和减排效益应根据具体情况进行核算，确保计算过程的透明性和一致性。</w:t>
      </w:r>
    </w:p>
    <w:p w14:paraId="3537C459">
      <w:pPr>
        <w:pStyle w:val="60"/>
        <w:tabs>
          <w:tab w:val="center" w:pos="4201"/>
          <w:tab w:val="right" w:leader="dot" w:pos="9298"/>
        </w:tabs>
        <w:spacing w:before="156" w:after="156"/>
      </w:pPr>
      <w:r>
        <w:rPr>
          <w:rFonts w:hint="eastAsia"/>
        </w:rPr>
        <w:t>前端回收投入（Recycled Content Approach）</w:t>
      </w:r>
    </w:p>
    <w:p w14:paraId="3537C45A">
      <w:pPr>
        <w:pStyle w:val="27"/>
        <w:numPr>
          <w:ilvl w:val="0"/>
          <w:numId w:val="22"/>
        </w:numPr>
        <w:rPr>
          <w:rFonts w:ascii="Times New Roman"/>
        </w:rPr>
      </w:pPr>
      <w:r>
        <w:rPr>
          <w:rFonts w:ascii="Times New Roman"/>
        </w:rPr>
        <w:t>当产品中使用再生材料（如再生玻璃、PCR塑料、再生纸），应计入产品碳足迹，排放因子应基于再生材料生产过程</w:t>
      </w:r>
      <w:r>
        <w:rPr>
          <w:rFonts w:hint="eastAsia" w:ascii="Times New Roman"/>
        </w:rPr>
        <w:t>：</w:t>
      </w:r>
    </w:p>
    <w:p w14:paraId="3537C45B">
      <w:pPr>
        <w:pStyle w:val="27"/>
        <w:rPr>
          <w:rFonts w:ascii="Times New Roman"/>
        </w:rPr>
      </w:pPr>
      <w:r>
        <w:rPr>
          <w:rFonts w:ascii="Times New Roman"/>
        </w:rPr>
        <w:t>— 企业在使用再生材料时，应计算该材料的碳足迹贡献，并确保排放因子与再生材料的生产过程相匹配。</w:t>
      </w:r>
    </w:p>
    <w:p w14:paraId="3537C45C">
      <w:pPr>
        <w:pStyle w:val="27"/>
        <w:rPr>
          <w:rFonts w:ascii="Times New Roman"/>
        </w:rPr>
      </w:pPr>
      <w:r>
        <w:rPr>
          <w:rFonts w:ascii="Times New Roman"/>
        </w:rPr>
        <w:t>— 重点使用行业内已认证的排放因子，避免采用未经验证的数值。</w:t>
      </w:r>
    </w:p>
    <w:p w14:paraId="3537C45D">
      <w:pPr>
        <w:pStyle w:val="27"/>
        <w:numPr>
          <w:ilvl w:val="0"/>
          <w:numId w:val="22"/>
        </w:numPr>
        <w:rPr>
          <w:rFonts w:ascii="Times New Roman"/>
        </w:rPr>
      </w:pPr>
      <w:r>
        <w:rPr>
          <w:rFonts w:ascii="Times New Roman"/>
        </w:rPr>
        <w:t>应优先采用质量平衡认证数据（如ISCC、GRS），并在报告中注明认证比例</w:t>
      </w:r>
      <w:r>
        <w:rPr>
          <w:rFonts w:hint="eastAsia" w:ascii="Times New Roman"/>
        </w:rPr>
        <w:t>：</w:t>
      </w:r>
    </w:p>
    <w:p w14:paraId="3537C45E">
      <w:pPr>
        <w:pStyle w:val="27"/>
        <w:rPr>
          <w:rFonts w:ascii="Times New Roman"/>
        </w:rPr>
      </w:pPr>
      <w:r>
        <w:rPr>
          <w:rFonts w:ascii="Times New Roman"/>
        </w:rPr>
        <w:t>— 对于使用质量平衡认证体系（如ISCC或GRS认证）的再生材料，企业应注明所使用的再生材料的认证比例。</w:t>
      </w:r>
    </w:p>
    <w:p w14:paraId="3537C45F">
      <w:pPr>
        <w:pStyle w:val="27"/>
        <w:rPr>
          <w:rFonts w:ascii="Times New Roman"/>
        </w:rPr>
      </w:pPr>
      <w:r>
        <w:rPr>
          <w:rFonts w:ascii="Times New Roman"/>
        </w:rPr>
        <w:t>— 确保生物基材料的碳流在生命周期中的核算符合认证要求。</w:t>
      </w:r>
    </w:p>
    <w:p w14:paraId="3537C460">
      <w:pPr>
        <w:pStyle w:val="27"/>
        <w:numPr>
          <w:ilvl w:val="0"/>
          <w:numId w:val="22"/>
        </w:numPr>
        <w:rPr>
          <w:rFonts w:ascii="Times New Roman"/>
        </w:rPr>
      </w:pPr>
      <w:r>
        <w:rPr>
          <w:rFonts w:ascii="Times New Roman"/>
        </w:rPr>
        <w:t>未经认证的再生材料，应使用行业平均排放因子</w:t>
      </w:r>
      <w:r>
        <w:rPr>
          <w:rFonts w:hint="eastAsia" w:ascii="Times New Roman"/>
        </w:rPr>
        <w:t>：</w:t>
      </w:r>
    </w:p>
    <w:p w14:paraId="3537C461">
      <w:pPr>
        <w:pStyle w:val="27"/>
        <w:rPr>
          <w:kern w:val="2"/>
          <w:szCs w:val="21"/>
          <w14:ligatures w14:val="standardContextual"/>
        </w:rPr>
      </w:pPr>
      <w:r>
        <w:rPr>
          <w:rFonts w:ascii="Times New Roman"/>
        </w:rPr>
        <w:t xml:space="preserve">— </w:t>
      </w:r>
      <w:r>
        <w:rPr>
          <w:rFonts w:hint="eastAsia"/>
        </w:rPr>
        <w:t>对于未获得认证的再生材料，企业可使用行业平均排放因子，但应在报告中明确其来源、适用边界及使用理由。</w:t>
      </w:r>
    </w:p>
    <w:p w14:paraId="3537C462">
      <w:pPr>
        <w:pStyle w:val="60"/>
        <w:tabs>
          <w:tab w:val="center" w:pos="4201"/>
          <w:tab w:val="right" w:leader="dot" w:pos="9298"/>
        </w:tabs>
        <w:spacing w:before="156" w:after="156"/>
      </w:pPr>
      <w:r>
        <w:rPr>
          <w:rFonts w:hint="eastAsia"/>
        </w:rPr>
        <w:t>末端回收利用（End-of-Life Recycling Approach）</w:t>
      </w:r>
    </w:p>
    <w:p w14:paraId="3537C463">
      <w:pPr>
        <w:pStyle w:val="27"/>
        <w:numPr>
          <w:ilvl w:val="0"/>
          <w:numId w:val="23"/>
        </w:numPr>
        <w:rPr>
          <w:rFonts w:ascii="Times New Roman"/>
        </w:rPr>
      </w:pPr>
      <w:r>
        <w:rPr>
          <w:rFonts w:ascii="Times New Roman"/>
        </w:rPr>
        <w:t>产品使用后的回收与处理，应依据实际市场回收率分配减排效益</w:t>
      </w:r>
      <w:r>
        <w:rPr>
          <w:rFonts w:hint="eastAsia" w:ascii="Times New Roman"/>
        </w:rPr>
        <w:t>：</w:t>
      </w:r>
    </w:p>
    <w:p w14:paraId="3537C464">
      <w:pPr>
        <w:pStyle w:val="27"/>
        <w:rPr>
          <w:rFonts w:ascii="Times New Roman"/>
        </w:rPr>
      </w:pPr>
      <w:r>
        <w:rPr>
          <w:rFonts w:ascii="Times New Roman"/>
        </w:rPr>
        <w:t>— 产品回收后处理的减排效益应根据市场的实际回收率进行分配。</w:t>
      </w:r>
    </w:p>
    <w:p w14:paraId="3537C465">
      <w:pPr>
        <w:pStyle w:val="27"/>
        <w:rPr>
          <w:rFonts w:ascii="Times New Roman"/>
        </w:rPr>
      </w:pPr>
      <w:r>
        <w:rPr>
          <w:rFonts w:ascii="Times New Roman"/>
        </w:rPr>
        <w:t>— 若某一材料的回收率较低，减排效益则较小，企业应根据回收率数据来计算碳排放减免。</w:t>
      </w:r>
    </w:p>
    <w:p w14:paraId="3537C466">
      <w:pPr>
        <w:pStyle w:val="27"/>
        <w:numPr>
          <w:ilvl w:val="0"/>
          <w:numId w:val="23"/>
        </w:numPr>
        <w:rPr>
          <w:rFonts w:ascii="Times New Roman"/>
        </w:rPr>
      </w:pPr>
      <w:r>
        <w:rPr>
          <w:rFonts w:ascii="Times New Roman"/>
        </w:rPr>
        <w:t>当采用</w:t>
      </w:r>
      <w:r>
        <w:rPr>
          <w:rFonts w:hint="eastAsia" w:ascii="Times New Roman"/>
        </w:rPr>
        <w:t>取舍法（</w:t>
      </w:r>
      <w:r>
        <w:rPr>
          <w:rFonts w:ascii="Times New Roman"/>
        </w:rPr>
        <w:t>cut-off</w:t>
      </w:r>
      <w:r>
        <w:rPr>
          <w:rFonts w:hint="eastAsia" w:ascii="Times New Roman"/>
        </w:rPr>
        <w:t>）</w:t>
      </w:r>
      <w:r>
        <w:rPr>
          <w:rFonts w:ascii="Times New Roman"/>
        </w:rPr>
        <w:t>方法时：</w:t>
      </w:r>
    </w:p>
    <w:p w14:paraId="3537C467">
      <w:pPr>
        <w:pStyle w:val="27"/>
        <w:rPr>
          <w:rFonts w:ascii="Times New Roman"/>
        </w:rPr>
      </w:pPr>
      <w:r>
        <w:rPr>
          <w:rFonts w:ascii="Times New Roman"/>
        </w:rPr>
        <w:t>— 再生材料的环境负荷不计入原产品，而由下一生命周期承担；即如果产品回收材料用于生产下一代产品，企业不再将回收负荷计入当前产品碳足迹，而是由下一生命周期的产品承担。</w:t>
      </w:r>
    </w:p>
    <w:p w14:paraId="3537C468">
      <w:pPr>
        <w:pStyle w:val="27"/>
        <w:rPr>
          <w:rFonts w:ascii="Times New Roman"/>
        </w:rPr>
      </w:pPr>
      <w:r>
        <w:rPr>
          <w:rFonts w:ascii="Times New Roman"/>
        </w:rPr>
        <w:t>— 废弃物处理（焚烧、填埋）排放全部计入本生命周期</w:t>
      </w:r>
      <w:r>
        <w:rPr>
          <w:rFonts w:hint="eastAsia" w:ascii="Times New Roman"/>
        </w:rPr>
        <w:t>：</w:t>
      </w:r>
      <w:r>
        <w:rPr>
          <w:rFonts w:ascii="Times New Roman"/>
        </w:rPr>
        <w:t>产品废弃后的焚烧或填埋产生的碳排放应在本生命周期内核算，避免重复计算。</w:t>
      </w:r>
    </w:p>
    <w:p w14:paraId="3537C469">
      <w:pPr>
        <w:pStyle w:val="27"/>
        <w:numPr>
          <w:ilvl w:val="0"/>
          <w:numId w:val="23"/>
        </w:numPr>
        <w:rPr>
          <w:rFonts w:ascii="Times New Roman"/>
        </w:rPr>
      </w:pPr>
      <w:r>
        <w:rPr>
          <w:rFonts w:ascii="Times New Roman"/>
        </w:rPr>
        <w:t>当采用替代法（substitution）时：</w:t>
      </w:r>
    </w:p>
    <w:p w14:paraId="3537C46A">
      <w:pPr>
        <w:pStyle w:val="27"/>
        <w:rPr>
          <w:rFonts w:ascii="Times New Roman"/>
        </w:rPr>
      </w:pPr>
      <w:r>
        <w:rPr>
          <w:rFonts w:ascii="Times New Roman"/>
        </w:rPr>
        <w:t>— 回收材料可视为替代等量原生材料，核算减排效益；</w:t>
      </w:r>
    </w:p>
    <w:p w14:paraId="3537C46B">
      <w:pPr>
        <w:pStyle w:val="27"/>
        <w:rPr>
          <w:rFonts w:ascii="Times New Roman"/>
        </w:rPr>
      </w:pPr>
      <w:r>
        <w:rPr>
          <w:rFonts w:ascii="Times New Roman"/>
        </w:rPr>
        <w:t>— 应使用权威数据库确定替代因子，并在报告中说明。采用替代因子时，应参考权威数据库（如Ecoinvent、GaBi、Agri-footprint等），并在报告中透明披露使用的因子。</w:t>
      </w:r>
    </w:p>
    <w:p w14:paraId="3537C46C">
      <w:pPr>
        <w:pStyle w:val="60"/>
        <w:tabs>
          <w:tab w:val="center" w:pos="4201"/>
          <w:tab w:val="right" w:leader="dot" w:pos="9298"/>
        </w:tabs>
        <w:spacing w:before="156" w:after="156"/>
      </w:pPr>
      <w:r>
        <w:rPr>
          <w:rFonts w:hint="eastAsia"/>
        </w:rPr>
        <w:t>材料类别指导</w:t>
      </w:r>
    </w:p>
    <w:p w14:paraId="3537C46D">
      <w:pPr>
        <w:pStyle w:val="27"/>
        <w:numPr>
          <w:ilvl w:val="0"/>
          <w:numId w:val="24"/>
        </w:numPr>
        <w:rPr>
          <w:rFonts w:ascii="Times New Roman"/>
        </w:rPr>
      </w:pPr>
      <w:r>
        <w:rPr>
          <w:rFonts w:ascii="Times New Roman"/>
        </w:rPr>
        <w:t>玻璃：</w:t>
      </w:r>
    </w:p>
    <w:p w14:paraId="3537C46E">
      <w:pPr>
        <w:pStyle w:val="27"/>
        <w:rPr>
          <w:rFonts w:ascii="Times New Roman"/>
        </w:rPr>
      </w:pPr>
      <w:r>
        <w:rPr>
          <w:rFonts w:ascii="Times New Roman"/>
        </w:rPr>
        <w:t>— 高回收率地区（如欧盟、中国一线城市），应采用市场回收率分配；</w:t>
      </w:r>
    </w:p>
    <w:p w14:paraId="3537C46F">
      <w:pPr>
        <w:pStyle w:val="27"/>
        <w:rPr>
          <w:rFonts w:ascii="Times New Roman"/>
        </w:rPr>
      </w:pPr>
      <w:r>
        <w:rPr>
          <w:rFonts w:ascii="Times New Roman"/>
        </w:rPr>
        <w:t>— 当产品使用的再生玻璃比例超过30%时，企业应在报告中单独披露，确保透明度。</w:t>
      </w:r>
    </w:p>
    <w:p w14:paraId="3537C470">
      <w:pPr>
        <w:pStyle w:val="27"/>
        <w:numPr>
          <w:ilvl w:val="0"/>
          <w:numId w:val="24"/>
        </w:numPr>
        <w:rPr>
          <w:rFonts w:ascii="Times New Roman"/>
        </w:rPr>
      </w:pPr>
      <w:r>
        <w:rPr>
          <w:rFonts w:ascii="Times New Roman"/>
        </w:rPr>
        <w:t>塑料（PET、PE、PP 等）：</w:t>
      </w:r>
    </w:p>
    <w:p w14:paraId="3537C471">
      <w:pPr>
        <w:pStyle w:val="27"/>
        <w:rPr>
          <w:rFonts w:ascii="Times New Roman"/>
        </w:rPr>
      </w:pPr>
      <w:r>
        <w:rPr>
          <w:rFonts w:ascii="Times New Roman"/>
        </w:rPr>
        <w:t>— 优先采用PCR塑料的认证数据；</w:t>
      </w:r>
    </w:p>
    <w:p w14:paraId="3537C472">
      <w:pPr>
        <w:pStyle w:val="27"/>
        <w:rPr>
          <w:rFonts w:ascii="Times New Roman"/>
        </w:rPr>
      </w:pPr>
      <w:r>
        <w:rPr>
          <w:rFonts w:ascii="Times New Roman"/>
        </w:rPr>
        <w:t>— 若无本地化数据，可参考 Ecoinvent、GaBi、Agri-footprint因子；</w:t>
      </w:r>
    </w:p>
    <w:p w14:paraId="3537C473">
      <w:pPr>
        <w:pStyle w:val="27"/>
        <w:rPr>
          <w:rFonts w:ascii="Times New Roman"/>
        </w:rPr>
      </w:pPr>
      <w:r>
        <w:rPr>
          <w:rFonts w:ascii="Times New Roman"/>
        </w:rPr>
        <w:t>— 应避免重复计算再生环节的减排效益。</w:t>
      </w:r>
    </w:p>
    <w:p w14:paraId="3537C474">
      <w:pPr>
        <w:pStyle w:val="27"/>
        <w:numPr>
          <w:ilvl w:val="0"/>
          <w:numId w:val="24"/>
        </w:numPr>
        <w:rPr>
          <w:rFonts w:ascii="Times New Roman"/>
        </w:rPr>
      </w:pPr>
      <w:r>
        <w:rPr>
          <w:rFonts w:ascii="Times New Roman"/>
        </w:rPr>
        <w:t>金属（铝、铁）：</w:t>
      </w:r>
    </w:p>
    <w:p w14:paraId="3537C475">
      <w:pPr>
        <w:pStyle w:val="27"/>
        <w:rPr>
          <w:rFonts w:ascii="Times New Roman"/>
        </w:rPr>
      </w:pPr>
      <w:r>
        <w:rPr>
          <w:rFonts w:ascii="Times New Roman"/>
        </w:rPr>
        <w:t>— 再生铝、钢的排放因子显著低于原生，应单独披露比例；</w:t>
      </w:r>
    </w:p>
    <w:p w14:paraId="3537C476">
      <w:pPr>
        <w:pStyle w:val="27"/>
        <w:rPr>
          <w:rFonts w:ascii="Times New Roman"/>
        </w:rPr>
      </w:pPr>
      <w:r>
        <w:rPr>
          <w:rFonts w:ascii="Times New Roman"/>
        </w:rPr>
        <w:t>— 应结合实际回收体系进行核算。</w:t>
      </w:r>
    </w:p>
    <w:p w14:paraId="3537C477">
      <w:pPr>
        <w:pStyle w:val="27"/>
        <w:numPr>
          <w:ilvl w:val="0"/>
          <w:numId w:val="24"/>
        </w:numPr>
        <w:rPr>
          <w:rFonts w:ascii="Times New Roman"/>
        </w:rPr>
      </w:pPr>
      <w:r>
        <w:rPr>
          <w:rFonts w:ascii="Times New Roman"/>
        </w:rPr>
        <w:t>纸张/纸盒：</w:t>
      </w:r>
    </w:p>
    <w:p w14:paraId="3537C478">
      <w:pPr>
        <w:pStyle w:val="27"/>
        <w:rPr>
          <w:rFonts w:ascii="Times New Roman"/>
        </w:rPr>
      </w:pPr>
      <w:r>
        <w:rPr>
          <w:rFonts w:ascii="Times New Roman"/>
        </w:rPr>
        <w:t>— 再生纸应区分脱墨处理和原浆比例</w:t>
      </w:r>
      <w:r>
        <w:rPr>
          <w:rFonts w:hint="eastAsia" w:ascii="Times New Roman"/>
        </w:rPr>
        <w:t>，分别进行碳排放核算</w:t>
      </w:r>
      <w:r>
        <w:rPr>
          <w:rFonts w:ascii="Times New Roman"/>
        </w:rPr>
        <w:t>；</w:t>
      </w:r>
    </w:p>
    <w:p w14:paraId="3537C479">
      <w:pPr>
        <w:pStyle w:val="27"/>
        <w:rPr>
          <w:rFonts w:ascii="Times New Roman"/>
        </w:rPr>
      </w:pPr>
      <w:r>
        <w:rPr>
          <w:rFonts w:ascii="Times New Roman"/>
        </w:rPr>
        <w:t>— 应根据中国市场平均回收率调整计算。针对中国市场的回收率，企业应调整计算方法，确保符合实际回收率数据。</w:t>
      </w:r>
    </w:p>
    <w:p w14:paraId="3537C47A">
      <w:pPr>
        <w:pStyle w:val="60"/>
        <w:tabs>
          <w:tab w:val="center" w:pos="4201"/>
          <w:tab w:val="right" w:leader="dot" w:pos="9298"/>
        </w:tabs>
        <w:spacing w:before="156" w:after="156"/>
      </w:pPr>
      <w:r>
        <w:rPr>
          <w:rFonts w:hint="eastAsia"/>
        </w:rPr>
        <w:t>行业应用指导</w:t>
      </w:r>
    </w:p>
    <w:p w14:paraId="3537C47B">
      <w:pPr>
        <w:pStyle w:val="27"/>
        <w:numPr>
          <w:ilvl w:val="0"/>
          <w:numId w:val="25"/>
        </w:numPr>
        <w:rPr>
          <w:rFonts w:ascii="Times New Roman"/>
        </w:rPr>
      </w:pPr>
      <w:r>
        <w:rPr>
          <w:rFonts w:ascii="Times New Roman"/>
        </w:rPr>
        <w:t>香料类企业：</w:t>
      </w:r>
    </w:p>
    <w:p w14:paraId="3537C47C">
      <w:pPr>
        <w:pStyle w:val="27"/>
        <w:rPr>
          <w:rFonts w:ascii="Times New Roman"/>
        </w:rPr>
      </w:pPr>
      <w:r>
        <w:rPr>
          <w:rFonts w:ascii="Times New Roman"/>
        </w:rPr>
        <w:t>— 主要涉及散装原料运输包装（铁桶、纸箱），应核算回收利用率；企业应核算和报告散装原料包装材料的回收率，确保对材料的使用和回收有清晰的认知。</w:t>
      </w:r>
    </w:p>
    <w:p w14:paraId="3537C47D">
      <w:pPr>
        <w:pStyle w:val="27"/>
        <w:rPr>
          <w:rFonts w:ascii="Times New Roman"/>
        </w:rPr>
      </w:pPr>
      <w:r>
        <w:rPr>
          <w:rFonts w:ascii="Times New Roman"/>
        </w:rPr>
        <w:t>— 对玻璃瓶样品，应披露可回收性与回收率假设</w:t>
      </w:r>
      <w:r>
        <w:rPr>
          <w:rFonts w:hint="eastAsia" w:ascii="Times New Roman"/>
        </w:rPr>
        <w:t>，以便透明报告</w:t>
      </w:r>
      <w:r>
        <w:rPr>
          <w:rFonts w:ascii="Times New Roman"/>
        </w:rPr>
        <w:t>。</w:t>
      </w:r>
    </w:p>
    <w:p w14:paraId="3537C47E">
      <w:pPr>
        <w:pStyle w:val="27"/>
        <w:numPr>
          <w:ilvl w:val="0"/>
          <w:numId w:val="25"/>
        </w:numPr>
        <w:rPr>
          <w:rFonts w:ascii="Times New Roman"/>
        </w:rPr>
      </w:pPr>
      <w:r>
        <w:rPr>
          <w:rFonts w:ascii="Times New Roman"/>
        </w:rPr>
        <w:t>香精类企业：</w:t>
      </w:r>
    </w:p>
    <w:p w14:paraId="3537C47F">
      <w:pPr>
        <w:pStyle w:val="27"/>
        <w:rPr>
          <w:rFonts w:ascii="Times New Roman"/>
        </w:rPr>
      </w:pPr>
      <w:r>
        <w:rPr>
          <w:rFonts w:ascii="Times New Roman"/>
        </w:rPr>
        <w:t>— 大量使用酒精及液体溶剂包装，应重点核算玻璃瓶、金属桶的回收处理</w:t>
      </w:r>
      <w:r>
        <w:rPr>
          <w:rFonts w:hint="eastAsia" w:ascii="Times New Roman"/>
        </w:rPr>
        <w:t>，并确保符合相关核算标准</w:t>
      </w:r>
      <w:r>
        <w:rPr>
          <w:rFonts w:ascii="Times New Roman"/>
        </w:rPr>
        <w:t>；</w:t>
      </w:r>
    </w:p>
    <w:p w14:paraId="3537C480">
      <w:pPr>
        <w:pStyle w:val="27"/>
        <w:rPr>
          <w:rFonts w:ascii="Times New Roman"/>
        </w:rPr>
      </w:pPr>
      <w:r>
        <w:rPr>
          <w:rFonts w:ascii="Times New Roman"/>
        </w:rPr>
        <w:t>— 对不可回收的复合包装，应全部计入废弃物处理环节。</w:t>
      </w:r>
    </w:p>
    <w:p w14:paraId="3537C481">
      <w:pPr>
        <w:pStyle w:val="27"/>
        <w:numPr>
          <w:ilvl w:val="0"/>
          <w:numId w:val="25"/>
        </w:numPr>
        <w:rPr>
          <w:rFonts w:ascii="Times New Roman"/>
        </w:rPr>
      </w:pPr>
      <w:r>
        <w:rPr>
          <w:rFonts w:ascii="Times New Roman"/>
        </w:rPr>
        <w:t>化妆品类企业：</w:t>
      </w:r>
    </w:p>
    <w:p w14:paraId="3537C482">
      <w:pPr>
        <w:pStyle w:val="27"/>
        <w:rPr>
          <w:rFonts w:ascii="Times New Roman"/>
        </w:rPr>
      </w:pPr>
      <w:r>
        <w:rPr>
          <w:rFonts w:ascii="Times New Roman"/>
        </w:rPr>
        <w:t>— 应对产品外包装（玻璃瓶、塑料瓶、金属盖、纸盒）进行分类核算</w:t>
      </w:r>
      <w:r>
        <w:rPr>
          <w:rFonts w:hint="eastAsia" w:ascii="Times New Roman"/>
        </w:rPr>
        <w:t>，确保每种材料的回收与碳排放核算清晰</w:t>
      </w:r>
      <w:r>
        <w:rPr>
          <w:rFonts w:ascii="Times New Roman"/>
        </w:rPr>
        <w:t>；</w:t>
      </w:r>
    </w:p>
    <w:p w14:paraId="3537C483">
      <w:pPr>
        <w:pStyle w:val="27"/>
        <w:rPr>
          <w:rFonts w:ascii="Times New Roman"/>
        </w:rPr>
      </w:pPr>
      <w:r>
        <w:rPr>
          <w:rFonts w:ascii="Times New Roman"/>
        </w:rPr>
        <w:t>— 高端香水瓶、彩妆盒等复合包装，应区分可拆解部分与不可回收部分进行核算；</w:t>
      </w:r>
    </w:p>
    <w:p w14:paraId="3537C484">
      <w:pPr>
        <w:pStyle w:val="27"/>
        <w:rPr>
          <w:rFonts w:ascii="Times New Roman"/>
        </w:rPr>
      </w:pPr>
      <w:r>
        <w:rPr>
          <w:rFonts w:ascii="Times New Roman"/>
        </w:rPr>
        <w:t>— 若采用可回收设计，应在核算边界中说明假设与比例。</w:t>
      </w:r>
    </w:p>
    <w:p w14:paraId="3537C485">
      <w:pPr>
        <w:pStyle w:val="60"/>
        <w:tabs>
          <w:tab w:val="center" w:pos="4201"/>
          <w:tab w:val="right" w:leader="dot" w:pos="9298"/>
        </w:tabs>
        <w:spacing w:before="156" w:after="156"/>
      </w:pPr>
      <w:r>
        <w:rPr>
          <w:rFonts w:hint="eastAsia"/>
        </w:rPr>
        <w:t>注意事项</w:t>
      </w:r>
    </w:p>
    <w:p w14:paraId="3537C486">
      <w:pPr>
        <w:pStyle w:val="27"/>
        <w:numPr>
          <w:ilvl w:val="0"/>
          <w:numId w:val="26"/>
        </w:numPr>
        <w:rPr>
          <w:rFonts w:ascii="Times New Roman"/>
        </w:rPr>
      </w:pPr>
      <w:r>
        <w:rPr>
          <w:rFonts w:ascii="Times New Roman"/>
        </w:rPr>
        <w:t>回收分配方法（</w:t>
      </w:r>
      <w:r>
        <w:rPr>
          <w:rFonts w:hint="eastAsia" w:ascii="Times New Roman"/>
        </w:rPr>
        <w:t>取舍法</w:t>
      </w:r>
      <w:r>
        <w:rPr>
          <w:rFonts w:ascii="Times New Roman"/>
        </w:rPr>
        <w:t>或替代法）必须在报告中明确说明，避免重复计算；企业在报告中需要明确说明采用的回收分配方法，避免对同一项回收行为重复计算减排效益。</w:t>
      </w:r>
    </w:p>
    <w:p w14:paraId="3537C487">
      <w:pPr>
        <w:pStyle w:val="27"/>
        <w:numPr>
          <w:ilvl w:val="0"/>
          <w:numId w:val="26"/>
        </w:numPr>
        <w:rPr>
          <w:rFonts w:ascii="Times New Roman"/>
        </w:rPr>
      </w:pPr>
      <w:r>
        <w:rPr>
          <w:rFonts w:ascii="Times New Roman"/>
        </w:rPr>
        <w:t>当企业采用循环经济方案（如再填充、逆向物流回收），应单独披露并说明核算规则与假设，确保透明度。</w:t>
      </w:r>
    </w:p>
    <w:p w14:paraId="3537C488">
      <w:pPr>
        <w:pStyle w:val="54"/>
        <w:spacing w:before="312" w:after="312"/>
        <w:outlineLvl w:val="0"/>
        <w:rPr>
          <w:rFonts w:ascii="Times New Roman"/>
        </w:rPr>
      </w:pPr>
      <w:bookmarkStart w:id="79" w:name="_Toc17394"/>
      <w:r>
        <w:rPr>
          <w:rFonts w:hint="eastAsia" w:ascii="Times New Roman"/>
        </w:rPr>
        <w:t>产品碳足迹报告</w:t>
      </w:r>
      <w:bookmarkEnd w:id="79"/>
    </w:p>
    <w:p w14:paraId="3537C489">
      <w:pPr>
        <w:keepNext/>
        <w:numPr>
          <w:ilvl w:val="255"/>
          <w:numId w:val="0"/>
        </w:numPr>
        <w:tabs>
          <w:tab w:val="center" w:pos="4201"/>
          <w:tab w:val="right" w:leader="dot" w:pos="9298"/>
        </w:tabs>
        <w:spacing w:before="156" w:beforeLines="50" w:after="156" w:afterLines="50"/>
        <w:outlineLvl w:val="2"/>
        <w:rPr>
          <w:rFonts w:eastAsia="黑体"/>
          <w:szCs w:val="21"/>
        </w:rPr>
      </w:pPr>
      <w:bookmarkStart w:id="80" w:name="_Toc9619"/>
      <w:r>
        <w:rPr>
          <w:rFonts w:eastAsia="黑体"/>
          <w:szCs w:val="21"/>
        </w:rPr>
        <w:t>6.1 报告内容</w:t>
      </w:r>
    </w:p>
    <w:p w14:paraId="3537C48A">
      <w:pPr>
        <w:keepNext/>
        <w:numPr>
          <w:ilvl w:val="255"/>
          <w:numId w:val="0"/>
        </w:numPr>
        <w:tabs>
          <w:tab w:val="center" w:pos="4201"/>
          <w:tab w:val="right" w:leader="dot" w:pos="9298"/>
        </w:tabs>
        <w:spacing w:before="156" w:beforeLines="50" w:after="156" w:afterLines="50"/>
        <w:outlineLvl w:val="3"/>
        <w:rPr>
          <w:rFonts w:eastAsia="黑体"/>
          <w:szCs w:val="21"/>
        </w:rPr>
      </w:pPr>
      <w:r>
        <w:rPr>
          <w:rFonts w:hint="eastAsia" w:eastAsia="黑体"/>
          <w:szCs w:val="21"/>
        </w:rPr>
        <w:t>6.1.1 一般要求</w:t>
      </w:r>
    </w:p>
    <w:p w14:paraId="3537C48B">
      <w:pPr>
        <w:numPr>
          <w:ilvl w:val="255"/>
          <w:numId w:val="0"/>
        </w:numPr>
        <w:tabs>
          <w:tab w:val="center" w:pos="4201"/>
          <w:tab w:val="right" w:leader="dot" w:pos="9298"/>
        </w:tabs>
        <w:ind w:firstLine="420" w:firstLineChars="200"/>
      </w:pPr>
      <w:r>
        <w:t>产品碳足迹评价结果和结论应完整、准确、无偏向性。应透明、详细地阐述评价结果、数据、方法、假设与局限性，确保利益相关方能理解产品碳足迹核算逻辑，并做出合理判断。报告内容应与评价目标保持一致。</w:t>
      </w:r>
    </w:p>
    <w:p w14:paraId="3537C48C">
      <w:pPr>
        <w:keepNext/>
        <w:numPr>
          <w:ilvl w:val="255"/>
          <w:numId w:val="0"/>
        </w:numPr>
        <w:tabs>
          <w:tab w:val="center" w:pos="4201"/>
          <w:tab w:val="right" w:leader="dot" w:pos="9298"/>
        </w:tabs>
        <w:spacing w:before="156" w:beforeLines="50" w:after="156" w:afterLines="50"/>
        <w:outlineLvl w:val="3"/>
        <w:rPr>
          <w:rFonts w:eastAsia="黑体"/>
          <w:szCs w:val="21"/>
        </w:rPr>
      </w:pPr>
      <w:r>
        <w:rPr>
          <w:rFonts w:hint="eastAsia" w:eastAsia="黑体"/>
          <w:szCs w:val="21"/>
        </w:rPr>
        <w:t>6.1.2 报告内容</w:t>
      </w:r>
    </w:p>
    <w:p w14:paraId="3537C48D">
      <w:pPr>
        <w:numPr>
          <w:ilvl w:val="255"/>
          <w:numId w:val="0"/>
        </w:numPr>
        <w:tabs>
          <w:tab w:val="center" w:pos="4201"/>
          <w:tab w:val="right" w:leader="dot" w:pos="9298"/>
        </w:tabs>
        <w:ind w:firstLine="420" w:firstLineChars="200"/>
      </w:pPr>
      <w:r>
        <w:t>产品碳足迹报告应完整记录碳足迹量化结果，陈述目标与范围界定阶段的关键决策，并证明核算过程符合本文件要求。报告应包括但不限于：</w:t>
      </w:r>
    </w:p>
    <w:p w14:paraId="3537C48E">
      <w:pPr>
        <w:numPr>
          <w:ilvl w:val="255"/>
          <w:numId w:val="0"/>
        </w:numPr>
        <w:tabs>
          <w:tab w:val="center" w:pos="4201"/>
          <w:tab w:val="right" w:leader="dot" w:pos="9298"/>
        </w:tabs>
        <w:ind w:firstLine="420" w:firstLineChars="200"/>
      </w:pPr>
      <w:r>
        <w:rPr>
          <w:rFonts w:hint="eastAsia"/>
        </w:rPr>
        <w:t>-</w:t>
      </w:r>
      <w:r>
        <w:t>企业与产品基本情况</w:t>
      </w:r>
    </w:p>
    <w:p w14:paraId="3537C48F">
      <w:pPr>
        <w:numPr>
          <w:ilvl w:val="255"/>
          <w:numId w:val="0"/>
        </w:numPr>
        <w:tabs>
          <w:tab w:val="center" w:pos="4201"/>
          <w:tab w:val="right" w:leader="dot" w:pos="9298"/>
        </w:tabs>
        <w:ind w:firstLine="420" w:firstLineChars="200"/>
      </w:pPr>
      <w:r>
        <w:rPr>
          <w:rFonts w:hint="eastAsia"/>
        </w:rPr>
        <w:t>-</w:t>
      </w:r>
      <w:r>
        <w:t>评价目标</w:t>
      </w:r>
    </w:p>
    <w:p w14:paraId="3537C490">
      <w:pPr>
        <w:numPr>
          <w:ilvl w:val="255"/>
          <w:numId w:val="0"/>
        </w:numPr>
        <w:tabs>
          <w:tab w:val="center" w:pos="4201"/>
          <w:tab w:val="right" w:leader="dot" w:pos="9298"/>
        </w:tabs>
        <w:ind w:firstLine="420" w:firstLineChars="200"/>
      </w:pPr>
      <w:r>
        <w:rPr>
          <w:rFonts w:hint="eastAsia"/>
        </w:rPr>
        <w:t>-</w:t>
      </w:r>
      <w:r>
        <w:t>评价范围（功能单位、系统边界、取舍原则）</w:t>
      </w:r>
    </w:p>
    <w:p w14:paraId="3537C491">
      <w:pPr>
        <w:numPr>
          <w:ilvl w:val="255"/>
          <w:numId w:val="0"/>
        </w:numPr>
        <w:tabs>
          <w:tab w:val="center" w:pos="4201"/>
          <w:tab w:val="right" w:leader="dot" w:pos="9298"/>
        </w:tabs>
        <w:ind w:firstLine="420" w:firstLineChars="200"/>
      </w:pPr>
      <w:r>
        <w:rPr>
          <w:rFonts w:hint="eastAsia"/>
        </w:rPr>
        <w:t>-</w:t>
      </w:r>
      <w:r>
        <w:t>生命周期清单分析</w:t>
      </w:r>
    </w:p>
    <w:p w14:paraId="3537C492">
      <w:pPr>
        <w:numPr>
          <w:ilvl w:val="255"/>
          <w:numId w:val="0"/>
        </w:numPr>
        <w:tabs>
          <w:tab w:val="center" w:pos="4201"/>
          <w:tab w:val="right" w:leader="dot" w:pos="9298"/>
        </w:tabs>
        <w:ind w:firstLine="420" w:firstLineChars="200"/>
      </w:pPr>
      <w:r>
        <w:rPr>
          <w:rFonts w:hint="eastAsia"/>
        </w:rPr>
        <w:t>-</w:t>
      </w:r>
      <w:r>
        <w:t>碳足迹影响评价</w:t>
      </w:r>
    </w:p>
    <w:p w14:paraId="3537C493">
      <w:pPr>
        <w:ind w:firstLine="420" w:firstLineChars="200"/>
        <w:rPr>
          <w:szCs w:val="21"/>
          <w14:ligatures w14:val="standardContextual"/>
        </w:rPr>
      </w:pPr>
      <w:r>
        <w:t>-</w:t>
      </w:r>
      <w:r>
        <w:rPr>
          <w:rFonts w:hint="eastAsia" w:ascii="宋体" w:hAnsi="宋体"/>
        </w:rPr>
        <w:t>结果解释，以及必要时的敏感性分析</w:t>
      </w:r>
    </w:p>
    <w:p w14:paraId="3537C494">
      <w:pPr>
        <w:numPr>
          <w:ilvl w:val="255"/>
          <w:numId w:val="0"/>
        </w:numPr>
        <w:tabs>
          <w:tab w:val="center" w:pos="4201"/>
          <w:tab w:val="right" w:leader="dot" w:pos="9298"/>
        </w:tabs>
        <w:ind w:firstLine="420" w:firstLineChars="200"/>
      </w:pPr>
      <w:r>
        <w:rPr>
          <w:rFonts w:hint="eastAsia"/>
        </w:rPr>
        <w:t>-</w:t>
      </w:r>
      <w:r>
        <w:t>数据质量评价</w:t>
      </w:r>
    </w:p>
    <w:p w14:paraId="3537C495">
      <w:pPr>
        <w:numPr>
          <w:ilvl w:val="255"/>
          <w:numId w:val="0"/>
        </w:numPr>
        <w:tabs>
          <w:tab w:val="center" w:pos="4201"/>
          <w:tab w:val="right" w:leader="dot" w:pos="9298"/>
        </w:tabs>
        <w:ind w:firstLine="420" w:firstLineChars="200"/>
      </w:pPr>
      <w:r>
        <w:rPr>
          <w:rFonts w:hint="eastAsia"/>
        </w:rPr>
        <w:t>-</w:t>
      </w:r>
      <w:r>
        <w:t>分配方法说明</w:t>
      </w:r>
    </w:p>
    <w:p w14:paraId="43159659">
      <w:pPr>
        <w:pStyle w:val="175"/>
        <w:ind w:firstLine="420"/>
        <w:rPr>
          <w:rFonts w:hint="eastAsia" w:ascii="宋体" w:hAnsi="宋体" w:eastAsia="宋体" w:cs="宋体"/>
          <w:kern w:val="2"/>
          <w:sz w:val="21"/>
          <w:szCs w:val="21"/>
          <w:lang w:val="en-US" w:eastAsia="zh-CN" w:bidi="ar-SA"/>
          <w14:ligatures w14:val="none"/>
        </w:rPr>
      </w:pPr>
      <w:r>
        <w:rPr>
          <w:rFonts w:hint="eastAsia" w:ascii="宋体" w:hAnsi="宋体" w:eastAsia="宋体" w:cs="宋体"/>
          <w:kern w:val="2"/>
          <w:sz w:val="21"/>
          <w:szCs w:val="21"/>
          <w:lang w:val="en-US" w:eastAsia="zh-CN" w:bidi="ar-SA"/>
          <w14:ligatures w14:val="none"/>
        </w:rPr>
        <w:t>-碳足迹核算所采用的方法文件名称、版本或发布日期，必要时说明其适用范围和与本文件的一致性，以便确认不同报告之间的可比性。</w:t>
      </w:r>
    </w:p>
    <w:p w14:paraId="3537C496">
      <w:pPr>
        <w:ind w:firstLine="420" w:firstLineChars="200"/>
        <w:rPr>
          <w:szCs w:val="21"/>
          <w14:ligatures w14:val="standardContextual"/>
        </w:rPr>
      </w:pPr>
      <w:r>
        <w:t>-</w:t>
      </w:r>
      <w:r>
        <w:rPr>
          <w:rFonts w:hint="eastAsia" w:ascii="宋体" w:hAnsi="宋体"/>
        </w:rPr>
        <w:t>取舍环节及其大致影响披露</w:t>
      </w:r>
    </w:p>
    <w:p w14:paraId="3537C497">
      <w:pPr>
        <w:numPr>
          <w:ilvl w:val="255"/>
          <w:numId w:val="0"/>
        </w:numPr>
        <w:tabs>
          <w:tab w:val="center" w:pos="4201"/>
          <w:tab w:val="right" w:leader="dot" w:pos="9298"/>
        </w:tabs>
        <w:ind w:firstLine="420" w:firstLineChars="200"/>
      </w:pPr>
      <w:r>
        <w:t>注：报告模板参见附录 A。</w:t>
      </w:r>
    </w:p>
    <w:p w14:paraId="3537C498">
      <w:pPr>
        <w:keepNext/>
        <w:numPr>
          <w:ilvl w:val="255"/>
          <w:numId w:val="0"/>
        </w:numPr>
        <w:tabs>
          <w:tab w:val="center" w:pos="4201"/>
          <w:tab w:val="right" w:leader="dot" w:pos="9298"/>
        </w:tabs>
        <w:spacing w:before="156" w:beforeLines="50" w:after="156" w:afterLines="50"/>
        <w:outlineLvl w:val="3"/>
        <w:rPr>
          <w:rFonts w:eastAsia="黑体"/>
          <w:szCs w:val="21"/>
        </w:rPr>
      </w:pPr>
      <w:r>
        <w:rPr>
          <w:rFonts w:hint="eastAsia" w:eastAsia="黑体"/>
          <w:szCs w:val="21"/>
        </w:rPr>
        <w:t>6.1.3 评价结果有效期</w:t>
      </w:r>
    </w:p>
    <w:p w14:paraId="3537C499">
      <w:pPr>
        <w:numPr>
          <w:ilvl w:val="255"/>
          <w:numId w:val="0"/>
        </w:numPr>
        <w:tabs>
          <w:tab w:val="center" w:pos="4201"/>
          <w:tab w:val="right" w:leader="dot" w:pos="9298"/>
        </w:tabs>
        <w:ind w:firstLine="420" w:firstLineChars="200"/>
      </w:pPr>
      <w:r>
        <w:t>产品碳足迹评价结果有效期一般不超过</w:t>
      </w:r>
      <w:r>
        <w:rPr>
          <w:rFonts w:hint="eastAsia"/>
        </w:rPr>
        <w:t>三</w:t>
      </w:r>
      <w:r>
        <w:t>年。</w:t>
      </w:r>
    </w:p>
    <w:p w14:paraId="3537C49A">
      <w:pPr>
        <w:numPr>
          <w:ilvl w:val="255"/>
          <w:numId w:val="0"/>
        </w:numPr>
        <w:tabs>
          <w:tab w:val="center" w:pos="4201"/>
          <w:tab w:val="right" w:leader="dot" w:pos="9298"/>
        </w:tabs>
        <w:ind w:firstLine="420" w:firstLineChars="200"/>
      </w:pPr>
      <w:r>
        <w:t>出现以下情形时原评价结果失效，应重新开展碳足迹评价：</w:t>
      </w:r>
    </w:p>
    <w:p w14:paraId="175683D9">
      <w:pPr>
        <w:pStyle w:val="175"/>
        <w:ind w:firstLine="420"/>
        <w:rPr>
          <w:rFonts w:hint="eastAsia" w:ascii="宋体" w:hAnsi="宋体" w:eastAsia="宋体" w:cs="宋体"/>
          <w:kern w:val="2"/>
          <w:sz w:val="21"/>
          <w:szCs w:val="21"/>
          <w:lang w:val="en-US" w:eastAsia="zh-CN" w:bidi="ar-SA"/>
          <w14:ligatures w14:val="none"/>
        </w:rPr>
      </w:pPr>
      <w:r>
        <w:rPr>
          <w:rFonts w:hint="eastAsia" w:ascii="宋体" w:hAnsi="宋体" w:eastAsia="宋体" w:cs="宋体"/>
          <w:kern w:val="2"/>
          <w:sz w:val="21"/>
          <w:szCs w:val="21"/>
          <w:lang w:val="en-US" w:eastAsia="zh-CN" w:bidi="ar-SA"/>
          <w14:ligatures w14:val="none"/>
        </w:rPr>
        <w:t>a) 非计划变更导致产品碳足迹结果变化10%以上，且持续超过三个月；</w:t>
      </w:r>
    </w:p>
    <w:p w14:paraId="412EA6BE">
      <w:pPr>
        <w:pStyle w:val="175"/>
        <w:ind w:firstLine="420"/>
        <w:rPr>
          <w:rFonts w:hint="eastAsia" w:ascii="宋体" w:hAnsi="宋体" w:eastAsia="宋体" w:cs="宋体"/>
          <w:kern w:val="2"/>
          <w:sz w:val="21"/>
          <w:szCs w:val="21"/>
          <w:lang w:val="en-US" w:eastAsia="zh-CN" w:bidi="ar-SA"/>
          <w14:ligatures w14:val="none"/>
        </w:rPr>
      </w:pPr>
      <w:r>
        <w:rPr>
          <w:rFonts w:hint="eastAsia" w:ascii="宋体" w:hAnsi="宋体" w:eastAsia="宋体" w:cs="宋体"/>
          <w:kern w:val="2"/>
          <w:sz w:val="21"/>
          <w:szCs w:val="21"/>
          <w:lang w:val="en-US" w:eastAsia="zh-CN" w:bidi="ar-SA"/>
          <w14:ligatures w14:val="none"/>
        </w:rPr>
        <w:t>b) 计划内变更导致产品碳足迹结果变化5%以上，且持续超过三个月。</w:t>
      </w:r>
    </w:p>
    <w:p w14:paraId="3537C49D">
      <w:pPr>
        <w:keepNext/>
        <w:numPr>
          <w:ilvl w:val="255"/>
          <w:numId w:val="0"/>
        </w:numPr>
        <w:tabs>
          <w:tab w:val="center" w:pos="4201"/>
          <w:tab w:val="right" w:leader="dot" w:pos="9298"/>
        </w:tabs>
        <w:spacing w:before="156" w:beforeLines="50" w:after="156" w:afterLines="50"/>
        <w:outlineLvl w:val="3"/>
        <w:rPr>
          <w:rFonts w:eastAsia="黑体"/>
          <w:szCs w:val="21"/>
        </w:rPr>
      </w:pPr>
      <w:r>
        <w:rPr>
          <w:rFonts w:hint="eastAsia" w:eastAsia="黑体"/>
          <w:szCs w:val="21"/>
        </w:rPr>
        <w:t>6.1.4 保密性</w:t>
      </w:r>
    </w:p>
    <w:p w14:paraId="3537C49E">
      <w:pPr>
        <w:numPr>
          <w:ilvl w:val="255"/>
          <w:numId w:val="0"/>
        </w:numPr>
        <w:tabs>
          <w:tab w:val="center" w:pos="4201"/>
          <w:tab w:val="right" w:leader="dot" w:pos="9298"/>
        </w:tabs>
        <w:ind w:firstLine="420" w:firstLineChars="200"/>
      </w:pPr>
      <w:r>
        <w:t>产品碳足迹核算相关资料可能涉及企业商业秘密，相关方应对数据与报告内容采取保密措施，签订保密协议并明确保密范围与期限。</w:t>
      </w:r>
    </w:p>
    <w:p w14:paraId="3537C49F">
      <w:pPr>
        <w:keepNext/>
        <w:numPr>
          <w:ilvl w:val="255"/>
          <w:numId w:val="0"/>
        </w:numPr>
        <w:tabs>
          <w:tab w:val="center" w:pos="4201"/>
          <w:tab w:val="right" w:leader="dot" w:pos="9298"/>
        </w:tabs>
        <w:spacing w:before="156" w:beforeLines="50" w:after="156" w:afterLines="50"/>
        <w:outlineLvl w:val="2"/>
        <w:rPr>
          <w:rFonts w:eastAsia="黑体"/>
          <w:szCs w:val="21"/>
        </w:rPr>
      </w:pPr>
      <w:r>
        <w:rPr>
          <w:rFonts w:eastAsia="黑体"/>
          <w:szCs w:val="21"/>
        </w:rPr>
        <w:t>6.2 报告核证与质量控制</w:t>
      </w:r>
    </w:p>
    <w:p w14:paraId="3537C4A0">
      <w:pPr>
        <w:numPr>
          <w:ilvl w:val="255"/>
          <w:numId w:val="0"/>
        </w:numPr>
        <w:tabs>
          <w:tab w:val="center" w:pos="4201"/>
          <w:tab w:val="right" w:leader="dot" w:pos="9298"/>
        </w:tabs>
        <w:ind w:firstLine="420" w:firstLineChars="200"/>
      </w:pPr>
      <w:r>
        <w:t>核查类型包括内部 LCA 专家审核、第三方独立核查。核查方式与结果应在报告中明确说明。</w:t>
      </w:r>
    </w:p>
    <w:p w14:paraId="3537C4A1">
      <w:pPr>
        <w:pStyle w:val="175"/>
        <w:ind w:firstLine="420"/>
        <w:rPr>
          <w:szCs w:val="21"/>
          <w14:ligatures w14:val="standardContextual"/>
        </w:rPr>
      </w:pPr>
      <w:r>
        <w:rPr>
          <w:rFonts w:hint="eastAsia" w:ascii="宋体" w:hAnsi="宋体" w:eastAsia="宋体" w:cs="宋体"/>
          <w:kern w:val="2"/>
          <w:sz w:val="21"/>
          <w:szCs w:val="21"/>
          <w:lang w:val="en-US" w:eastAsia="zh-CN" w:bidi="ar-SA"/>
          <w14:ligatures w14:val="none"/>
        </w:rPr>
        <w:t>有条件的企业可结合 ISO 14067、ISO 14064-3 或相关核证规范开展第三方核证，以提升结果的公信力和对外可接受性。</w:t>
      </w:r>
    </w:p>
    <w:p w14:paraId="3537C4A2">
      <w:pPr>
        <w:numPr>
          <w:ilvl w:val="255"/>
          <w:numId w:val="0"/>
        </w:numPr>
        <w:tabs>
          <w:tab w:val="center" w:pos="4201"/>
          <w:tab w:val="right" w:leader="dot" w:pos="9298"/>
        </w:tabs>
        <w:ind w:firstLine="420" w:firstLineChars="200"/>
      </w:pPr>
      <w:r>
        <w:t>所有核查均应按 “四眼原则” 对以下内容进行审查：</w:t>
      </w:r>
    </w:p>
    <w:p w14:paraId="3537C4A3">
      <w:pPr>
        <w:numPr>
          <w:ilvl w:val="255"/>
          <w:numId w:val="0"/>
        </w:numPr>
        <w:tabs>
          <w:tab w:val="center" w:pos="4201"/>
          <w:tab w:val="right" w:leader="dot" w:pos="9298"/>
        </w:tabs>
        <w:ind w:firstLine="420" w:firstLineChars="200"/>
      </w:pPr>
      <w:r>
        <w:rPr>
          <w:rFonts w:hint="eastAsia"/>
        </w:rPr>
        <w:t>-</w:t>
      </w:r>
      <w:r>
        <w:t>评价目标与范围</w:t>
      </w:r>
    </w:p>
    <w:p w14:paraId="3537C4A4">
      <w:pPr>
        <w:numPr>
          <w:ilvl w:val="255"/>
          <w:numId w:val="0"/>
        </w:numPr>
        <w:tabs>
          <w:tab w:val="center" w:pos="4201"/>
          <w:tab w:val="right" w:leader="dot" w:pos="9298"/>
        </w:tabs>
        <w:ind w:firstLine="420" w:firstLineChars="200"/>
      </w:pPr>
      <w:r>
        <w:rPr>
          <w:rFonts w:hint="eastAsia"/>
        </w:rPr>
        <w:t>-</w:t>
      </w:r>
      <w:r>
        <w:t>核算规则与计算方法</w:t>
      </w:r>
    </w:p>
    <w:p w14:paraId="3537C4A5">
      <w:pPr>
        <w:numPr>
          <w:ilvl w:val="255"/>
          <w:numId w:val="0"/>
        </w:numPr>
        <w:tabs>
          <w:tab w:val="center" w:pos="4201"/>
          <w:tab w:val="right" w:leader="dot" w:pos="9298"/>
        </w:tabs>
        <w:ind w:firstLine="420" w:firstLineChars="200"/>
      </w:pPr>
      <w:r>
        <w:rPr>
          <w:rFonts w:hint="eastAsia"/>
        </w:rPr>
        <w:t>-</w:t>
      </w:r>
      <w:r>
        <w:t>系统边界与取舍原则</w:t>
      </w:r>
    </w:p>
    <w:p w14:paraId="3537C4A6">
      <w:pPr>
        <w:numPr>
          <w:ilvl w:val="255"/>
          <w:numId w:val="0"/>
        </w:numPr>
        <w:tabs>
          <w:tab w:val="center" w:pos="4201"/>
          <w:tab w:val="right" w:leader="dot" w:pos="9298"/>
        </w:tabs>
        <w:ind w:firstLine="420" w:firstLineChars="200"/>
      </w:pPr>
      <w:r>
        <w:rPr>
          <w:rFonts w:hint="eastAsia"/>
        </w:rPr>
        <w:t>-</w:t>
      </w:r>
      <w:r>
        <w:t>数据质量与分配方法</w:t>
      </w:r>
    </w:p>
    <w:p w14:paraId="3537C4A7">
      <w:pPr>
        <w:pStyle w:val="27"/>
        <w:numPr>
          <w:ilvl w:val="255"/>
          <w:numId w:val="0"/>
        </w:numPr>
        <w:spacing w:before="156" w:after="156"/>
        <w:ind w:firstLine="420" w:firstLineChars="200"/>
        <w:rPr>
          <w:rFonts w:ascii="Times New Roman"/>
        </w:rPr>
      </w:pPr>
      <w:r>
        <w:rPr>
          <w:rFonts w:hint="eastAsia" w:ascii="Times New Roman"/>
        </w:rPr>
        <w:t>产品碳足迹报告应通过内部或第三方核查，核查人员包括 LCA 专家、技术人员、工厂管理人员等。核查应覆盖以下内容：</w:t>
      </w:r>
    </w:p>
    <w:p w14:paraId="3537C4A8">
      <w:pPr>
        <w:pStyle w:val="27"/>
        <w:numPr>
          <w:ilvl w:val="255"/>
          <w:numId w:val="0"/>
        </w:numPr>
        <w:spacing w:before="156" w:after="156"/>
        <w:ind w:firstLine="420" w:firstLineChars="200"/>
        <w:rPr>
          <w:rFonts w:ascii="Times New Roman"/>
        </w:rPr>
      </w:pPr>
      <w:r>
        <w:rPr>
          <w:rFonts w:hint="eastAsia" w:ascii="Times New Roman"/>
        </w:rPr>
        <w:t>1）总体质量平衡核查：核查原材料投入、产品产出、废弃物及大气 / 水体排放的质量平衡。</w:t>
      </w:r>
    </w:p>
    <w:p w14:paraId="3537C4A9">
      <w:pPr>
        <w:pStyle w:val="27"/>
        <w:numPr>
          <w:ilvl w:val="255"/>
          <w:numId w:val="0"/>
        </w:numPr>
        <w:spacing w:before="156" w:after="156"/>
        <w:ind w:firstLine="420" w:firstLineChars="200"/>
        <w:rPr>
          <w:rFonts w:ascii="Times New Roman"/>
        </w:rPr>
      </w:pPr>
      <w:r>
        <w:rPr>
          <w:rFonts w:hint="eastAsia" w:ascii="Times New Roman"/>
        </w:rPr>
        <w:t>2）生命周期完整性核查：确认所有相关生命周期阶段均已按系统边界纳入核算。</w:t>
      </w:r>
    </w:p>
    <w:p w14:paraId="3537C4AA">
      <w:pPr>
        <w:pStyle w:val="27"/>
        <w:numPr>
          <w:ilvl w:val="255"/>
          <w:numId w:val="0"/>
        </w:numPr>
        <w:spacing w:before="156" w:after="156"/>
        <w:ind w:firstLine="420" w:firstLineChars="200"/>
        <w:rPr>
          <w:rFonts w:ascii="Times New Roman"/>
        </w:rPr>
      </w:pPr>
      <w:r>
        <w:rPr>
          <w:rFonts w:hint="eastAsia" w:ascii="Times New Roman"/>
        </w:rPr>
        <w:t>3）元素平衡与化学计量核查：通过化学计量关系验证碳、氮等关键元素的输入输出平衡。</w:t>
      </w:r>
    </w:p>
    <w:p w14:paraId="3537C4AB">
      <w:pPr>
        <w:pStyle w:val="27"/>
        <w:numPr>
          <w:ilvl w:val="255"/>
          <w:numId w:val="0"/>
        </w:numPr>
        <w:spacing w:before="156" w:after="156"/>
        <w:ind w:firstLine="420" w:firstLineChars="200"/>
        <w:rPr>
          <w:rFonts w:ascii="Times New Roman"/>
        </w:rPr>
      </w:pPr>
      <w:r>
        <w:rPr>
          <w:rFonts w:hint="eastAsia" w:ascii="Times New Roman"/>
        </w:rPr>
        <w:t>4）直接排放合理性核查：核查碳平衡封闭性，确保过程排放真实可信。</w:t>
      </w:r>
    </w:p>
    <w:p w14:paraId="3537C4AC">
      <w:pPr>
        <w:pStyle w:val="27"/>
        <w:numPr>
          <w:ilvl w:val="255"/>
          <w:numId w:val="0"/>
        </w:numPr>
        <w:spacing w:before="156" w:after="156"/>
        <w:ind w:firstLine="420" w:firstLineChars="200"/>
        <w:rPr>
          <w:rFonts w:ascii="Times New Roman"/>
        </w:rPr>
      </w:pPr>
      <w:r>
        <w:rPr>
          <w:rFonts w:hint="eastAsia" w:ascii="Times New Roman"/>
        </w:rPr>
        <w:t>5）数据建模与计算核查：确认数据汇总、建模逻辑、计算公式正确无误。</w:t>
      </w:r>
    </w:p>
    <w:p w14:paraId="3537C4AD">
      <w:pPr>
        <w:pStyle w:val="27"/>
        <w:numPr>
          <w:ilvl w:val="255"/>
          <w:numId w:val="0"/>
        </w:numPr>
        <w:spacing w:before="156" w:after="156"/>
        <w:ind w:firstLine="420" w:firstLineChars="200"/>
        <w:rPr>
          <w:rFonts w:ascii="Times New Roman"/>
        </w:rPr>
      </w:pPr>
      <w:r>
        <w:rPr>
          <w:rFonts w:hint="eastAsia" w:ascii="Times New Roman"/>
        </w:rPr>
        <w:t>6）公用工程消耗核查：确认电力、蒸汽、水等消耗数据合理。</w:t>
      </w:r>
    </w:p>
    <w:p w14:paraId="3537C4AE">
      <w:pPr>
        <w:pStyle w:val="27"/>
        <w:numPr>
          <w:ilvl w:val="255"/>
          <w:numId w:val="0"/>
        </w:numPr>
        <w:spacing w:before="156" w:after="156"/>
        <w:ind w:firstLine="420" w:firstLineChars="200"/>
        <w:rPr>
          <w:rFonts w:ascii="Times New Roman"/>
        </w:rPr>
      </w:pPr>
      <w:r>
        <w:rPr>
          <w:rFonts w:hint="eastAsia" w:ascii="Times New Roman"/>
        </w:rPr>
        <w:t>7）分配因子核查：确认分配前后输入输出守恒，多产品分配因子之和为 1。</w:t>
      </w:r>
    </w:p>
    <w:p w14:paraId="3537C4AF">
      <w:pPr>
        <w:pStyle w:val="27"/>
        <w:numPr>
          <w:ilvl w:val="255"/>
          <w:numId w:val="0"/>
        </w:numPr>
        <w:spacing w:before="156" w:after="156"/>
        <w:ind w:firstLine="420" w:firstLineChars="200"/>
        <w:rPr>
          <w:rFonts w:ascii="Times New Roman"/>
        </w:rPr>
      </w:pPr>
      <w:r>
        <w:rPr>
          <w:rFonts w:hint="eastAsia" w:ascii="Times New Roman"/>
        </w:rPr>
        <w:t>8）数据来源与次级数据适用性核查：确认技术、地域代表性适宜，供应商数据优先使用。</w:t>
      </w:r>
    </w:p>
    <w:p w14:paraId="3537C4B0">
      <w:pPr>
        <w:pStyle w:val="27"/>
        <w:numPr>
          <w:ilvl w:val="255"/>
          <w:numId w:val="0"/>
        </w:numPr>
        <w:spacing w:before="156" w:after="156"/>
        <w:ind w:firstLine="420" w:firstLineChars="200"/>
        <w:rPr>
          <w:rFonts w:ascii="Times New Roman"/>
        </w:rPr>
      </w:pPr>
      <w:r>
        <w:rPr>
          <w:rFonts w:hint="eastAsia" w:ascii="Times New Roman"/>
        </w:rPr>
        <w:t>9）数据质量评分核查：确认已开展 DQR 评分并满足要求。</w:t>
      </w:r>
    </w:p>
    <w:p w14:paraId="3537C4B1">
      <w:pPr>
        <w:pStyle w:val="27"/>
        <w:numPr>
          <w:ilvl w:val="255"/>
          <w:numId w:val="0"/>
        </w:numPr>
        <w:spacing w:before="156" w:after="156"/>
        <w:ind w:firstLine="420" w:firstLineChars="200"/>
        <w:rPr>
          <w:rFonts w:ascii="Times New Roman"/>
        </w:rPr>
      </w:pPr>
      <w:r>
        <w:rPr>
          <w:rFonts w:hint="eastAsia" w:ascii="Times New Roman"/>
        </w:rPr>
        <w:t>10）偏差与基准比对核查：核查结果与企业历史数据、行业基准、第三方数据库的差异合理性。</w:t>
      </w:r>
    </w:p>
    <w:p w14:paraId="3537C4B2">
      <w:pPr>
        <w:pStyle w:val="27"/>
        <w:spacing w:before="156" w:after="156"/>
        <w:rPr>
          <w:kern w:val="2"/>
          <w:szCs w:val="21"/>
          <w14:ligatures w14:val="standardContextual"/>
        </w:rPr>
      </w:pPr>
      <w:r>
        <w:rPr>
          <w:rFonts w:ascii="Times New Roman"/>
        </w:rPr>
        <w:t>11</w:t>
      </w:r>
      <w:r>
        <w:rPr>
          <w:rFonts w:hint="eastAsia"/>
        </w:rPr>
        <w:t>）如开展了敏感性分析，核查其方法、假设与结果是否合理。</w:t>
      </w:r>
    </w:p>
    <w:p w14:paraId="3537C4B3">
      <w:pPr>
        <w:pStyle w:val="27"/>
        <w:numPr>
          <w:ilvl w:val="255"/>
          <w:numId w:val="0"/>
        </w:numPr>
        <w:spacing w:before="156" w:after="156"/>
        <w:ind w:firstLine="420" w:firstLineChars="200"/>
        <w:rPr>
          <w:rFonts w:ascii="Times New Roman"/>
        </w:rPr>
      </w:pPr>
      <w:r>
        <w:rPr>
          <w:rFonts w:hint="eastAsia" w:ascii="Times New Roman"/>
        </w:rPr>
        <w:t>12）取舍规则核查：确认取舍阈值、阶段排除理由、影响说明均已在报告中清晰披露。</w:t>
      </w:r>
      <w:bookmarkEnd w:id="80"/>
    </w:p>
    <w:p w14:paraId="3537C4B4">
      <w:pPr>
        <w:pStyle w:val="27"/>
        <w:rPr>
          <w:rFonts w:ascii="Times New Roman"/>
        </w:rPr>
        <w:sectPr>
          <w:footerReference r:id="rId10" w:type="default"/>
          <w:pgSz w:w="11906" w:h="16838"/>
          <w:pgMar w:top="1418" w:right="1418" w:bottom="1134" w:left="1418" w:header="1418" w:footer="1134" w:gutter="0"/>
          <w:pgNumType w:start="1"/>
          <w:cols w:space="425" w:num="1"/>
          <w:formProt w:val="0"/>
          <w:docGrid w:type="lines" w:linePitch="312" w:charSpace="0"/>
        </w:sectPr>
      </w:pPr>
    </w:p>
    <w:bookmarkEnd w:id="67"/>
    <w:p w14:paraId="3537C4B5">
      <w:pPr>
        <w:pStyle w:val="2"/>
        <w:jc w:val="center"/>
        <w:rPr>
          <w:rFonts w:ascii="宋体" w:hAnsi="宋体" w:eastAsia="宋体" w:cs="宋体"/>
          <w:sz w:val="21"/>
          <w:szCs w:val="21"/>
        </w:rPr>
      </w:pPr>
      <w:bookmarkStart w:id="81" w:name="_Toc19711"/>
      <w:bookmarkStart w:id="82" w:name="_Toc23478"/>
      <w:bookmarkStart w:id="83" w:name="_Toc4083"/>
      <w:r>
        <w:rPr>
          <w:rFonts w:ascii="宋体" w:hAnsi="宋体" w:eastAsia="宋体" w:cs="宋体"/>
          <w:sz w:val="21"/>
          <w:szCs w:val="21"/>
        </w:rPr>
        <w:t>附录A</w:t>
      </w:r>
      <w:r>
        <w:rPr>
          <w:rFonts w:hint="eastAsia" w:ascii="宋体" w:hAnsi="宋体" w:eastAsia="宋体" w:cs="宋体"/>
          <w:sz w:val="21"/>
          <w:szCs w:val="21"/>
        </w:rPr>
        <w:t xml:space="preserve"> </w:t>
      </w:r>
      <w:bookmarkEnd w:id="81"/>
      <w:bookmarkEnd w:id="82"/>
    </w:p>
    <w:bookmarkEnd w:id="83"/>
    <w:p w14:paraId="3537C4B6">
      <w:pPr>
        <w:pStyle w:val="2"/>
        <w:jc w:val="center"/>
        <w:rPr>
          <w:rFonts w:ascii="宋体" w:hAnsi="宋体" w:eastAsia="宋体" w:cs="宋体"/>
          <w:sz w:val="21"/>
          <w:szCs w:val="21"/>
        </w:rPr>
      </w:pPr>
      <w:bookmarkStart w:id="84" w:name="_Toc12886"/>
      <w:r>
        <w:rPr>
          <w:rFonts w:hint="eastAsia" w:ascii="宋体" w:hAnsi="宋体" w:eastAsia="宋体" w:cs="宋体"/>
          <w:sz w:val="21"/>
          <w:szCs w:val="21"/>
        </w:rPr>
        <w:t>香料香精化妆品产品碳足迹报告模板</w:t>
      </w:r>
      <w:bookmarkEnd w:id="84"/>
    </w:p>
    <w:p w14:paraId="3537C4B7">
      <w:pPr>
        <w:numPr>
          <w:ilvl w:val="255"/>
          <w:numId w:val="0"/>
        </w:numPr>
        <w:tabs>
          <w:tab w:val="center" w:pos="4201"/>
          <w:tab w:val="right" w:leader="dot" w:pos="9298"/>
        </w:tabs>
        <w:autoSpaceDE w:val="0"/>
        <w:autoSpaceDN w:val="0"/>
        <w:spacing w:before="156" w:after="156"/>
        <w:ind w:left="482" w:hanging="482" w:hangingChars="200"/>
        <w:jc w:val="center"/>
        <w:rPr>
          <w:rFonts w:ascii="宋体" w:hAnsi="宋体" w:cs="宋体"/>
          <w:b/>
          <w:bCs/>
          <w:sz w:val="24"/>
        </w:rPr>
      </w:pPr>
    </w:p>
    <w:p w14:paraId="3537C4B8">
      <w:pPr>
        <w:numPr>
          <w:ilvl w:val="255"/>
          <w:numId w:val="0"/>
        </w:numPr>
        <w:tabs>
          <w:tab w:val="center" w:pos="4201"/>
          <w:tab w:val="right" w:leader="dot" w:pos="9298"/>
        </w:tabs>
        <w:autoSpaceDE w:val="0"/>
        <w:autoSpaceDN w:val="0"/>
        <w:spacing w:before="156" w:after="156"/>
        <w:ind w:left="482" w:hanging="482" w:hangingChars="200"/>
        <w:jc w:val="center"/>
        <w:rPr>
          <w:rFonts w:ascii="宋体" w:hAnsi="宋体" w:cs="宋体"/>
          <w:b/>
          <w:bCs/>
          <w:sz w:val="24"/>
        </w:rPr>
      </w:pPr>
    </w:p>
    <w:p w14:paraId="3537C4B9">
      <w:pPr>
        <w:widowControl/>
        <w:spacing w:line="180" w:lineRule="atLeast"/>
        <w:jc w:val="center"/>
        <w:rPr>
          <w:rFonts w:ascii="宋体" w:hAnsi="宋体" w:cs="宋体"/>
          <w:kern w:val="0"/>
          <w:sz w:val="24"/>
          <w:lang w:bidi="ar"/>
        </w:rPr>
      </w:pPr>
    </w:p>
    <w:p w14:paraId="3537C4BA">
      <w:pPr>
        <w:widowControl/>
        <w:spacing w:line="180" w:lineRule="atLeast"/>
        <w:jc w:val="center"/>
        <w:rPr>
          <w:rFonts w:ascii="宋体" w:hAnsi="宋体" w:cs="宋体"/>
          <w:kern w:val="0"/>
          <w:sz w:val="24"/>
          <w:lang w:bidi="ar"/>
        </w:rPr>
      </w:pPr>
    </w:p>
    <w:p w14:paraId="3537C4BB">
      <w:pPr>
        <w:widowControl/>
        <w:spacing w:line="180" w:lineRule="atLeast"/>
        <w:jc w:val="center"/>
        <w:rPr>
          <w:rFonts w:ascii="宋体" w:hAnsi="宋体" w:cs="宋体"/>
          <w:kern w:val="0"/>
          <w:sz w:val="24"/>
          <w:lang w:bidi="ar"/>
        </w:rPr>
      </w:pPr>
    </w:p>
    <w:p w14:paraId="3537C4BC">
      <w:pPr>
        <w:widowControl/>
        <w:spacing w:line="180" w:lineRule="atLeast"/>
        <w:ind w:firstLine="3150" w:firstLineChars="1500"/>
        <w:rPr>
          <w:rFonts w:ascii="宋体" w:hAnsi="宋体" w:cs="宋体"/>
          <w:kern w:val="0"/>
          <w:szCs w:val="21"/>
          <w:lang w:bidi="ar"/>
        </w:rPr>
      </w:pPr>
      <w:r>
        <w:rPr>
          <w:rFonts w:ascii="宋体" w:hAnsi="宋体" w:cs="宋体"/>
          <w:kern w:val="0"/>
          <w:szCs w:val="21"/>
          <w:lang w:bidi="ar"/>
        </w:rPr>
        <w:t>产品名称：</w:t>
      </w:r>
    </w:p>
    <w:p w14:paraId="3537C4BD">
      <w:pPr>
        <w:widowControl/>
        <w:spacing w:line="180" w:lineRule="atLeast"/>
        <w:ind w:firstLine="3150" w:firstLineChars="1500"/>
        <w:rPr>
          <w:rFonts w:ascii="宋体" w:hAnsi="宋体" w:cs="宋体"/>
          <w:kern w:val="0"/>
          <w:szCs w:val="21"/>
          <w:lang w:bidi="ar"/>
        </w:rPr>
      </w:pPr>
      <w:r>
        <w:rPr>
          <w:rFonts w:ascii="宋体" w:hAnsi="宋体" w:cs="宋体"/>
          <w:kern w:val="0"/>
          <w:szCs w:val="21"/>
          <w:lang w:bidi="ar"/>
        </w:rPr>
        <w:t>产品规格型号：</w:t>
      </w:r>
    </w:p>
    <w:p w14:paraId="3537C4BE">
      <w:pPr>
        <w:widowControl/>
        <w:spacing w:line="180" w:lineRule="atLeast"/>
        <w:ind w:firstLine="3150" w:firstLineChars="1500"/>
        <w:rPr>
          <w:rFonts w:ascii="宋体" w:hAnsi="宋体" w:cs="宋体"/>
          <w:kern w:val="0"/>
          <w:szCs w:val="21"/>
          <w:lang w:bidi="ar"/>
        </w:rPr>
      </w:pPr>
      <w:r>
        <w:rPr>
          <w:rFonts w:ascii="宋体" w:hAnsi="宋体" w:cs="宋体"/>
          <w:kern w:val="0"/>
          <w:szCs w:val="21"/>
          <w:lang w:bidi="ar"/>
        </w:rPr>
        <w:t>生产者名称：</w:t>
      </w:r>
    </w:p>
    <w:p w14:paraId="3537C4BF">
      <w:pPr>
        <w:widowControl/>
        <w:spacing w:line="180" w:lineRule="atLeast"/>
        <w:ind w:firstLine="3150" w:firstLineChars="1500"/>
        <w:rPr>
          <w:rFonts w:ascii="宋体" w:hAnsi="宋体" w:cs="宋体"/>
          <w:kern w:val="0"/>
          <w:szCs w:val="21"/>
          <w:lang w:bidi="ar"/>
        </w:rPr>
      </w:pPr>
      <w:r>
        <w:rPr>
          <w:rFonts w:ascii="宋体" w:hAnsi="宋体" w:cs="宋体"/>
          <w:kern w:val="0"/>
          <w:szCs w:val="21"/>
          <w:lang w:bidi="ar"/>
        </w:rPr>
        <w:t>报告编号：</w:t>
      </w:r>
    </w:p>
    <w:p w14:paraId="3537C4C0">
      <w:pPr>
        <w:widowControl/>
        <w:spacing w:line="180" w:lineRule="atLeast"/>
        <w:jc w:val="right"/>
        <w:rPr>
          <w:rFonts w:ascii="宋体" w:hAnsi="宋体" w:cs="宋体"/>
          <w:kern w:val="0"/>
          <w:szCs w:val="21"/>
          <w:lang w:bidi="ar"/>
        </w:rPr>
      </w:pPr>
    </w:p>
    <w:p w14:paraId="3537C4C1">
      <w:pPr>
        <w:widowControl/>
        <w:spacing w:line="180" w:lineRule="atLeast"/>
        <w:jc w:val="right"/>
        <w:rPr>
          <w:rFonts w:ascii="宋体" w:hAnsi="宋体" w:cs="宋体"/>
          <w:kern w:val="0"/>
          <w:szCs w:val="21"/>
          <w:lang w:bidi="ar"/>
        </w:rPr>
      </w:pPr>
    </w:p>
    <w:p w14:paraId="3537C4C2">
      <w:pPr>
        <w:widowControl/>
        <w:spacing w:line="180" w:lineRule="atLeast"/>
        <w:jc w:val="right"/>
        <w:rPr>
          <w:rFonts w:ascii="宋体" w:hAnsi="宋体" w:cs="宋体"/>
          <w:kern w:val="0"/>
          <w:szCs w:val="21"/>
          <w:lang w:bidi="ar"/>
        </w:rPr>
      </w:pPr>
    </w:p>
    <w:p w14:paraId="3537C4C3">
      <w:pPr>
        <w:widowControl/>
        <w:spacing w:line="180" w:lineRule="atLeast"/>
        <w:jc w:val="right"/>
        <w:rPr>
          <w:rFonts w:ascii="宋体" w:hAnsi="宋体" w:cs="宋体"/>
          <w:kern w:val="0"/>
          <w:szCs w:val="21"/>
          <w:lang w:bidi="ar"/>
        </w:rPr>
      </w:pPr>
    </w:p>
    <w:p w14:paraId="3537C4C4">
      <w:pPr>
        <w:widowControl/>
        <w:spacing w:line="180" w:lineRule="atLeast"/>
        <w:jc w:val="right"/>
        <w:rPr>
          <w:rFonts w:ascii="宋体" w:hAnsi="宋体" w:cs="宋体"/>
          <w:kern w:val="0"/>
          <w:szCs w:val="21"/>
          <w:lang w:bidi="ar"/>
        </w:rPr>
      </w:pPr>
    </w:p>
    <w:p w14:paraId="3537C4C5">
      <w:pPr>
        <w:widowControl/>
        <w:spacing w:line="180" w:lineRule="atLeast"/>
        <w:jc w:val="right"/>
        <w:rPr>
          <w:rFonts w:ascii="宋体" w:hAnsi="宋体" w:cs="宋体"/>
          <w:kern w:val="0"/>
          <w:szCs w:val="21"/>
          <w:lang w:bidi="ar"/>
        </w:rPr>
      </w:pPr>
    </w:p>
    <w:p w14:paraId="3537C4C6">
      <w:pPr>
        <w:widowControl/>
        <w:spacing w:line="180" w:lineRule="atLeast"/>
        <w:jc w:val="right"/>
        <w:rPr>
          <w:rFonts w:ascii="宋体" w:hAnsi="宋体" w:cs="宋体"/>
          <w:kern w:val="0"/>
          <w:szCs w:val="21"/>
          <w:lang w:bidi="ar"/>
        </w:rPr>
      </w:pPr>
    </w:p>
    <w:p w14:paraId="3537C4C7">
      <w:pPr>
        <w:widowControl/>
        <w:spacing w:line="180" w:lineRule="atLeast"/>
        <w:jc w:val="right"/>
        <w:rPr>
          <w:rFonts w:ascii="宋体" w:hAnsi="宋体" w:cs="宋体"/>
          <w:kern w:val="0"/>
          <w:szCs w:val="21"/>
          <w:lang w:bidi="ar"/>
        </w:rPr>
      </w:pPr>
    </w:p>
    <w:p w14:paraId="3537C4C8">
      <w:pPr>
        <w:widowControl/>
        <w:spacing w:line="180" w:lineRule="atLeast"/>
        <w:jc w:val="right"/>
        <w:rPr>
          <w:rFonts w:ascii="宋体" w:hAnsi="宋体" w:cs="宋体"/>
          <w:kern w:val="0"/>
          <w:szCs w:val="21"/>
          <w:lang w:bidi="ar"/>
        </w:rPr>
      </w:pPr>
    </w:p>
    <w:p w14:paraId="3537C4C9">
      <w:pPr>
        <w:widowControl/>
        <w:spacing w:line="180" w:lineRule="atLeast"/>
        <w:jc w:val="right"/>
        <w:rPr>
          <w:rFonts w:ascii="宋体" w:hAnsi="宋体" w:cs="宋体"/>
          <w:kern w:val="0"/>
          <w:szCs w:val="21"/>
          <w:lang w:bidi="ar"/>
        </w:rPr>
      </w:pPr>
    </w:p>
    <w:p w14:paraId="3537C4CA">
      <w:pPr>
        <w:widowControl/>
        <w:spacing w:line="180" w:lineRule="atLeast"/>
        <w:jc w:val="right"/>
        <w:rPr>
          <w:rFonts w:ascii="宋体" w:hAnsi="宋体" w:cs="宋体"/>
          <w:kern w:val="0"/>
          <w:szCs w:val="21"/>
          <w:lang w:bidi="ar"/>
        </w:rPr>
      </w:pPr>
    </w:p>
    <w:p w14:paraId="3537C4CB">
      <w:pPr>
        <w:widowControl/>
        <w:spacing w:line="180" w:lineRule="atLeast"/>
        <w:jc w:val="right"/>
        <w:rPr>
          <w:rFonts w:ascii="宋体" w:hAnsi="宋体" w:cs="宋体"/>
          <w:kern w:val="0"/>
          <w:szCs w:val="21"/>
          <w:lang w:bidi="ar"/>
        </w:rPr>
      </w:pPr>
      <w:r>
        <w:rPr>
          <w:rFonts w:ascii="宋体" w:hAnsi="宋体" w:cs="宋体"/>
          <w:kern w:val="0"/>
          <w:szCs w:val="21"/>
          <w:lang w:bidi="ar"/>
        </w:rPr>
        <w:t>出具报告机构：（若有）（盖章）</w:t>
      </w:r>
    </w:p>
    <w:p w14:paraId="3537C4CC">
      <w:pPr>
        <w:widowControl/>
        <w:spacing w:line="180" w:lineRule="atLeast"/>
        <w:jc w:val="right"/>
        <w:rPr>
          <w:szCs w:val="21"/>
        </w:rPr>
      </w:pPr>
      <w:r>
        <w:rPr>
          <w:rFonts w:ascii="宋体" w:hAnsi="宋体" w:cs="宋体"/>
          <w:kern w:val="0"/>
          <w:szCs w:val="21"/>
          <w:lang w:bidi="ar"/>
        </w:rPr>
        <w:t>日期： 年 月 日</w:t>
      </w:r>
    </w:p>
    <w:p w14:paraId="3537C4CD">
      <w:pPr>
        <w:keepNext/>
        <w:spacing w:before="312" w:beforeLines="100" w:after="312" w:afterLines="100"/>
        <w:outlineLvl w:val="0"/>
        <w:rPr>
          <w:rFonts w:eastAsia="黑体"/>
          <w:kern w:val="0"/>
          <w:szCs w:val="21"/>
        </w:rPr>
        <w:sectPr>
          <w:pgSz w:w="11906" w:h="16838"/>
          <w:pgMar w:top="1418" w:right="1418" w:bottom="1134" w:left="1418" w:header="1418" w:footer="1134" w:gutter="0"/>
          <w:cols w:space="425" w:num="1"/>
          <w:formProt w:val="0"/>
          <w:docGrid w:type="lines" w:linePitch="312" w:charSpace="0"/>
        </w:sectPr>
      </w:pPr>
    </w:p>
    <w:p w14:paraId="3537C4CE">
      <w:pPr>
        <w:rPr>
          <w:rFonts w:ascii="宋体" w:hAnsi="宋体" w:cs="宋体"/>
          <w:b/>
          <w:bCs/>
          <w:szCs w:val="21"/>
        </w:rPr>
      </w:pPr>
      <w:bookmarkStart w:id="85" w:name="_TocAppendixC"/>
      <w:bookmarkEnd w:id="85"/>
      <w:bookmarkStart w:id="86" w:name="_TocAppendixB"/>
      <w:bookmarkEnd w:id="86"/>
      <w:r>
        <w:rPr>
          <w:rFonts w:hint="eastAsia" w:ascii="宋体" w:hAnsi="宋体" w:cs="宋体"/>
          <w:b/>
          <w:bCs/>
          <w:szCs w:val="21"/>
        </w:rPr>
        <w:t>一、概况</w:t>
      </w:r>
    </w:p>
    <w:p w14:paraId="3537C4CF">
      <w:pPr>
        <w:ind w:firstLine="422" w:firstLineChars="200"/>
        <w:rPr>
          <w:rFonts w:ascii="宋体" w:hAnsi="宋体" w:cs="宋体"/>
          <w:b/>
          <w:bCs/>
          <w:szCs w:val="21"/>
        </w:rPr>
      </w:pPr>
      <w:r>
        <w:rPr>
          <w:rFonts w:hint="eastAsia" w:ascii="宋体" w:hAnsi="宋体" w:cs="宋体"/>
          <w:b/>
          <w:bCs/>
          <w:szCs w:val="21"/>
        </w:rPr>
        <w:t>1.1 生产者信息</w:t>
      </w:r>
    </w:p>
    <w:p w14:paraId="3537C4D0">
      <w:pPr>
        <w:ind w:firstLine="420" w:firstLineChars="200"/>
        <w:rPr>
          <w:rFonts w:ascii="宋体" w:hAnsi="宋体" w:cs="宋体"/>
          <w:szCs w:val="21"/>
        </w:rPr>
      </w:pPr>
      <w:r>
        <w:rPr>
          <w:rFonts w:hint="eastAsia" w:ascii="宋体" w:hAnsi="宋体" w:cs="宋体"/>
          <w:szCs w:val="21"/>
        </w:rPr>
        <w:t>生产者名称：</w:t>
      </w:r>
    </w:p>
    <w:p w14:paraId="3537C4D1">
      <w:pPr>
        <w:ind w:firstLine="420" w:firstLineChars="200"/>
        <w:rPr>
          <w:rFonts w:ascii="宋体" w:hAnsi="宋体" w:cs="宋体"/>
          <w:szCs w:val="21"/>
        </w:rPr>
      </w:pPr>
      <w:r>
        <w:rPr>
          <w:rFonts w:hint="eastAsia" w:ascii="宋体" w:hAnsi="宋体" w:cs="宋体"/>
          <w:szCs w:val="21"/>
        </w:rPr>
        <w:t>地址：</w:t>
      </w:r>
    </w:p>
    <w:p w14:paraId="3537C4D2">
      <w:pPr>
        <w:ind w:firstLine="420" w:firstLineChars="200"/>
        <w:rPr>
          <w:rFonts w:ascii="宋体" w:hAnsi="宋体" w:cs="宋体"/>
          <w:szCs w:val="21"/>
        </w:rPr>
      </w:pPr>
      <w:r>
        <w:rPr>
          <w:rFonts w:hint="eastAsia" w:ascii="宋体" w:hAnsi="宋体" w:cs="宋体"/>
          <w:szCs w:val="21"/>
        </w:rPr>
        <w:t>法定代表人：</w:t>
      </w:r>
    </w:p>
    <w:p w14:paraId="3537C4D3">
      <w:pPr>
        <w:ind w:firstLine="420" w:firstLineChars="200"/>
        <w:rPr>
          <w:rFonts w:ascii="宋体" w:hAnsi="宋体" w:cs="宋体"/>
          <w:szCs w:val="21"/>
        </w:rPr>
      </w:pPr>
      <w:r>
        <w:rPr>
          <w:rFonts w:hint="eastAsia" w:ascii="宋体" w:hAnsi="宋体" w:cs="宋体"/>
          <w:szCs w:val="21"/>
        </w:rPr>
        <w:t>授权人（联系人）：</w:t>
      </w:r>
    </w:p>
    <w:p w14:paraId="3537C4D4">
      <w:pPr>
        <w:ind w:firstLine="420" w:firstLineChars="200"/>
        <w:rPr>
          <w:rFonts w:ascii="宋体" w:hAnsi="宋体" w:cs="宋体"/>
          <w:szCs w:val="21"/>
        </w:rPr>
      </w:pPr>
      <w:r>
        <w:rPr>
          <w:rFonts w:hint="eastAsia" w:ascii="宋体" w:hAnsi="宋体" w:cs="宋体"/>
          <w:szCs w:val="21"/>
        </w:rPr>
        <w:t>联系电话：</w:t>
      </w:r>
    </w:p>
    <w:p w14:paraId="3537C4D5">
      <w:pPr>
        <w:ind w:firstLine="420" w:firstLineChars="200"/>
        <w:rPr>
          <w:rFonts w:ascii="宋体" w:hAnsi="宋体" w:cs="宋体"/>
          <w:szCs w:val="21"/>
        </w:rPr>
      </w:pPr>
      <w:r>
        <w:rPr>
          <w:rFonts w:hint="eastAsia" w:ascii="宋体" w:hAnsi="宋体" w:cs="宋体"/>
          <w:szCs w:val="21"/>
        </w:rPr>
        <w:t>企业概况：</w:t>
      </w:r>
    </w:p>
    <w:p w14:paraId="3537C4D6">
      <w:pPr>
        <w:ind w:firstLine="422" w:firstLineChars="200"/>
        <w:rPr>
          <w:rFonts w:ascii="宋体" w:hAnsi="宋体" w:cs="宋体"/>
          <w:b/>
          <w:bCs/>
          <w:szCs w:val="21"/>
        </w:rPr>
      </w:pPr>
      <w:r>
        <w:rPr>
          <w:rFonts w:hint="eastAsia" w:ascii="宋体" w:hAnsi="宋体" w:cs="宋体"/>
          <w:b/>
          <w:bCs/>
          <w:szCs w:val="21"/>
        </w:rPr>
        <w:t>1.2 产品信息</w:t>
      </w:r>
    </w:p>
    <w:p w14:paraId="3537C4D7">
      <w:pPr>
        <w:ind w:firstLine="420" w:firstLineChars="200"/>
        <w:rPr>
          <w:rFonts w:ascii="宋体" w:hAnsi="宋体" w:cs="宋体"/>
          <w:szCs w:val="21"/>
        </w:rPr>
      </w:pPr>
      <w:r>
        <w:rPr>
          <w:rFonts w:hint="eastAsia" w:ascii="宋体" w:hAnsi="宋体" w:cs="宋体"/>
          <w:szCs w:val="21"/>
        </w:rPr>
        <w:t>产品名称：</w:t>
      </w:r>
    </w:p>
    <w:p w14:paraId="3537C4D8">
      <w:pPr>
        <w:ind w:firstLine="420" w:firstLineChars="200"/>
        <w:rPr>
          <w:rFonts w:ascii="宋体" w:hAnsi="宋体" w:cs="宋体"/>
          <w:szCs w:val="21"/>
        </w:rPr>
      </w:pPr>
      <w:r>
        <w:rPr>
          <w:rFonts w:hint="eastAsia" w:ascii="宋体" w:hAnsi="宋体" w:cs="宋体"/>
          <w:szCs w:val="21"/>
        </w:rPr>
        <w:t>产品类别：☐ 香料 ☐ 香精 ☐ 化妆品原料 ☐ 化妆品成品</w:t>
      </w:r>
    </w:p>
    <w:p w14:paraId="3537C4D9">
      <w:pPr>
        <w:ind w:firstLine="420" w:firstLineChars="200"/>
        <w:rPr>
          <w:rFonts w:ascii="宋体" w:hAnsi="宋体" w:cs="宋体"/>
          <w:szCs w:val="21"/>
        </w:rPr>
      </w:pPr>
      <w:r>
        <w:rPr>
          <w:rFonts w:hint="eastAsia" w:ascii="宋体" w:hAnsi="宋体" w:cs="宋体"/>
          <w:szCs w:val="21"/>
        </w:rPr>
        <w:t>产品功能：</w:t>
      </w:r>
    </w:p>
    <w:p w14:paraId="3537C4DA">
      <w:pPr>
        <w:ind w:firstLine="420" w:firstLineChars="200"/>
        <w:rPr>
          <w:rFonts w:ascii="宋体" w:hAnsi="宋体" w:cs="宋体"/>
          <w:szCs w:val="21"/>
        </w:rPr>
      </w:pPr>
      <w:r>
        <w:rPr>
          <w:rFonts w:hint="eastAsia" w:ascii="宋体" w:hAnsi="宋体" w:cs="宋体"/>
          <w:szCs w:val="21"/>
        </w:rPr>
        <w:t>产品介绍：</w:t>
      </w:r>
    </w:p>
    <w:p w14:paraId="3537C4DB">
      <w:pPr>
        <w:ind w:firstLine="420" w:firstLineChars="200"/>
        <w:rPr>
          <w:rFonts w:ascii="宋体" w:hAnsi="宋体" w:cs="宋体"/>
          <w:szCs w:val="21"/>
        </w:rPr>
      </w:pPr>
      <w:r>
        <w:rPr>
          <w:rFonts w:hint="eastAsia" w:ascii="宋体" w:hAnsi="宋体" w:cs="宋体"/>
          <w:szCs w:val="21"/>
        </w:rPr>
        <w:t>产品图片：</w:t>
      </w:r>
    </w:p>
    <w:p w14:paraId="3537C4DC">
      <w:pPr>
        <w:ind w:firstLine="422" w:firstLineChars="200"/>
        <w:rPr>
          <w:rFonts w:ascii="宋体" w:hAnsi="宋体" w:cs="宋体"/>
          <w:b/>
          <w:bCs/>
          <w:szCs w:val="21"/>
        </w:rPr>
      </w:pPr>
      <w:r>
        <w:rPr>
          <w:rFonts w:hint="eastAsia" w:ascii="宋体" w:hAnsi="宋体" w:cs="宋体"/>
          <w:b/>
          <w:bCs/>
          <w:szCs w:val="21"/>
        </w:rPr>
        <w:t>1.3 量化方法</w:t>
      </w:r>
    </w:p>
    <w:p w14:paraId="3537C4DD">
      <w:pPr>
        <w:ind w:firstLine="420" w:firstLineChars="200"/>
        <w:rPr>
          <w:rFonts w:ascii="宋体" w:hAnsi="宋体" w:cs="宋体"/>
          <w:szCs w:val="21"/>
        </w:rPr>
      </w:pPr>
      <w:r>
        <w:rPr>
          <w:rFonts w:hint="eastAsia" w:ascii="宋体" w:hAnsi="宋体" w:cs="宋体"/>
          <w:szCs w:val="21"/>
        </w:rPr>
        <w:t>依据标准：</w:t>
      </w:r>
    </w:p>
    <w:p w14:paraId="385F2B12">
      <w:pPr>
        <w:pStyle w:val="175"/>
        <w:ind w:firstLine="420"/>
      </w:pPr>
      <w:r>
        <w:rPr>
          <w:rFonts w:hint="eastAsia" w:ascii="宋体" w:hAnsi="宋体" w:eastAsia="宋体" w:cs="宋体"/>
          <w:kern w:val="2"/>
          <w:sz w:val="21"/>
          <w:szCs w:val="21"/>
          <w:lang w:val="en-US" w:eastAsia="zh-CN" w:bidi="ar-SA"/>
          <w14:ligatures w14:val="none"/>
        </w:rPr>
        <w:t>采用的方法文件名称、版本或发布日期：</w:t>
      </w:r>
    </w:p>
    <w:p w14:paraId="3537C4DE">
      <w:pPr>
        <w:rPr>
          <w:rFonts w:ascii="宋体" w:hAnsi="宋体" w:cs="宋体"/>
          <w:szCs w:val="21"/>
        </w:rPr>
      </w:pPr>
      <w:r>
        <w:rPr>
          <w:rFonts w:hint="eastAsia" w:ascii="宋体" w:hAnsi="宋体" w:cs="宋体"/>
          <w:szCs w:val="21"/>
        </w:rPr>
        <w:t>- GB/T 24067-2024《温室气体 产品碳足迹 量化要求和指南》</w:t>
      </w:r>
    </w:p>
    <w:p w14:paraId="3537C4DF">
      <w:pPr>
        <w:rPr>
          <w:rFonts w:ascii="宋体" w:hAnsi="宋体" w:cs="宋体"/>
          <w:szCs w:val="21"/>
        </w:rPr>
      </w:pPr>
      <w:r>
        <w:rPr>
          <w:rFonts w:hint="eastAsia" w:ascii="宋体" w:hAnsi="宋体" w:cs="宋体"/>
          <w:szCs w:val="21"/>
        </w:rPr>
        <w:t>- GB/T 24040/24044《环境管理 生命周期评价》</w:t>
      </w:r>
    </w:p>
    <w:p w14:paraId="3537C4E0">
      <w:pPr>
        <w:rPr>
          <w:rFonts w:ascii="宋体" w:hAnsi="宋体" w:cs="宋体"/>
          <w:szCs w:val="21"/>
        </w:rPr>
      </w:pPr>
      <w:r>
        <w:rPr>
          <w:rFonts w:hint="eastAsia" w:ascii="宋体" w:hAnsi="宋体" w:cs="宋体"/>
          <w:szCs w:val="21"/>
        </w:rPr>
        <w:t>- T/CAFFCI</w:t>
      </w:r>
      <w:r>
        <w:rPr>
          <w:rFonts w:hint="eastAsia" w:ascii="宋体" w:hAnsi="宋体" w:cs="宋体"/>
          <w:szCs w:val="21"/>
          <w:highlight w:val="none"/>
        </w:rPr>
        <w:t xml:space="preserve"> XXXXX</w:t>
      </w:r>
      <w:r>
        <w:rPr>
          <w:rFonts w:hint="eastAsia" w:ascii="宋体" w:hAnsi="宋体" w:cs="宋体"/>
          <w:szCs w:val="21"/>
        </w:rPr>
        <w:t>《香料香精化妆品行业产品碳足迹核算指南》</w:t>
      </w:r>
    </w:p>
    <w:p w14:paraId="3537C4E1">
      <w:pPr>
        <w:rPr>
          <w:rFonts w:ascii="宋体" w:hAnsi="宋体" w:cs="宋体"/>
          <w:szCs w:val="21"/>
        </w:rPr>
      </w:pPr>
      <w:r>
        <w:rPr>
          <w:rFonts w:hint="eastAsia" w:ascii="宋体" w:hAnsi="宋体" w:cs="宋体"/>
          <w:szCs w:val="21"/>
        </w:rPr>
        <w:t>- ISO 14067、PACT、TfS 相关要求</w:t>
      </w:r>
    </w:p>
    <w:p w14:paraId="3537C4E2">
      <w:pPr>
        <w:ind w:firstLine="422" w:firstLineChars="200"/>
        <w:rPr>
          <w:rFonts w:ascii="宋体" w:hAnsi="宋体" w:cs="宋体"/>
          <w:b/>
          <w:bCs/>
          <w:szCs w:val="21"/>
        </w:rPr>
      </w:pPr>
      <w:r>
        <w:rPr>
          <w:rFonts w:hint="eastAsia" w:ascii="宋体" w:hAnsi="宋体" w:cs="宋体"/>
          <w:b/>
          <w:bCs/>
          <w:szCs w:val="21"/>
        </w:rPr>
        <w:t>二、量化目的</w:t>
      </w:r>
    </w:p>
    <w:p w14:paraId="3537C4E3">
      <w:pPr>
        <w:ind w:firstLine="422" w:firstLineChars="200"/>
        <w:rPr>
          <w:rFonts w:ascii="宋体" w:hAnsi="宋体" w:cs="宋体"/>
          <w:b/>
          <w:bCs/>
          <w:szCs w:val="21"/>
        </w:rPr>
      </w:pPr>
      <w:r>
        <w:rPr>
          <w:rFonts w:hint="eastAsia" w:ascii="宋体" w:hAnsi="宋体" w:cs="宋体"/>
          <w:b/>
          <w:bCs/>
          <w:szCs w:val="21"/>
        </w:rPr>
        <w:t>三、量化范围</w:t>
      </w:r>
    </w:p>
    <w:p w14:paraId="3537C4E4">
      <w:pPr>
        <w:ind w:firstLine="422" w:firstLineChars="200"/>
        <w:rPr>
          <w:rFonts w:ascii="宋体" w:hAnsi="宋体" w:cs="宋体"/>
          <w:b/>
          <w:bCs/>
          <w:szCs w:val="21"/>
        </w:rPr>
      </w:pPr>
      <w:r>
        <w:rPr>
          <w:rFonts w:hint="eastAsia" w:ascii="宋体" w:hAnsi="宋体" w:cs="宋体"/>
          <w:b/>
          <w:bCs/>
          <w:szCs w:val="21"/>
        </w:rPr>
        <w:t>3.1 功能单位或声明单位</w:t>
      </w:r>
    </w:p>
    <w:p w14:paraId="3537C4E5">
      <w:pPr>
        <w:ind w:firstLine="420" w:firstLineChars="200"/>
        <w:rPr>
          <w:rFonts w:ascii="宋体" w:hAnsi="宋体" w:cs="宋体"/>
          <w:szCs w:val="21"/>
          <w14:ligatures w14:val="standardContextual"/>
        </w:rPr>
      </w:pPr>
      <w:r>
        <w:rPr>
          <w:rFonts w:hint="eastAsia" w:ascii="宋体" w:hAnsi="宋体" w:cs="宋体"/>
          <w:szCs w:val="21"/>
        </w:rPr>
        <w:t>以 ____________ 为功能单位/声明单位。示例：1 kg 香料、1 kg 香精、1件成品（如1件50 mL面霜、1件30 mL精华液、1支10 g口红）</w:t>
      </w:r>
    </w:p>
    <w:p w14:paraId="3537C4E6">
      <w:pPr>
        <w:ind w:firstLine="422" w:firstLineChars="200"/>
        <w:rPr>
          <w:rFonts w:ascii="宋体" w:hAnsi="宋体" w:cs="宋体"/>
          <w:b/>
          <w:bCs/>
          <w:szCs w:val="21"/>
        </w:rPr>
      </w:pPr>
      <w:r>
        <w:rPr>
          <w:rFonts w:hint="eastAsia" w:ascii="宋体" w:hAnsi="宋体" w:cs="宋体"/>
          <w:b/>
          <w:bCs/>
          <w:szCs w:val="21"/>
        </w:rPr>
        <w:t>3.2 系统边界</w:t>
      </w:r>
    </w:p>
    <w:p w14:paraId="3537C4E7">
      <w:pPr>
        <w:ind w:firstLine="420" w:firstLineChars="200"/>
        <w:rPr>
          <w:rFonts w:ascii="宋体" w:hAnsi="宋体" w:cs="宋体"/>
          <w:szCs w:val="21"/>
        </w:rPr>
      </w:pPr>
      <w:r>
        <w:rPr>
          <w:rFonts w:hint="eastAsia" w:ascii="宋体" w:hAnsi="宋体" w:cs="宋体"/>
          <w:szCs w:val="21"/>
        </w:rPr>
        <w:t>☐ 原材料获取阶段☐ 原材料运输☐ 生产阶段☐ 包装阶段☐ 分销运输阶段☐ 使用阶段☐ 生命末期处理阶段</w:t>
      </w:r>
    </w:p>
    <w:p w14:paraId="3537C4E8">
      <w:pPr>
        <w:rPr>
          <w:rFonts w:ascii="宋体" w:hAnsi="宋体" w:cs="宋体"/>
          <w:szCs w:val="21"/>
        </w:rPr>
      </w:pPr>
      <w:r>
        <w:rPr>
          <w:rFonts w:hint="eastAsia" w:ascii="宋体" w:hAnsi="宋体" w:cs="宋体"/>
          <w:szCs w:val="21"/>
        </w:rPr>
        <w:t>系统边界图：</w:t>
      </w:r>
    </w:p>
    <w:p w14:paraId="3537C4E9">
      <w:pPr>
        <w:ind w:firstLine="422" w:firstLineChars="200"/>
        <w:rPr>
          <w:rFonts w:ascii="宋体" w:hAnsi="宋体" w:cs="宋体"/>
          <w:b/>
          <w:bCs/>
          <w:szCs w:val="21"/>
        </w:rPr>
      </w:pPr>
      <w:r>
        <w:rPr>
          <w:rFonts w:hint="eastAsia" w:ascii="宋体" w:hAnsi="宋体" w:cs="宋体"/>
          <w:b/>
          <w:bCs/>
          <w:szCs w:val="21"/>
        </w:rPr>
        <w:t>3.3 时间范围</w:t>
      </w:r>
    </w:p>
    <w:p w14:paraId="3537C4EA">
      <w:pPr>
        <w:ind w:firstLine="420" w:firstLineChars="200"/>
        <w:rPr>
          <w:rFonts w:ascii="宋体" w:hAnsi="宋体" w:cs="宋体"/>
          <w:szCs w:val="21"/>
        </w:rPr>
      </w:pPr>
      <w:r>
        <w:rPr>
          <w:rFonts w:hint="eastAsia" w:ascii="宋体" w:hAnsi="宋体" w:cs="宋体"/>
          <w:szCs w:val="21"/>
        </w:rPr>
        <w:t>20XX 年 XX 月 XX 日 — 20XX 年 XX 月 XX 日</w:t>
      </w:r>
    </w:p>
    <w:p w14:paraId="3537C4EB">
      <w:pPr>
        <w:ind w:firstLine="422" w:firstLineChars="200"/>
        <w:rPr>
          <w:rFonts w:ascii="宋体" w:hAnsi="宋体" w:cs="宋体"/>
          <w:b/>
          <w:bCs/>
          <w:szCs w:val="21"/>
        </w:rPr>
      </w:pPr>
      <w:r>
        <w:rPr>
          <w:rFonts w:hint="eastAsia" w:ascii="宋体" w:hAnsi="宋体" w:cs="宋体"/>
          <w:b/>
          <w:bCs/>
          <w:szCs w:val="21"/>
        </w:rPr>
        <w:t>3.4 取舍准则</w:t>
      </w:r>
    </w:p>
    <w:p w14:paraId="3537C4EC">
      <w:pPr>
        <w:ind w:firstLine="420" w:firstLineChars="200"/>
        <w:rPr>
          <w:rFonts w:ascii="宋体" w:hAnsi="宋体" w:cs="宋体"/>
          <w:szCs w:val="21"/>
          <w14:ligatures w14:val="standardContextual"/>
        </w:rPr>
      </w:pPr>
      <w:r>
        <w:rPr>
          <w:rFonts w:hint="eastAsia" w:ascii="宋体" w:hAnsi="宋体" w:cs="宋体"/>
          <w:szCs w:val="21"/>
        </w:rPr>
        <w:t>可舍弃对总碳排放量影响小于1%的环节，但总舍弃量不得超过产品总碳足迹的5%。报告中应披露舍弃的环节及其大致影响。</w:t>
      </w:r>
    </w:p>
    <w:p w14:paraId="3537C4ED">
      <w:pPr>
        <w:ind w:firstLine="422" w:firstLineChars="200"/>
        <w:rPr>
          <w:rFonts w:ascii="宋体" w:hAnsi="宋体" w:cs="宋体"/>
          <w:b/>
          <w:bCs/>
          <w:szCs w:val="21"/>
        </w:rPr>
      </w:pPr>
      <w:r>
        <w:rPr>
          <w:rFonts w:hint="eastAsia" w:ascii="宋体" w:hAnsi="宋体" w:cs="宋体"/>
          <w:b/>
          <w:bCs/>
          <w:szCs w:val="21"/>
        </w:rPr>
        <w:t>3.5 多产品分配</w:t>
      </w:r>
    </w:p>
    <w:p w14:paraId="3537C4EE">
      <w:pPr>
        <w:ind w:firstLine="420" w:firstLineChars="200"/>
        <w:rPr>
          <w:rFonts w:ascii="宋体" w:hAnsi="宋体" w:cs="宋体"/>
          <w:szCs w:val="21"/>
          <w14:ligatures w14:val="standardContextual"/>
        </w:rPr>
      </w:pPr>
      <w:r>
        <w:rPr>
          <w:rFonts w:hint="eastAsia" w:ascii="宋体" w:hAnsi="宋体" w:cs="宋体"/>
          <w:szCs w:val="21"/>
        </w:rPr>
        <w:t>建议根据实际情况选择分配方法，并说明选择理由；如开展敏感性分析，可在报告中补充说明。</w:t>
      </w:r>
    </w:p>
    <w:p w14:paraId="3537C4EF">
      <w:pPr>
        <w:jc w:val="center"/>
        <w:rPr>
          <w:rFonts w:ascii="宋体" w:hAnsi="宋体" w:cs="宋体"/>
          <w:b/>
          <w:bCs/>
          <w:szCs w:val="21"/>
        </w:rPr>
      </w:pPr>
      <w:r>
        <w:rPr>
          <w:rFonts w:hint="eastAsia" w:ascii="宋体" w:hAnsi="宋体" w:cs="宋体"/>
          <w:b/>
          <w:bCs/>
          <w:szCs w:val="21"/>
        </w:rPr>
        <w:t>表 3-1 多产品及分配方法描述</w:t>
      </w:r>
    </w:p>
    <w:tbl>
      <w:tblPr>
        <w:tblStyle w:val="38"/>
        <w:tblW w:w="8939"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15" w:type="dxa"/>
          <w:left w:w="15" w:type="dxa"/>
          <w:bottom w:w="15" w:type="dxa"/>
          <w:right w:w="15" w:type="dxa"/>
        </w:tblCellMar>
      </w:tblPr>
      <w:tblGrid>
        <w:gridCol w:w="1749"/>
        <w:gridCol w:w="1361"/>
        <w:gridCol w:w="3110"/>
        <w:gridCol w:w="1749"/>
        <w:gridCol w:w="970"/>
      </w:tblGrid>
      <w:tr w14:paraId="3537C4F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blHeader/>
          <w:jc w:val="center"/>
        </w:trPr>
        <w:tc>
          <w:tcPr>
            <w:tcW w:w="0" w:type="auto"/>
            <w:tcBorders>
              <w:tl2br w:val="nil"/>
              <w:tr2bl w:val="nil"/>
            </w:tcBorders>
            <w:tcMar>
              <w:top w:w="60" w:type="dxa"/>
              <w:left w:w="60" w:type="dxa"/>
              <w:bottom w:w="60" w:type="dxa"/>
              <w:right w:w="60" w:type="dxa"/>
            </w:tcMar>
            <w:vAlign w:val="center"/>
          </w:tcPr>
          <w:p w14:paraId="3537C4F0">
            <w:pPr>
              <w:snapToGrid w:val="0"/>
              <w:jc w:val="center"/>
              <w:rPr>
                <w:rFonts w:ascii="宋体" w:hAnsi="宋体" w:cs="宋体"/>
                <w:b/>
                <w:szCs w:val="21"/>
              </w:rPr>
            </w:pPr>
            <w:r>
              <w:rPr>
                <w:rFonts w:hint="eastAsia" w:ascii="宋体" w:hAnsi="宋体" w:cs="宋体"/>
                <w:b/>
                <w:szCs w:val="21"/>
              </w:rPr>
              <w:t>过程名称</w:t>
            </w:r>
          </w:p>
        </w:tc>
        <w:tc>
          <w:tcPr>
            <w:tcW w:w="0" w:type="auto"/>
            <w:tcBorders>
              <w:tl2br w:val="nil"/>
              <w:tr2bl w:val="nil"/>
            </w:tcBorders>
            <w:tcMar>
              <w:top w:w="60" w:type="dxa"/>
              <w:left w:w="60" w:type="dxa"/>
              <w:bottom w:w="60" w:type="dxa"/>
              <w:right w:w="60" w:type="dxa"/>
            </w:tcMar>
            <w:vAlign w:val="center"/>
          </w:tcPr>
          <w:p w14:paraId="3537C4F1">
            <w:pPr>
              <w:snapToGrid w:val="0"/>
              <w:jc w:val="center"/>
              <w:rPr>
                <w:rFonts w:ascii="宋体" w:hAnsi="宋体" w:cs="宋体"/>
                <w:b/>
                <w:szCs w:val="21"/>
              </w:rPr>
            </w:pPr>
            <w:r>
              <w:rPr>
                <w:rFonts w:hint="eastAsia" w:ascii="宋体" w:hAnsi="宋体" w:cs="宋体"/>
                <w:b/>
                <w:szCs w:val="21"/>
              </w:rPr>
              <w:t>主产品</w:t>
            </w:r>
          </w:p>
        </w:tc>
        <w:tc>
          <w:tcPr>
            <w:tcW w:w="0" w:type="auto"/>
            <w:tcBorders>
              <w:tl2br w:val="nil"/>
              <w:tr2bl w:val="nil"/>
            </w:tcBorders>
            <w:tcMar>
              <w:top w:w="60" w:type="dxa"/>
              <w:left w:w="60" w:type="dxa"/>
              <w:bottom w:w="60" w:type="dxa"/>
              <w:right w:w="60" w:type="dxa"/>
            </w:tcMar>
            <w:vAlign w:val="center"/>
          </w:tcPr>
          <w:p w14:paraId="3537C4F2">
            <w:pPr>
              <w:snapToGrid w:val="0"/>
              <w:jc w:val="center"/>
              <w:rPr>
                <w:rFonts w:ascii="宋体" w:hAnsi="宋体" w:cs="宋体"/>
                <w:b/>
                <w:szCs w:val="21"/>
              </w:rPr>
            </w:pPr>
            <w:r>
              <w:rPr>
                <w:rFonts w:hint="eastAsia" w:ascii="宋体" w:hAnsi="宋体" w:cs="宋体"/>
                <w:b/>
                <w:szCs w:val="21"/>
              </w:rPr>
              <w:t>副产品/共生产品</w:t>
            </w:r>
          </w:p>
        </w:tc>
        <w:tc>
          <w:tcPr>
            <w:tcW w:w="0" w:type="auto"/>
            <w:tcBorders>
              <w:tl2br w:val="nil"/>
              <w:tr2bl w:val="nil"/>
            </w:tcBorders>
            <w:tcMar>
              <w:top w:w="60" w:type="dxa"/>
              <w:left w:w="60" w:type="dxa"/>
              <w:bottom w:w="60" w:type="dxa"/>
              <w:right w:w="60" w:type="dxa"/>
            </w:tcMar>
            <w:vAlign w:val="center"/>
          </w:tcPr>
          <w:p w14:paraId="3537C4F3">
            <w:pPr>
              <w:snapToGrid w:val="0"/>
              <w:jc w:val="center"/>
              <w:rPr>
                <w:rFonts w:ascii="宋体" w:hAnsi="宋体" w:cs="宋体"/>
                <w:b/>
                <w:szCs w:val="21"/>
              </w:rPr>
            </w:pPr>
            <w:r>
              <w:rPr>
                <w:rFonts w:hint="eastAsia" w:ascii="宋体" w:hAnsi="宋体" w:cs="宋体"/>
                <w:b/>
                <w:szCs w:val="21"/>
              </w:rPr>
              <w:t>分配方法</w:t>
            </w:r>
          </w:p>
        </w:tc>
        <w:tc>
          <w:tcPr>
            <w:tcW w:w="970" w:type="dxa"/>
            <w:tcBorders>
              <w:tl2br w:val="nil"/>
              <w:tr2bl w:val="nil"/>
            </w:tcBorders>
            <w:tcMar>
              <w:top w:w="60" w:type="dxa"/>
              <w:left w:w="60" w:type="dxa"/>
              <w:bottom w:w="60" w:type="dxa"/>
              <w:right w:w="60" w:type="dxa"/>
            </w:tcMar>
            <w:vAlign w:val="center"/>
          </w:tcPr>
          <w:p w14:paraId="3537C4F4">
            <w:pPr>
              <w:snapToGrid w:val="0"/>
              <w:jc w:val="center"/>
              <w:rPr>
                <w:rFonts w:ascii="宋体" w:hAnsi="宋体" w:cs="宋体"/>
                <w:b/>
                <w:szCs w:val="21"/>
              </w:rPr>
            </w:pPr>
            <w:r>
              <w:rPr>
                <w:rFonts w:hint="eastAsia" w:ascii="宋体" w:hAnsi="宋体" w:cs="宋体"/>
                <w:b/>
                <w:szCs w:val="21"/>
              </w:rPr>
              <w:t>备注</w:t>
            </w:r>
          </w:p>
        </w:tc>
      </w:tr>
      <w:tr w14:paraId="3537C4F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jc w:val="center"/>
        </w:trPr>
        <w:tc>
          <w:tcPr>
            <w:tcW w:w="1749" w:type="dxa"/>
            <w:tcBorders>
              <w:tl2br w:val="nil"/>
              <w:tr2bl w:val="nil"/>
            </w:tcBorders>
            <w:tcMar>
              <w:top w:w="60" w:type="dxa"/>
              <w:left w:w="60" w:type="dxa"/>
              <w:bottom w:w="60" w:type="dxa"/>
              <w:right w:w="60" w:type="dxa"/>
            </w:tcMar>
            <w:vAlign w:val="center"/>
          </w:tcPr>
          <w:p w14:paraId="3537C4F6">
            <w:pPr>
              <w:snapToGrid w:val="0"/>
              <w:jc w:val="center"/>
              <w:rPr>
                <w:rFonts w:ascii="宋体" w:hAnsi="宋体" w:cs="宋体"/>
                <w:szCs w:val="21"/>
              </w:rPr>
            </w:pPr>
          </w:p>
        </w:tc>
        <w:tc>
          <w:tcPr>
            <w:tcW w:w="1361" w:type="dxa"/>
            <w:tcBorders>
              <w:tl2br w:val="nil"/>
              <w:tr2bl w:val="nil"/>
            </w:tcBorders>
            <w:tcMar>
              <w:top w:w="60" w:type="dxa"/>
              <w:left w:w="60" w:type="dxa"/>
              <w:bottom w:w="60" w:type="dxa"/>
              <w:right w:w="60" w:type="dxa"/>
            </w:tcMar>
            <w:vAlign w:val="center"/>
          </w:tcPr>
          <w:p w14:paraId="3537C4F7">
            <w:pPr>
              <w:snapToGrid w:val="0"/>
              <w:jc w:val="center"/>
              <w:rPr>
                <w:rFonts w:ascii="宋体" w:hAnsi="宋体" w:cs="宋体"/>
                <w:szCs w:val="21"/>
              </w:rPr>
            </w:pPr>
          </w:p>
        </w:tc>
        <w:tc>
          <w:tcPr>
            <w:tcW w:w="3110" w:type="dxa"/>
            <w:tcBorders>
              <w:tl2br w:val="nil"/>
              <w:tr2bl w:val="nil"/>
            </w:tcBorders>
            <w:tcMar>
              <w:top w:w="60" w:type="dxa"/>
              <w:left w:w="60" w:type="dxa"/>
              <w:bottom w:w="60" w:type="dxa"/>
              <w:right w:w="60" w:type="dxa"/>
            </w:tcMar>
            <w:vAlign w:val="center"/>
          </w:tcPr>
          <w:p w14:paraId="3537C4F8">
            <w:pPr>
              <w:snapToGrid w:val="0"/>
              <w:jc w:val="center"/>
              <w:rPr>
                <w:rFonts w:ascii="宋体" w:hAnsi="宋体" w:cs="宋体"/>
                <w:szCs w:val="21"/>
              </w:rPr>
            </w:pPr>
          </w:p>
        </w:tc>
        <w:tc>
          <w:tcPr>
            <w:tcW w:w="1749" w:type="dxa"/>
            <w:tcBorders>
              <w:tl2br w:val="nil"/>
              <w:tr2bl w:val="nil"/>
            </w:tcBorders>
            <w:tcMar>
              <w:top w:w="60" w:type="dxa"/>
              <w:left w:w="60" w:type="dxa"/>
              <w:bottom w:w="60" w:type="dxa"/>
              <w:right w:w="60" w:type="dxa"/>
            </w:tcMar>
            <w:vAlign w:val="center"/>
          </w:tcPr>
          <w:p w14:paraId="3537C4F9">
            <w:pPr>
              <w:snapToGrid w:val="0"/>
              <w:jc w:val="center"/>
              <w:rPr>
                <w:rFonts w:ascii="宋体" w:hAnsi="宋体" w:cs="宋体"/>
                <w:szCs w:val="21"/>
              </w:rPr>
            </w:pPr>
          </w:p>
        </w:tc>
        <w:tc>
          <w:tcPr>
            <w:tcW w:w="970" w:type="dxa"/>
            <w:tcBorders>
              <w:tl2br w:val="nil"/>
              <w:tr2bl w:val="nil"/>
            </w:tcBorders>
            <w:tcMar>
              <w:top w:w="60" w:type="dxa"/>
              <w:left w:w="60" w:type="dxa"/>
              <w:bottom w:w="60" w:type="dxa"/>
              <w:right w:w="60" w:type="dxa"/>
            </w:tcMar>
            <w:vAlign w:val="center"/>
          </w:tcPr>
          <w:p w14:paraId="3537C4FA">
            <w:pPr>
              <w:snapToGrid w:val="0"/>
              <w:jc w:val="center"/>
              <w:rPr>
                <w:rFonts w:ascii="宋体" w:hAnsi="宋体" w:cs="宋体"/>
                <w:szCs w:val="21"/>
              </w:rPr>
            </w:pPr>
          </w:p>
        </w:tc>
      </w:tr>
    </w:tbl>
    <w:p w14:paraId="3537C4FC">
      <w:pPr>
        <w:ind w:firstLine="422" w:firstLineChars="200"/>
        <w:rPr>
          <w:rFonts w:ascii="宋体" w:hAnsi="宋体" w:cs="宋体"/>
          <w:b/>
          <w:bCs/>
          <w:szCs w:val="21"/>
        </w:rPr>
      </w:pPr>
      <w:r>
        <w:rPr>
          <w:rFonts w:hint="eastAsia" w:ascii="宋体" w:hAnsi="宋体" w:cs="宋体"/>
          <w:b/>
          <w:bCs/>
          <w:szCs w:val="21"/>
        </w:rPr>
        <w:t>四、清单分析</w:t>
      </w:r>
    </w:p>
    <w:p w14:paraId="3537C4FD">
      <w:pPr>
        <w:ind w:firstLine="422" w:firstLineChars="200"/>
        <w:rPr>
          <w:rFonts w:ascii="宋体" w:hAnsi="宋体" w:cs="宋体"/>
          <w:b/>
          <w:bCs/>
          <w:szCs w:val="21"/>
        </w:rPr>
      </w:pPr>
      <w:r>
        <w:rPr>
          <w:rFonts w:hint="eastAsia" w:ascii="宋体" w:hAnsi="宋体" w:cs="宋体"/>
          <w:b/>
          <w:bCs/>
          <w:szCs w:val="21"/>
        </w:rPr>
        <w:t>4.1 数据来源说明</w:t>
      </w:r>
    </w:p>
    <w:p w14:paraId="3537C4FE">
      <w:pPr>
        <w:ind w:firstLine="420" w:firstLineChars="200"/>
        <w:rPr>
          <w:rFonts w:ascii="宋体" w:hAnsi="宋体" w:cs="宋体"/>
          <w:szCs w:val="21"/>
        </w:rPr>
      </w:pPr>
      <w:r>
        <w:rPr>
          <w:rFonts w:hint="eastAsia" w:ascii="宋体" w:hAnsi="宋体" w:cs="宋体"/>
          <w:szCs w:val="21"/>
        </w:rPr>
        <w:t>4.1.1 生产过程基本信息</w:t>
      </w:r>
    </w:p>
    <w:p w14:paraId="3537C4FF">
      <w:pPr>
        <w:ind w:firstLine="420" w:firstLineChars="200"/>
        <w:rPr>
          <w:rFonts w:ascii="宋体" w:hAnsi="宋体" w:cs="宋体"/>
          <w:szCs w:val="21"/>
        </w:rPr>
      </w:pPr>
      <w:r>
        <w:rPr>
          <w:rFonts w:hint="eastAsia" w:ascii="宋体" w:hAnsi="宋体" w:cs="宋体"/>
          <w:szCs w:val="21"/>
        </w:rPr>
        <w:t>过程名称：</w:t>
      </w:r>
    </w:p>
    <w:p w14:paraId="3537C500">
      <w:pPr>
        <w:ind w:firstLine="420" w:firstLineChars="200"/>
        <w:rPr>
          <w:rFonts w:ascii="宋体" w:hAnsi="宋体" w:cs="宋体"/>
          <w:szCs w:val="21"/>
        </w:rPr>
      </w:pPr>
      <w:r>
        <w:rPr>
          <w:rFonts w:hint="eastAsia" w:ascii="宋体" w:hAnsi="宋体" w:cs="宋体"/>
          <w:szCs w:val="21"/>
        </w:rPr>
        <w:t>主要数据来源：☐ 初级数据 ☐ 次级数据 ☐ 混合数据</w:t>
      </w:r>
    </w:p>
    <w:p w14:paraId="3537C501">
      <w:pPr>
        <w:ind w:firstLine="420" w:firstLineChars="200"/>
        <w:rPr>
          <w:rFonts w:ascii="宋体" w:hAnsi="宋体" w:cs="宋体"/>
          <w:szCs w:val="21"/>
        </w:rPr>
      </w:pPr>
      <w:r>
        <w:rPr>
          <w:rFonts w:hint="eastAsia" w:ascii="宋体" w:hAnsi="宋体" w:cs="宋体"/>
          <w:szCs w:val="21"/>
        </w:rPr>
        <w:t>基准年：20XX 年</w:t>
      </w:r>
    </w:p>
    <w:p w14:paraId="3537C502">
      <w:pPr>
        <w:ind w:firstLine="420" w:firstLineChars="200"/>
        <w:rPr>
          <w:rFonts w:ascii="宋体" w:hAnsi="宋体" w:cs="宋体"/>
          <w:szCs w:val="21"/>
        </w:rPr>
      </w:pPr>
      <w:r>
        <w:rPr>
          <w:rFonts w:hint="eastAsia" w:ascii="宋体" w:hAnsi="宋体" w:cs="宋体"/>
          <w:szCs w:val="21"/>
        </w:rPr>
        <w:t>技术代表性：</w:t>
      </w:r>
    </w:p>
    <w:p w14:paraId="3537C503">
      <w:pPr>
        <w:ind w:firstLine="420" w:firstLineChars="200"/>
        <w:rPr>
          <w:rFonts w:ascii="宋体" w:hAnsi="宋体" w:cs="宋体"/>
          <w:szCs w:val="21"/>
        </w:rPr>
      </w:pPr>
      <w:r>
        <w:rPr>
          <w:rFonts w:hint="eastAsia" w:ascii="宋体" w:hAnsi="宋体" w:cs="宋体"/>
          <w:szCs w:val="21"/>
        </w:rPr>
        <w:t>生产工艺：</w:t>
      </w:r>
    </w:p>
    <w:p w14:paraId="3537C504">
      <w:pPr>
        <w:ind w:firstLine="420" w:firstLineChars="200"/>
        <w:rPr>
          <w:rFonts w:ascii="宋体" w:hAnsi="宋体" w:cs="宋体"/>
          <w:szCs w:val="21"/>
        </w:rPr>
      </w:pPr>
      <w:r>
        <w:rPr>
          <w:rFonts w:hint="eastAsia" w:ascii="宋体" w:hAnsi="宋体" w:cs="宋体"/>
          <w:szCs w:val="21"/>
        </w:rPr>
        <w:t>生产规模：</w:t>
      </w:r>
    </w:p>
    <w:p w14:paraId="3537C505">
      <w:pPr>
        <w:ind w:firstLine="420" w:firstLineChars="200"/>
        <w:rPr>
          <w:rFonts w:ascii="宋体" w:hAnsi="宋体" w:cs="宋体"/>
          <w:szCs w:val="21"/>
        </w:rPr>
      </w:pPr>
      <w:r>
        <w:rPr>
          <w:rFonts w:hint="eastAsia" w:ascii="宋体" w:hAnsi="宋体" w:cs="宋体"/>
          <w:szCs w:val="21"/>
        </w:rPr>
        <w:t>主要原料：</w:t>
      </w:r>
    </w:p>
    <w:p w14:paraId="3537C506">
      <w:pPr>
        <w:ind w:firstLine="420" w:firstLineChars="200"/>
        <w:rPr>
          <w:rFonts w:ascii="宋体" w:hAnsi="宋体" w:cs="宋体"/>
          <w:szCs w:val="21"/>
          <w14:ligatures w14:val="standardContextual"/>
        </w:rPr>
      </w:pPr>
      <w:r>
        <w:rPr>
          <w:rFonts w:hint="eastAsia" w:ascii="宋体" w:hAnsi="宋体" w:cs="宋体"/>
          <w:szCs w:val="21"/>
        </w:rPr>
        <w:t>主要能耗（应说明是否仅包括生产阶段能源，或同时包括运输、包装、废弃物处理等相关环节能源）：</w:t>
      </w:r>
    </w:p>
    <w:p w14:paraId="3537C507">
      <w:pPr>
        <w:jc w:val="center"/>
        <w:rPr>
          <w:rFonts w:ascii="宋体" w:hAnsi="宋体" w:cs="宋体"/>
          <w:b/>
          <w:bCs/>
          <w:szCs w:val="21"/>
        </w:rPr>
      </w:pPr>
      <w:r>
        <w:rPr>
          <w:rFonts w:hint="eastAsia" w:ascii="宋体" w:hAnsi="宋体" w:cs="宋体"/>
          <w:b/>
          <w:bCs/>
          <w:szCs w:val="21"/>
        </w:rPr>
        <w:t>表 4-1 过程清单数据表</w:t>
      </w:r>
    </w:p>
    <w:tbl>
      <w:tblPr>
        <w:tblStyle w:val="38"/>
        <w:tblW w:w="8947" w:type="dxa"/>
        <w:jc w:val="center"/>
        <w:tblLayout w:type="autofit"/>
        <w:tblCellMar>
          <w:top w:w="15" w:type="dxa"/>
          <w:left w:w="15" w:type="dxa"/>
          <w:bottom w:w="15" w:type="dxa"/>
          <w:right w:w="15" w:type="dxa"/>
        </w:tblCellMar>
      </w:tblPr>
      <w:tblGrid>
        <w:gridCol w:w="1746"/>
        <w:gridCol w:w="972"/>
        <w:gridCol w:w="972"/>
        <w:gridCol w:w="972"/>
        <w:gridCol w:w="1751"/>
        <w:gridCol w:w="2534"/>
      </w:tblGrid>
      <w:tr w14:paraId="3537C50E">
        <w:tblPrEx>
          <w:tblCellMar>
            <w:top w:w="15" w:type="dxa"/>
            <w:left w:w="15" w:type="dxa"/>
            <w:bottom w:w="15" w:type="dxa"/>
            <w:right w:w="15" w:type="dxa"/>
          </w:tblCellMar>
        </w:tblPrEx>
        <w:trPr>
          <w:tblHeader/>
          <w:jc w:val="center"/>
        </w:trPr>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08">
            <w:pPr>
              <w:snapToGrid w:val="0"/>
              <w:jc w:val="center"/>
              <w:rPr>
                <w:rFonts w:ascii="宋体" w:hAnsi="宋体" w:cs="宋体"/>
                <w:b/>
                <w:bCs/>
                <w:szCs w:val="21"/>
              </w:rPr>
            </w:pPr>
            <w:r>
              <w:rPr>
                <w:rFonts w:hint="eastAsia" w:ascii="宋体" w:hAnsi="宋体" w:cs="宋体"/>
                <w:b/>
                <w:bCs/>
                <w:szCs w:val="21"/>
              </w:rPr>
              <w:t>类型</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09">
            <w:pPr>
              <w:snapToGrid w:val="0"/>
              <w:jc w:val="center"/>
              <w:rPr>
                <w:rFonts w:ascii="宋体" w:hAnsi="宋体" w:cs="宋体"/>
                <w:b/>
                <w:bCs/>
                <w:szCs w:val="21"/>
              </w:rPr>
            </w:pPr>
            <w:r>
              <w:rPr>
                <w:rFonts w:hint="eastAsia" w:ascii="宋体" w:hAnsi="宋体" w:cs="宋体"/>
                <w:b/>
                <w:bCs/>
                <w:szCs w:val="21"/>
              </w:rPr>
              <w:t>名称</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0A">
            <w:pPr>
              <w:snapToGrid w:val="0"/>
              <w:jc w:val="center"/>
              <w:rPr>
                <w:rFonts w:ascii="宋体" w:hAnsi="宋体" w:cs="宋体"/>
                <w:b/>
                <w:bCs/>
                <w:szCs w:val="21"/>
              </w:rPr>
            </w:pPr>
            <w:r>
              <w:rPr>
                <w:rFonts w:hint="eastAsia" w:ascii="宋体" w:hAnsi="宋体" w:cs="宋体"/>
                <w:b/>
                <w:bCs/>
                <w:szCs w:val="21"/>
              </w:rPr>
              <w:t>数量</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0B">
            <w:pPr>
              <w:snapToGrid w:val="0"/>
              <w:jc w:val="center"/>
              <w:rPr>
                <w:rFonts w:ascii="宋体" w:hAnsi="宋体" w:cs="宋体"/>
                <w:b/>
                <w:bCs/>
                <w:szCs w:val="21"/>
              </w:rPr>
            </w:pPr>
            <w:r>
              <w:rPr>
                <w:rFonts w:hint="eastAsia" w:ascii="宋体" w:hAnsi="宋体" w:cs="宋体"/>
                <w:b/>
                <w:bCs/>
                <w:szCs w:val="21"/>
              </w:rPr>
              <w:t>单位</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0C">
            <w:pPr>
              <w:snapToGrid w:val="0"/>
              <w:jc w:val="center"/>
              <w:rPr>
                <w:rFonts w:ascii="宋体" w:hAnsi="宋体" w:cs="宋体"/>
                <w:b/>
                <w:bCs/>
                <w:szCs w:val="21"/>
              </w:rPr>
            </w:pPr>
            <w:r>
              <w:rPr>
                <w:rFonts w:hint="eastAsia" w:ascii="宋体" w:hAnsi="宋体" w:cs="宋体"/>
                <w:b/>
                <w:bCs/>
                <w:szCs w:val="21"/>
              </w:rPr>
              <w:t>数据来源</w:t>
            </w:r>
          </w:p>
        </w:tc>
        <w:tc>
          <w:tcPr>
            <w:tcW w:w="253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0D">
            <w:pPr>
              <w:snapToGrid w:val="0"/>
              <w:jc w:val="center"/>
              <w:rPr>
                <w:rFonts w:ascii="宋体" w:hAnsi="宋体" w:cs="宋体"/>
                <w:b/>
                <w:bCs/>
                <w:szCs w:val="21"/>
              </w:rPr>
            </w:pPr>
            <w:r>
              <w:rPr>
                <w:rFonts w:hint="eastAsia" w:ascii="宋体" w:hAnsi="宋体" w:cs="宋体"/>
                <w:b/>
                <w:bCs/>
                <w:szCs w:val="21"/>
              </w:rPr>
              <w:t>排放因子来源</w:t>
            </w:r>
          </w:p>
        </w:tc>
      </w:tr>
      <w:tr w14:paraId="3537C515">
        <w:tblPrEx>
          <w:tblCellMar>
            <w:top w:w="15" w:type="dxa"/>
            <w:left w:w="15" w:type="dxa"/>
            <w:bottom w:w="15" w:type="dxa"/>
            <w:right w:w="15" w:type="dxa"/>
          </w:tblCellMar>
        </w:tblPrEx>
        <w:trPr>
          <w:jc w:val="center"/>
        </w:trPr>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0F">
            <w:pPr>
              <w:snapToGrid w:val="0"/>
              <w:jc w:val="center"/>
              <w:rPr>
                <w:rFonts w:ascii="宋体" w:hAnsi="宋体" w:cs="宋体"/>
                <w:szCs w:val="21"/>
              </w:rPr>
            </w:pPr>
            <w:r>
              <w:rPr>
                <w:rFonts w:hint="eastAsia" w:ascii="宋体" w:hAnsi="宋体" w:cs="宋体"/>
                <w:szCs w:val="21"/>
              </w:rPr>
              <w:t>产品产出</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10">
            <w:pPr>
              <w:snapToGrid w:val="0"/>
              <w:jc w:val="center"/>
              <w:rPr>
                <w:rFonts w:ascii="宋体" w:hAnsi="宋体" w:cs="宋体"/>
                <w:szCs w:val="21"/>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11">
            <w:pPr>
              <w:snapToGrid w:val="0"/>
              <w:jc w:val="center"/>
              <w:rPr>
                <w:rFonts w:ascii="宋体" w:hAnsi="宋体" w:cs="宋体"/>
                <w:szCs w:val="21"/>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12">
            <w:pPr>
              <w:snapToGrid w:val="0"/>
              <w:jc w:val="center"/>
              <w:rPr>
                <w:rFonts w:ascii="宋体" w:hAnsi="宋体" w:cs="宋体"/>
                <w:szCs w:val="21"/>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13">
            <w:pPr>
              <w:snapToGrid w:val="0"/>
              <w:jc w:val="center"/>
              <w:rPr>
                <w:rFonts w:ascii="宋体" w:hAnsi="宋体" w:cs="宋体"/>
                <w:szCs w:val="21"/>
              </w:rPr>
            </w:pPr>
          </w:p>
        </w:tc>
        <w:tc>
          <w:tcPr>
            <w:tcW w:w="253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14">
            <w:pPr>
              <w:snapToGrid w:val="0"/>
              <w:jc w:val="center"/>
              <w:rPr>
                <w:rFonts w:ascii="宋体" w:hAnsi="宋体" w:cs="宋体"/>
                <w:szCs w:val="21"/>
              </w:rPr>
            </w:pPr>
          </w:p>
        </w:tc>
      </w:tr>
      <w:tr w14:paraId="3537C51C">
        <w:tblPrEx>
          <w:tblCellMar>
            <w:top w:w="15" w:type="dxa"/>
            <w:left w:w="15" w:type="dxa"/>
            <w:bottom w:w="15" w:type="dxa"/>
            <w:right w:w="15" w:type="dxa"/>
          </w:tblCellMar>
        </w:tblPrEx>
        <w:trPr>
          <w:jc w:val="center"/>
        </w:trPr>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16">
            <w:pPr>
              <w:snapToGrid w:val="0"/>
              <w:jc w:val="center"/>
              <w:rPr>
                <w:rFonts w:ascii="宋体" w:hAnsi="宋体" w:cs="宋体"/>
                <w:szCs w:val="21"/>
              </w:rPr>
            </w:pPr>
            <w:r>
              <w:rPr>
                <w:rFonts w:hint="eastAsia" w:ascii="宋体" w:hAnsi="宋体" w:cs="宋体"/>
                <w:szCs w:val="21"/>
              </w:rPr>
              <w:t>原材料</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17">
            <w:pPr>
              <w:snapToGrid w:val="0"/>
              <w:jc w:val="center"/>
              <w:rPr>
                <w:rFonts w:ascii="宋体" w:hAnsi="宋体" w:cs="宋体"/>
                <w:szCs w:val="21"/>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18">
            <w:pPr>
              <w:snapToGrid w:val="0"/>
              <w:jc w:val="center"/>
              <w:rPr>
                <w:rFonts w:ascii="宋体" w:hAnsi="宋体" w:cs="宋体"/>
                <w:szCs w:val="21"/>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19">
            <w:pPr>
              <w:snapToGrid w:val="0"/>
              <w:jc w:val="center"/>
              <w:rPr>
                <w:rFonts w:ascii="宋体" w:hAnsi="宋体" w:cs="宋体"/>
                <w:szCs w:val="21"/>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1A">
            <w:pPr>
              <w:snapToGrid w:val="0"/>
              <w:jc w:val="center"/>
              <w:rPr>
                <w:rFonts w:ascii="宋体" w:hAnsi="宋体" w:cs="宋体"/>
                <w:szCs w:val="21"/>
              </w:rPr>
            </w:pPr>
          </w:p>
        </w:tc>
        <w:tc>
          <w:tcPr>
            <w:tcW w:w="253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1B">
            <w:pPr>
              <w:snapToGrid w:val="0"/>
              <w:jc w:val="center"/>
              <w:rPr>
                <w:rFonts w:ascii="宋体" w:hAnsi="宋体" w:cs="宋体"/>
                <w:szCs w:val="21"/>
              </w:rPr>
            </w:pPr>
          </w:p>
        </w:tc>
      </w:tr>
      <w:tr w14:paraId="3537C523">
        <w:tblPrEx>
          <w:tblCellMar>
            <w:top w:w="15" w:type="dxa"/>
            <w:left w:w="15" w:type="dxa"/>
            <w:bottom w:w="15" w:type="dxa"/>
            <w:right w:w="15" w:type="dxa"/>
          </w:tblCellMar>
        </w:tblPrEx>
        <w:trPr>
          <w:jc w:val="center"/>
        </w:trPr>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1D">
            <w:pPr>
              <w:snapToGrid w:val="0"/>
              <w:jc w:val="center"/>
              <w:rPr>
                <w:rFonts w:ascii="宋体" w:hAnsi="宋体" w:cs="宋体"/>
                <w:szCs w:val="21"/>
              </w:rPr>
            </w:pPr>
            <w:r>
              <w:rPr>
                <w:rFonts w:hint="eastAsia" w:ascii="宋体" w:hAnsi="宋体" w:cs="宋体"/>
                <w:szCs w:val="21"/>
              </w:rPr>
              <w:t>能源</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1E">
            <w:pPr>
              <w:snapToGrid w:val="0"/>
              <w:jc w:val="center"/>
              <w:rPr>
                <w:rFonts w:ascii="宋体" w:hAnsi="宋体" w:cs="宋体"/>
                <w:szCs w:val="21"/>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1F">
            <w:pPr>
              <w:snapToGrid w:val="0"/>
              <w:jc w:val="center"/>
              <w:rPr>
                <w:rFonts w:ascii="宋体" w:hAnsi="宋体" w:cs="宋体"/>
                <w:szCs w:val="21"/>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20">
            <w:pPr>
              <w:snapToGrid w:val="0"/>
              <w:jc w:val="center"/>
              <w:rPr>
                <w:rFonts w:ascii="宋体" w:hAnsi="宋体" w:cs="宋体"/>
                <w:szCs w:val="21"/>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21">
            <w:pPr>
              <w:snapToGrid w:val="0"/>
              <w:jc w:val="center"/>
              <w:rPr>
                <w:rFonts w:ascii="宋体" w:hAnsi="宋体" w:cs="宋体"/>
                <w:szCs w:val="21"/>
              </w:rPr>
            </w:pPr>
          </w:p>
        </w:tc>
        <w:tc>
          <w:tcPr>
            <w:tcW w:w="253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22">
            <w:pPr>
              <w:snapToGrid w:val="0"/>
              <w:jc w:val="center"/>
              <w:rPr>
                <w:rFonts w:ascii="宋体" w:hAnsi="宋体" w:cs="宋体"/>
                <w:szCs w:val="21"/>
              </w:rPr>
            </w:pPr>
          </w:p>
        </w:tc>
      </w:tr>
      <w:tr w14:paraId="3537C52A">
        <w:tblPrEx>
          <w:tblCellMar>
            <w:top w:w="15" w:type="dxa"/>
            <w:left w:w="15" w:type="dxa"/>
            <w:bottom w:w="15" w:type="dxa"/>
            <w:right w:w="15" w:type="dxa"/>
          </w:tblCellMar>
        </w:tblPrEx>
        <w:trPr>
          <w:jc w:val="center"/>
        </w:trPr>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24">
            <w:pPr>
              <w:snapToGrid w:val="0"/>
              <w:jc w:val="center"/>
              <w:rPr>
                <w:rFonts w:ascii="宋体" w:hAnsi="宋体" w:cs="宋体"/>
                <w:szCs w:val="21"/>
              </w:rPr>
            </w:pPr>
            <w:r>
              <w:rPr>
                <w:rFonts w:hint="eastAsia" w:ascii="宋体" w:hAnsi="宋体" w:cs="宋体"/>
                <w:szCs w:val="21"/>
              </w:rPr>
              <w:t>包装材料</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25">
            <w:pPr>
              <w:snapToGrid w:val="0"/>
              <w:jc w:val="center"/>
              <w:rPr>
                <w:rFonts w:ascii="宋体" w:hAnsi="宋体" w:cs="宋体"/>
                <w:szCs w:val="21"/>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26">
            <w:pPr>
              <w:snapToGrid w:val="0"/>
              <w:jc w:val="center"/>
              <w:rPr>
                <w:rFonts w:ascii="宋体" w:hAnsi="宋体" w:cs="宋体"/>
                <w:szCs w:val="21"/>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27">
            <w:pPr>
              <w:snapToGrid w:val="0"/>
              <w:jc w:val="center"/>
              <w:rPr>
                <w:rFonts w:ascii="宋体" w:hAnsi="宋体" w:cs="宋体"/>
                <w:szCs w:val="21"/>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28">
            <w:pPr>
              <w:snapToGrid w:val="0"/>
              <w:jc w:val="center"/>
              <w:rPr>
                <w:rFonts w:ascii="宋体" w:hAnsi="宋体" w:cs="宋体"/>
                <w:szCs w:val="21"/>
              </w:rPr>
            </w:pPr>
          </w:p>
        </w:tc>
        <w:tc>
          <w:tcPr>
            <w:tcW w:w="253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29">
            <w:pPr>
              <w:snapToGrid w:val="0"/>
              <w:jc w:val="center"/>
              <w:rPr>
                <w:rFonts w:ascii="宋体" w:hAnsi="宋体" w:cs="宋体"/>
                <w:szCs w:val="21"/>
              </w:rPr>
            </w:pPr>
          </w:p>
        </w:tc>
      </w:tr>
      <w:tr w14:paraId="3537C531">
        <w:tblPrEx>
          <w:tblCellMar>
            <w:top w:w="15" w:type="dxa"/>
            <w:left w:w="15" w:type="dxa"/>
            <w:bottom w:w="15" w:type="dxa"/>
            <w:right w:w="15" w:type="dxa"/>
          </w:tblCellMar>
        </w:tblPrEx>
        <w:trPr>
          <w:jc w:val="center"/>
        </w:trPr>
        <w:tc>
          <w:tcPr>
            <w:tcW w:w="1746"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2B">
            <w:pPr>
              <w:snapToGrid w:val="0"/>
              <w:jc w:val="center"/>
              <w:rPr>
                <w:rFonts w:ascii="宋体" w:hAnsi="宋体" w:cs="宋体"/>
                <w:szCs w:val="21"/>
              </w:rPr>
            </w:pPr>
            <w:r>
              <w:rPr>
                <w:rFonts w:hint="eastAsia" w:ascii="宋体" w:hAnsi="宋体" w:cs="宋体"/>
                <w:szCs w:val="21"/>
              </w:rPr>
              <w:t>废弃物</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2C">
            <w:pPr>
              <w:snapToGrid w:val="0"/>
              <w:jc w:val="center"/>
              <w:rPr>
                <w:rFonts w:ascii="宋体" w:hAnsi="宋体" w:cs="宋体"/>
                <w:szCs w:val="21"/>
              </w:rPr>
            </w:pP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2D">
            <w:pPr>
              <w:snapToGrid w:val="0"/>
              <w:jc w:val="center"/>
              <w:rPr>
                <w:rFonts w:ascii="宋体" w:hAnsi="宋体" w:cs="宋体"/>
                <w:szCs w:val="21"/>
              </w:rPr>
            </w:pP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2E">
            <w:pPr>
              <w:snapToGrid w:val="0"/>
              <w:jc w:val="center"/>
              <w:rPr>
                <w:rFonts w:ascii="宋体" w:hAnsi="宋体" w:cs="宋体"/>
                <w:szCs w:val="21"/>
              </w:rPr>
            </w:pPr>
          </w:p>
        </w:tc>
        <w:tc>
          <w:tcPr>
            <w:tcW w:w="1751"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2F">
            <w:pPr>
              <w:snapToGrid w:val="0"/>
              <w:jc w:val="center"/>
              <w:rPr>
                <w:rFonts w:ascii="宋体" w:hAnsi="宋体" w:cs="宋体"/>
                <w:szCs w:val="21"/>
              </w:rPr>
            </w:pPr>
          </w:p>
        </w:tc>
        <w:tc>
          <w:tcPr>
            <w:tcW w:w="253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30">
            <w:pPr>
              <w:snapToGrid w:val="0"/>
              <w:jc w:val="center"/>
              <w:rPr>
                <w:rFonts w:ascii="宋体" w:hAnsi="宋体" w:cs="宋体"/>
                <w:szCs w:val="21"/>
              </w:rPr>
            </w:pPr>
          </w:p>
        </w:tc>
      </w:tr>
    </w:tbl>
    <w:p w14:paraId="3537C532">
      <w:pPr>
        <w:jc w:val="center"/>
        <w:rPr>
          <w:rFonts w:ascii="宋体" w:hAnsi="宋体" w:cs="宋体"/>
          <w:b/>
          <w:bCs/>
          <w:szCs w:val="21"/>
        </w:rPr>
      </w:pPr>
      <w:r>
        <w:rPr>
          <w:rFonts w:hint="eastAsia" w:ascii="宋体" w:hAnsi="宋体" w:cs="宋体"/>
          <w:b/>
          <w:bCs/>
          <w:szCs w:val="21"/>
        </w:rPr>
        <w:t>表 4-2 运输数据清单</w:t>
      </w:r>
    </w:p>
    <w:tbl>
      <w:tblPr>
        <w:tblStyle w:val="38"/>
        <w:tblW w:w="8939"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15" w:type="dxa"/>
          <w:left w:w="15" w:type="dxa"/>
          <w:bottom w:w="15" w:type="dxa"/>
          <w:right w:w="15" w:type="dxa"/>
        </w:tblCellMar>
      </w:tblPr>
      <w:tblGrid>
        <w:gridCol w:w="1608"/>
        <w:gridCol w:w="1608"/>
        <w:gridCol w:w="893"/>
        <w:gridCol w:w="893"/>
        <w:gridCol w:w="2329"/>
        <w:gridCol w:w="1608"/>
      </w:tblGrid>
      <w:tr w14:paraId="3537C53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blHeader/>
          <w:jc w:val="center"/>
        </w:trPr>
        <w:tc>
          <w:tcPr>
            <w:tcW w:w="0" w:type="auto"/>
            <w:tcBorders>
              <w:tl2br w:val="nil"/>
              <w:tr2bl w:val="nil"/>
            </w:tcBorders>
            <w:tcMar>
              <w:top w:w="60" w:type="dxa"/>
              <w:left w:w="60" w:type="dxa"/>
              <w:bottom w:w="60" w:type="dxa"/>
              <w:right w:w="60" w:type="dxa"/>
            </w:tcMar>
            <w:vAlign w:val="center"/>
          </w:tcPr>
          <w:p w14:paraId="3537C533">
            <w:pPr>
              <w:snapToGrid w:val="0"/>
              <w:jc w:val="center"/>
              <w:rPr>
                <w:rFonts w:ascii="宋体" w:hAnsi="宋体" w:cs="宋体"/>
                <w:b/>
                <w:bCs/>
                <w:szCs w:val="21"/>
              </w:rPr>
            </w:pPr>
            <w:r>
              <w:rPr>
                <w:rFonts w:hint="eastAsia" w:ascii="宋体" w:hAnsi="宋体" w:cs="宋体"/>
                <w:b/>
                <w:bCs/>
                <w:szCs w:val="21"/>
              </w:rPr>
              <w:t>物料名称</w:t>
            </w:r>
          </w:p>
        </w:tc>
        <w:tc>
          <w:tcPr>
            <w:tcW w:w="0" w:type="auto"/>
            <w:tcBorders>
              <w:tl2br w:val="nil"/>
              <w:tr2bl w:val="nil"/>
            </w:tcBorders>
            <w:tcMar>
              <w:top w:w="60" w:type="dxa"/>
              <w:left w:w="60" w:type="dxa"/>
              <w:bottom w:w="60" w:type="dxa"/>
              <w:right w:w="60" w:type="dxa"/>
            </w:tcMar>
            <w:vAlign w:val="center"/>
          </w:tcPr>
          <w:p w14:paraId="3537C534">
            <w:pPr>
              <w:snapToGrid w:val="0"/>
              <w:jc w:val="center"/>
              <w:rPr>
                <w:rFonts w:ascii="宋体" w:hAnsi="宋体" w:cs="宋体"/>
                <w:b/>
                <w:bCs/>
                <w:szCs w:val="21"/>
              </w:rPr>
            </w:pPr>
            <w:r>
              <w:rPr>
                <w:rFonts w:hint="eastAsia" w:ascii="宋体" w:hAnsi="宋体" w:cs="宋体"/>
                <w:b/>
                <w:bCs/>
                <w:szCs w:val="21"/>
              </w:rPr>
              <w:t>运输重量</w:t>
            </w:r>
          </w:p>
        </w:tc>
        <w:tc>
          <w:tcPr>
            <w:tcW w:w="0" w:type="auto"/>
            <w:tcBorders>
              <w:tl2br w:val="nil"/>
              <w:tr2bl w:val="nil"/>
            </w:tcBorders>
            <w:tcMar>
              <w:top w:w="60" w:type="dxa"/>
              <w:left w:w="60" w:type="dxa"/>
              <w:bottom w:w="60" w:type="dxa"/>
              <w:right w:w="60" w:type="dxa"/>
            </w:tcMar>
            <w:vAlign w:val="center"/>
          </w:tcPr>
          <w:p w14:paraId="3537C535">
            <w:pPr>
              <w:snapToGrid w:val="0"/>
              <w:jc w:val="center"/>
              <w:rPr>
                <w:rFonts w:ascii="宋体" w:hAnsi="宋体" w:cs="宋体"/>
                <w:b/>
                <w:bCs/>
                <w:szCs w:val="21"/>
              </w:rPr>
            </w:pPr>
            <w:r>
              <w:rPr>
                <w:rFonts w:hint="eastAsia" w:ascii="宋体" w:hAnsi="宋体" w:cs="宋体"/>
                <w:b/>
                <w:bCs/>
                <w:szCs w:val="21"/>
              </w:rPr>
              <w:t>起点</w:t>
            </w:r>
          </w:p>
        </w:tc>
        <w:tc>
          <w:tcPr>
            <w:tcW w:w="0" w:type="auto"/>
            <w:tcBorders>
              <w:tl2br w:val="nil"/>
              <w:tr2bl w:val="nil"/>
            </w:tcBorders>
            <w:tcMar>
              <w:top w:w="60" w:type="dxa"/>
              <w:left w:w="60" w:type="dxa"/>
              <w:bottom w:w="60" w:type="dxa"/>
              <w:right w:w="60" w:type="dxa"/>
            </w:tcMar>
            <w:vAlign w:val="center"/>
          </w:tcPr>
          <w:p w14:paraId="3537C536">
            <w:pPr>
              <w:snapToGrid w:val="0"/>
              <w:jc w:val="center"/>
              <w:rPr>
                <w:rFonts w:ascii="宋体" w:hAnsi="宋体" w:cs="宋体"/>
                <w:b/>
                <w:bCs/>
                <w:szCs w:val="21"/>
              </w:rPr>
            </w:pPr>
            <w:r>
              <w:rPr>
                <w:rFonts w:hint="eastAsia" w:ascii="宋体" w:hAnsi="宋体" w:cs="宋体"/>
                <w:b/>
                <w:bCs/>
                <w:szCs w:val="21"/>
              </w:rPr>
              <w:t>终点</w:t>
            </w:r>
          </w:p>
        </w:tc>
        <w:tc>
          <w:tcPr>
            <w:tcW w:w="0" w:type="auto"/>
            <w:tcBorders>
              <w:tl2br w:val="nil"/>
              <w:tr2bl w:val="nil"/>
            </w:tcBorders>
            <w:tcMar>
              <w:top w:w="60" w:type="dxa"/>
              <w:left w:w="60" w:type="dxa"/>
              <w:bottom w:w="60" w:type="dxa"/>
              <w:right w:w="60" w:type="dxa"/>
            </w:tcMar>
            <w:vAlign w:val="center"/>
          </w:tcPr>
          <w:p w14:paraId="3537C537">
            <w:pPr>
              <w:snapToGrid w:val="0"/>
              <w:jc w:val="center"/>
              <w:rPr>
                <w:rFonts w:ascii="宋体" w:hAnsi="宋体" w:cs="宋体"/>
                <w:b/>
                <w:bCs/>
                <w:szCs w:val="21"/>
              </w:rPr>
            </w:pPr>
            <w:r>
              <w:rPr>
                <w:rFonts w:hint="eastAsia" w:ascii="宋体" w:hAnsi="宋体" w:cs="宋体"/>
                <w:b/>
                <w:bCs/>
                <w:szCs w:val="21"/>
              </w:rPr>
              <w:t>运输距离(km)</w:t>
            </w:r>
          </w:p>
        </w:tc>
        <w:tc>
          <w:tcPr>
            <w:tcW w:w="1608" w:type="dxa"/>
            <w:tcBorders>
              <w:tl2br w:val="nil"/>
              <w:tr2bl w:val="nil"/>
            </w:tcBorders>
            <w:tcMar>
              <w:top w:w="60" w:type="dxa"/>
              <w:left w:w="60" w:type="dxa"/>
              <w:bottom w:w="60" w:type="dxa"/>
              <w:right w:w="60" w:type="dxa"/>
            </w:tcMar>
            <w:vAlign w:val="center"/>
          </w:tcPr>
          <w:p w14:paraId="3537C538">
            <w:pPr>
              <w:snapToGrid w:val="0"/>
              <w:jc w:val="center"/>
              <w:rPr>
                <w:rFonts w:ascii="宋体" w:hAnsi="宋体" w:cs="宋体"/>
                <w:b/>
                <w:bCs/>
                <w:szCs w:val="21"/>
              </w:rPr>
            </w:pPr>
            <w:r>
              <w:rPr>
                <w:rFonts w:hint="eastAsia" w:ascii="宋体" w:hAnsi="宋体" w:cs="宋体"/>
                <w:b/>
                <w:bCs/>
                <w:szCs w:val="21"/>
              </w:rPr>
              <w:t>运输类型</w:t>
            </w:r>
          </w:p>
        </w:tc>
      </w:tr>
      <w:tr w14:paraId="3537C54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jc w:val="center"/>
        </w:trPr>
        <w:tc>
          <w:tcPr>
            <w:tcW w:w="1608" w:type="dxa"/>
            <w:tcBorders>
              <w:tl2br w:val="nil"/>
              <w:tr2bl w:val="nil"/>
            </w:tcBorders>
            <w:tcMar>
              <w:top w:w="60" w:type="dxa"/>
              <w:left w:w="60" w:type="dxa"/>
              <w:bottom w:w="60" w:type="dxa"/>
              <w:right w:w="60" w:type="dxa"/>
            </w:tcMar>
            <w:vAlign w:val="center"/>
          </w:tcPr>
          <w:p w14:paraId="3537C53A">
            <w:pPr>
              <w:snapToGrid w:val="0"/>
              <w:jc w:val="center"/>
              <w:rPr>
                <w:rFonts w:ascii="宋体" w:hAnsi="宋体" w:cs="宋体"/>
                <w:szCs w:val="21"/>
              </w:rPr>
            </w:pPr>
          </w:p>
        </w:tc>
        <w:tc>
          <w:tcPr>
            <w:tcW w:w="1608" w:type="dxa"/>
            <w:tcBorders>
              <w:tl2br w:val="nil"/>
              <w:tr2bl w:val="nil"/>
            </w:tcBorders>
            <w:tcMar>
              <w:top w:w="60" w:type="dxa"/>
              <w:left w:w="60" w:type="dxa"/>
              <w:bottom w:w="60" w:type="dxa"/>
              <w:right w:w="60" w:type="dxa"/>
            </w:tcMar>
            <w:vAlign w:val="center"/>
          </w:tcPr>
          <w:p w14:paraId="3537C53B">
            <w:pPr>
              <w:snapToGrid w:val="0"/>
              <w:jc w:val="center"/>
              <w:rPr>
                <w:rFonts w:ascii="宋体" w:hAnsi="宋体" w:cs="宋体"/>
                <w:szCs w:val="21"/>
              </w:rPr>
            </w:pPr>
          </w:p>
        </w:tc>
        <w:tc>
          <w:tcPr>
            <w:tcW w:w="893" w:type="dxa"/>
            <w:tcBorders>
              <w:tl2br w:val="nil"/>
              <w:tr2bl w:val="nil"/>
            </w:tcBorders>
            <w:tcMar>
              <w:top w:w="60" w:type="dxa"/>
              <w:left w:w="60" w:type="dxa"/>
              <w:bottom w:w="60" w:type="dxa"/>
              <w:right w:w="60" w:type="dxa"/>
            </w:tcMar>
            <w:vAlign w:val="center"/>
          </w:tcPr>
          <w:p w14:paraId="3537C53C">
            <w:pPr>
              <w:snapToGrid w:val="0"/>
              <w:jc w:val="center"/>
              <w:rPr>
                <w:rFonts w:ascii="宋体" w:hAnsi="宋体" w:cs="宋体"/>
                <w:szCs w:val="21"/>
              </w:rPr>
            </w:pPr>
          </w:p>
        </w:tc>
        <w:tc>
          <w:tcPr>
            <w:tcW w:w="893" w:type="dxa"/>
            <w:tcBorders>
              <w:tl2br w:val="nil"/>
              <w:tr2bl w:val="nil"/>
            </w:tcBorders>
            <w:tcMar>
              <w:top w:w="60" w:type="dxa"/>
              <w:left w:w="60" w:type="dxa"/>
              <w:bottom w:w="60" w:type="dxa"/>
              <w:right w:w="60" w:type="dxa"/>
            </w:tcMar>
            <w:vAlign w:val="center"/>
          </w:tcPr>
          <w:p w14:paraId="3537C53D">
            <w:pPr>
              <w:snapToGrid w:val="0"/>
              <w:jc w:val="center"/>
              <w:rPr>
                <w:rFonts w:ascii="宋体" w:hAnsi="宋体" w:cs="宋体"/>
                <w:szCs w:val="21"/>
              </w:rPr>
            </w:pPr>
          </w:p>
        </w:tc>
        <w:tc>
          <w:tcPr>
            <w:tcW w:w="2329" w:type="dxa"/>
            <w:tcBorders>
              <w:tl2br w:val="nil"/>
              <w:tr2bl w:val="nil"/>
            </w:tcBorders>
            <w:tcMar>
              <w:top w:w="60" w:type="dxa"/>
              <w:left w:w="60" w:type="dxa"/>
              <w:bottom w:w="60" w:type="dxa"/>
              <w:right w:w="60" w:type="dxa"/>
            </w:tcMar>
            <w:vAlign w:val="center"/>
          </w:tcPr>
          <w:p w14:paraId="3537C53E">
            <w:pPr>
              <w:snapToGrid w:val="0"/>
              <w:jc w:val="center"/>
              <w:rPr>
                <w:rFonts w:ascii="宋体" w:hAnsi="宋体" w:cs="宋体"/>
                <w:szCs w:val="21"/>
              </w:rPr>
            </w:pPr>
          </w:p>
        </w:tc>
        <w:tc>
          <w:tcPr>
            <w:tcW w:w="1608" w:type="dxa"/>
            <w:tcBorders>
              <w:tl2br w:val="nil"/>
              <w:tr2bl w:val="nil"/>
            </w:tcBorders>
            <w:tcMar>
              <w:top w:w="60" w:type="dxa"/>
              <w:left w:w="60" w:type="dxa"/>
              <w:bottom w:w="60" w:type="dxa"/>
              <w:right w:w="60" w:type="dxa"/>
            </w:tcMar>
            <w:vAlign w:val="center"/>
          </w:tcPr>
          <w:p w14:paraId="3537C53F">
            <w:pPr>
              <w:snapToGrid w:val="0"/>
              <w:jc w:val="center"/>
              <w:rPr>
                <w:rFonts w:ascii="宋体" w:hAnsi="宋体" w:cs="宋体"/>
                <w:szCs w:val="21"/>
              </w:rPr>
            </w:pPr>
          </w:p>
        </w:tc>
      </w:tr>
    </w:tbl>
    <w:p w14:paraId="3537C541">
      <w:pPr>
        <w:jc w:val="center"/>
        <w:rPr>
          <w:rFonts w:ascii="宋体" w:hAnsi="宋体" w:cs="宋体"/>
          <w:b/>
          <w:bCs/>
          <w:szCs w:val="21"/>
        </w:rPr>
      </w:pPr>
      <w:r>
        <w:rPr>
          <w:rFonts w:hint="eastAsia" w:ascii="宋体" w:hAnsi="宋体" w:cs="宋体"/>
          <w:b/>
          <w:bCs/>
          <w:szCs w:val="21"/>
        </w:rPr>
        <w:t>4.1.2 包装材料清单（化妆品行业必填）</w:t>
      </w:r>
    </w:p>
    <w:tbl>
      <w:tblPr>
        <w:tblStyle w:val="38"/>
        <w:tblW w:w="8947" w:type="dxa"/>
        <w:jc w:val="center"/>
        <w:tblLayout w:type="autofit"/>
        <w:tblCellMar>
          <w:top w:w="15" w:type="dxa"/>
          <w:left w:w="15" w:type="dxa"/>
          <w:bottom w:w="15" w:type="dxa"/>
          <w:right w:w="15" w:type="dxa"/>
        </w:tblCellMar>
      </w:tblPr>
      <w:tblGrid>
        <w:gridCol w:w="1711"/>
        <w:gridCol w:w="951"/>
        <w:gridCol w:w="1523"/>
        <w:gridCol w:w="2286"/>
        <w:gridCol w:w="2476"/>
      </w:tblGrid>
      <w:tr w14:paraId="3537C547">
        <w:tblPrEx>
          <w:tblCellMar>
            <w:top w:w="15" w:type="dxa"/>
            <w:left w:w="15" w:type="dxa"/>
            <w:bottom w:w="15" w:type="dxa"/>
            <w:right w:w="15" w:type="dxa"/>
          </w:tblCellMar>
        </w:tblPrEx>
        <w:trPr>
          <w:tblHeader/>
          <w:jc w:val="center"/>
        </w:trPr>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42">
            <w:pPr>
              <w:snapToGrid w:val="0"/>
              <w:jc w:val="center"/>
              <w:rPr>
                <w:rFonts w:ascii="宋体" w:hAnsi="宋体" w:cs="宋体"/>
                <w:b/>
                <w:bCs/>
                <w:szCs w:val="21"/>
              </w:rPr>
            </w:pPr>
            <w:r>
              <w:rPr>
                <w:rFonts w:hint="eastAsia" w:ascii="宋体" w:hAnsi="宋体" w:cs="宋体"/>
                <w:b/>
                <w:bCs/>
                <w:szCs w:val="21"/>
              </w:rPr>
              <w:t>包装类别</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43">
            <w:pPr>
              <w:snapToGrid w:val="0"/>
              <w:jc w:val="center"/>
              <w:rPr>
                <w:rFonts w:ascii="宋体" w:hAnsi="宋体" w:cs="宋体"/>
                <w:b/>
                <w:bCs/>
                <w:szCs w:val="21"/>
              </w:rPr>
            </w:pPr>
            <w:r>
              <w:rPr>
                <w:rFonts w:hint="eastAsia" w:ascii="宋体" w:hAnsi="宋体" w:cs="宋体"/>
                <w:b/>
                <w:bCs/>
                <w:szCs w:val="21"/>
              </w:rPr>
              <w:t>材料</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44">
            <w:pPr>
              <w:snapToGrid w:val="0"/>
              <w:jc w:val="center"/>
              <w:rPr>
                <w:rFonts w:ascii="宋体" w:hAnsi="宋体" w:cs="宋体"/>
                <w:b/>
                <w:bCs/>
                <w:szCs w:val="21"/>
              </w:rPr>
            </w:pPr>
            <w:r>
              <w:rPr>
                <w:rFonts w:hint="eastAsia" w:ascii="宋体" w:hAnsi="宋体" w:cs="宋体"/>
                <w:b/>
                <w:bCs/>
                <w:szCs w:val="21"/>
              </w:rPr>
              <w:t>重量(g)</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45">
            <w:pPr>
              <w:snapToGrid w:val="0"/>
              <w:jc w:val="center"/>
              <w:rPr>
                <w:rFonts w:ascii="宋体" w:hAnsi="宋体" w:cs="宋体"/>
                <w:b/>
                <w:bCs/>
                <w:szCs w:val="21"/>
              </w:rPr>
            </w:pPr>
            <w:r>
              <w:rPr>
                <w:rFonts w:hint="eastAsia" w:ascii="宋体" w:hAnsi="宋体" w:cs="宋体"/>
                <w:b/>
                <w:bCs/>
                <w:szCs w:val="21"/>
              </w:rPr>
              <w:t>再生含量(%)</w:t>
            </w:r>
          </w:p>
        </w:tc>
        <w:tc>
          <w:tcPr>
            <w:tcW w:w="2476"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46">
            <w:pPr>
              <w:snapToGrid w:val="0"/>
              <w:jc w:val="center"/>
              <w:rPr>
                <w:rFonts w:ascii="宋体" w:hAnsi="宋体" w:cs="宋体"/>
                <w:b/>
                <w:bCs/>
                <w:szCs w:val="21"/>
              </w:rPr>
            </w:pPr>
            <w:r>
              <w:rPr>
                <w:rFonts w:hint="eastAsia" w:ascii="宋体" w:hAnsi="宋体" w:cs="宋体"/>
                <w:b/>
                <w:bCs/>
                <w:szCs w:val="21"/>
              </w:rPr>
              <w:t>排放因子来源</w:t>
            </w:r>
          </w:p>
        </w:tc>
      </w:tr>
      <w:tr w14:paraId="3537C54D">
        <w:tblPrEx>
          <w:tblCellMar>
            <w:top w:w="15" w:type="dxa"/>
            <w:left w:w="15" w:type="dxa"/>
            <w:bottom w:w="15" w:type="dxa"/>
            <w:right w:w="15" w:type="dxa"/>
          </w:tblCellMar>
        </w:tblPrEx>
        <w:trPr>
          <w:jc w:val="center"/>
        </w:trPr>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48">
            <w:pPr>
              <w:snapToGrid w:val="0"/>
              <w:jc w:val="center"/>
              <w:rPr>
                <w:rFonts w:ascii="宋体" w:hAnsi="宋体" w:cs="宋体"/>
                <w:szCs w:val="21"/>
              </w:rPr>
            </w:pPr>
            <w:r>
              <w:rPr>
                <w:rFonts w:hint="eastAsia" w:ascii="宋体" w:hAnsi="宋体" w:cs="宋体"/>
                <w:szCs w:val="21"/>
              </w:rPr>
              <w:t>内包材</w:t>
            </w: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49">
            <w:pPr>
              <w:snapToGrid w:val="0"/>
              <w:jc w:val="center"/>
              <w:rPr>
                <w:rFonts w:ascii="宋体" w:hAnsi="宋体" w:cs="宋体"/>
                <w:szCs w:val="21"/>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4A">
            <w:pPr>
              <w:snapToGrid w:val="0"/>
              <w:jc w:val="center"/>
              <w:rPr>
                <w:rFonts w:ascii="宋体" w:hAnsi="宋体" w:cs="宋体"/>
                <w:szCs w:val="21"/>
              </w:rPr>
            </w:pPr>
          </w:p>
        </w:tc>
        <w:tc>
          <w:tcPr>
            <w:tcW w:w="0" w:type="auto"/>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4B">
            <w:pPr>
              <w:snapToGrid w:val="0"/>
              <w:jc w:val="center"/>
              <w:rPr>
                <w:rFonts w:ascii="宋体" w:hAnsi="宋体" w:cs="宋体"/>
                <w:szCs w:val="21"/>
              </w:rPr>
            </w:pPr>
          </w:p>
        </w:tc>
        <w:tc>
          <w:tcPr>
            <w:tcW w:w="2476"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4C">
            <w:pPr>
              <w:snapToGrid w:val="0"/>
              <w:jc w:val="center"/>
              <w:rPr>
                <w:rFonts w:ascii="宋体" w:hAnsi="宋体" w:cs="宋体"/>
                <w:szCs w:val="21"/>
              </w:rPr>
            </w:pPr>
          </w:p>
        </w:tc>
      </w:tr>
      <w:tr w14:paraId="3537C553">
        <w:tblPrEx>
          <w:tblCellMar>
            <w:top w:w="15" w:type="dxa"/>
            <w:left w:w="15" w:type="dxa"/>
            <w:bottom w:w="15" w:type="dxa"/>
            <w:right w:w="15" w:type="dxa"/>
          </w:tblCellMar>
        </w:tblPrEx>
        <w:trPr>
          <w:jc w:val="center"/>
        </w:trPr>
        <w:tc>
          <w:tcPr>
            <w:tcW w:w="1711"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4E">
            <w:pPr>
              <w:snapToGrid w:val="0"/>
              <w:jc w:val="center"/>
              <w:rPr>
                <w:rFonts w:ascii="宋体" w:hAnsi="宋体" w:cs="宋体"/>
                <w:szCs w:val="21"/>
              </w:rPr>
            </w:pPr>
            <w:r>
              <w:rPr>
                <w:rFonts w:hint="eastAsia" w:ascii="宋体" w:hAnsi="宋体" w:cs="宋体"/>
                <w:szCs w:val="21"/>
              </w:rPr>
              <w:t>外包材</w:t>
            </w:r>
          </w:p>
        </w:tc>
        <w:tc>
          <w:tcPr>
            <w:tcW w:w="951"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4F">
            <w:pPr>
              <w:snapToGrid w:val="0"/>
              <w:jc w:val="center"/>
              <w:rPr>
                <w:rFonts w:ascii="宋体" w:hAnsi="宋体" w:cs="宋体"/>
                <w:szCs w:val="21"/>
              </w:rPr>
            </w:pPr>
          </w:p>
        </w:tc>
        <w:tc>
          <w:tcPr>
            <w:tcW w:w="1523"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50">
            <w:pPr>
              <w:snapToGrid w:val="0"/>
              <w:jc w:val="center"/>
              <w:rPr>
                <w:rFonts w:ascii="宋体" w:hAnsi="宋体" w:cs="宋体"/>
                <w:szCs w:val="21"/>
              </w:rPr>
            </w:pPr>
          </w:p>
        </w:tc>
        <w:tc>
          <w:tcPr>
            <w:tcW w:w="2286"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51">
            <w:pPr>
              <w:snapToGrid w:val="0"/>
              <w:jc w:val="center"/>
              <w:rPr>
                <w:rFonts w:ascii="宋体" w:hAnsi="宋体" w:cs="宋体"/>
                <w:szCs w:val="21"/>
              </w:rPr>
            </w:pPr>
          </w:p>
        </w:tc>
        <w:tc>
          <w:tcPr>
            <w:tcW w:w="2476"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60" w:type="dxa"/>
              <w:bottom w:w="60" w:type="dxa"/>
              <w:right w:w="60" w:type="dxa"/>
            </w:tcMar>
            <w:vAlign w:val="center"/>
          </w:tcPr>
          <w:p w14:paraId="3537C552">
            <w:pPr>
              <w:snapToGrid w:val="0"/>
              <w:jc w:val="center"/>
              <w:rPr>
                <w:rFonts w:ascii="宋体" w:hAnsi="宋体" w:cs="宋体"/>
                <w:szCs w:val="21"/>
              </w:rPr>
            </w:pPr>
          </w:p>
        </w:tc>
      </w:tr>
    </w:tbl>
    <w:p w14:paraId="3537C554">
      <w:pPr>
        <w:rPr>
          <w:rFonts w:ascii="宋体" w:hAnsi="宋体" w:cs="宋体"/>
          <w:b/>
          <w:bCs/>
          <w:szCs w:val="21"/>
        </w:rPr>
      </w:pPr>
      <w:r>
        <w:rPr>
          <w:rFonts w:hint="eastAsia" w:ascii="宋体" w:hAnsi="宋体" w:cs="宋体"/>
          <w:b/>
          <w:bCs/>
          <w:szCs w:val="21"/>
        </w:rPr>
        <w:t>五、生命周期碳排放计算</w:t>
      </w:r>
    </w:p>
    <w:p w14:paraId="3537C555">
      <w:pPr>
        <w:jc w:val="center"/>
        <w:rPr>
          <w:rFonts w:ascii="宋体" w:hAnsi="宋体" w:cs="宋体"/>
          <w:b/>
          <w:bCs/>
          <w:szCs w:val="21"/>
        </w:rPr>
      </w:pPr>
      <w:r>
        <w:rPr>
          <w:rFonts w:hint="eastAsia" w:ascii="宋体" w:hAnsi="宋体" w:cs="宋体"/>
          <w:b/>
          <w:bCs/>
          <w:szCs w:val="21"/>
        </w:rPr>
        <w:t>表 5-1 生命周期碳排放汇总表</w:t>
      </w:r>
    </w:p>
    <w:tbl>
      <w:tblPr>
        <w:tblStyle w:val="38"/>
        <w:tblW w:w="8941"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15" w:type="dxa"/>
          <w:left w:w="15" w:type="dxa"/>
          <w:bottom w:w="15" w:type="dxa"/>
          <w:right w:w="15" w:type="dxa"/>
        </w:tblCellMar>
      </w:tblPr>
      <w:tblGrid>
        <w:gridCol w:w="2527"/>
        <w:gridCol w:w="4860"/>
        <w:gridCol w:w="1554"/>
      </w:tblGrid>
      <w:tr w14:paraId="3537C55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blHeader/>
          <w:jc w:val="center"/>
        </w:trPr>
        <w:tc>
          <w:tcPr>
            <w:tcW w:w="0" w:type="auto"/>
            <w:tcBorders>
              <w:tl2br w:val="nil"/>
              <w:tr2bl w:val="nil"/>
            </w:tcBorders>
            <w:tcMar>
              <w:top w:w="60" w:type="dxa"/>
              <w:left w:w="60" w:type="dxa"/>
              <w:bottom w:w="60" w:type="dxa"/>
              <w:right w:w="60" w:type="dxa"/>
            </w:tcMar>
            <w:vAlign w:val="center"/>
          </w:tcPr>
          <w:p w14:paraId="3537C556">
            <w:pPr>
              <w:snapToGrid w:val="0"/>
              <w:jc w:val="center"/>
              <w:rPr>
                <w:rFonts w:ascii="宋体" w:hAnsi="宋体" w:cs="宋体"/>
                <w:b/>
                <w:szCs w:val="21"/>
              </w:rPr>
            </w:pPr>
            <w:r>
              <w:rPr>
                <w:rFonts w:hint="eastAsia" w:ascii="宋体" w:hAnsi="宋体" w:cs="宋体"/>
                <w:b/>
                <w:szCs w:val="21"/>
              </w:rPr>
              <w:t>生命周期阶段</w:t>
            </w:r>
          </w:p>
        </w:tc>
        <w:tc>
          <w:tcPr>
            <w:tcW w:w="0" w:type="auto"/>
            <w:tcBorders>
              <w:tl2br w:val="nil"/>
              <w:tr2bl w:val="nil"/>
            </w:tcBorders>
            <w:tcMar>
              <w:top w:w="60" w:type="dxa"/>
              <w:left w:w="60" w:type="dxa"/>
              <w:bottom w:w="60" w:type="dxa"/>
              <w:right w:w="60" w:type="dxa"/>
            </w:tcMar>
            <w:vAlign w:val="center"/>
          </w:tcPr>
          <w:p w14:paraId="3537C557">
            <w:pPr>
              <w:snapToGrid w:val="0"/>
              <w:jc w:val="center"/>
              <w:rPr>
                <w:rFonts w:ascii="宋体" w:hAnsi="宋体" w:cs="宋体"/>
                <w:b/>
                <w:szCs w:val="21"/>
              </w:rPr>
            </w:pPr>
            <w:r>
              <w:rPr>
                <w:rFonts w:hint="eastAsia" w:ascii="宋体" w:hAnsi="宋体" w:cs="宋体"/>
                <w:b/>
                <w:szCs w:val="21"/>
              </w:rPr>
              <w:t>碳足迹(kgCO₂e/功能单位)</w:t>
            </w:r>
          </w:p>
        </w:tc>
        <w:tc>
          <w:tcPr>
            <w:tcW w:w="1554" w:type="dxa"/>
            <w:tcBorders>
              <w:tl2br w:val="nil"/>
              <w:tr2bl w:val="nil"/>
            </w:tcBorders>
            <w:tcMar>
              <w:top w:w="60" w:type="dxa"/>
              <w:left w:w="60" w:type="dxa"/>
              <w:bottom w:w="60" w:type="dxa"/>
              <w:right w:w="60" w:type="dxa"/>
            </w:tcMar>
            <w:vAlign w:val="center"/>
          </w:tcPr>
          <w:p w14:paraId="3537C558">
            <w:pPr>
              <w:snapToGrid w:val="0"/>
              <w:jc w:val="center"/>
              <w:rPr>
                <w:rFonts w:ascii="宋体" w:hAnsi="宋体" w:cs="宋体"/>
                <w:b/>
                <w:szCs w:val="21"/>
              </w:rPr>
            </w:pPr>
            <w:r>
              <w:rPr>
                <w:rFonts w:hint="eastAsia" w:ascii="宋体" w:hAnsi="宋体" w:cs="宋体"/>
                <w:b/>
                <w:szCs w:val="21"/>
              </w:rPr>
              <w:t>占比(%)</w:t>
            </w:r>
          </w:p>
        </w:tc>
      </w:tr>
      <w:tr w14:paraId="3537C55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jc w:val="center"/>
        </w:trPr>
        <w:tc>
          <w:tcPr>
            <w:tcW w:w="0" w:type="auto"/>
            <w:tcBorders>
              <w:tl2br w:val="nil"/>
              <w:tr2bl w:val="nil"/>
            </w:tcBorders>
            <w:tcMar>
              <w:top w:w="60" w:type="dxa"/>
              <w:left w:w="60" w:type="dxa"/>
              <w:bottom w:w="60" w:type="dxa"/>
              <w:right w:w="60" w:type="dxa"/>
            </w:tcMar>
            <w:vAlign w:val="center"/>
          </w:tcPr>
          <w:p w14:paraId="3537C55A">
            <w:pPr>
              <w:snapToGrid w:val="0"/>
              <w:jc w:val="center"/>
              <w:rPr>
                <w:rFonts w:ascii="宋体" w:hAnsi="宋体" w:cs="宋体"/>
                <w:szCs w:val="21"/>
              </w:rPr>
            </w:pPr>
            <w:r>
              <w:rPr>
                <w:rFonts w:hint="eastAsia" w:ascii="宋体" w:hAnsi="宋体" w:cs="宋体"/>
                <w:szCs w:val="21"/>
              </w:rPr>
              <w:t>原材料获取</w:t>
            </w:r>
          </w:p>
        </w:tc>
        <w:tc>
          <w:tcPr>
            <w:tcW w:w="0" w:type="auto"/>
            <w:tcBorders>
              <w:tl2br w:val="nil"/>
              <w:tr2bl w:val="nil"/>
            </w:tcBorders>
            <w:tcMar>
              <w:top w:w="60" w:type="dxa"/>
              <w:left w:w="60" w:type="dxa"/>
              <w:bottom w:w="60" w:type="dxa"/>
              <w:right w:w="60" w:type="dxa"/>
            </w:tcMar>
            <w:vAlign w:val="center"/>
          </w:tcPr>
          <w:p w14:paraId="3537C55B">
            <w:pPr>
              <w:snapToGrid w:val="0"/>
              <w:jc w:val="right"/>
              <w:rPr>
                <w:rFonts w:ascii="宋体" w:hAnsi="宋体" w:cs="宋体"/>
                <w:szCs w:val="21"/>
              </w:rPr>
            </w:pPr>
          </w:p>
        </w:tc>
        <w:tc>
          <w:tcPr>
            <w:tcW w:w="1554" w:type="dxa"/>
            <w:tcBorders>
              <w:tl2br w:val="nil"/>
              <w:tr2bl w:val="nil"/>
            </w:tcBorders>
            <w:tcMar>
              <w:top w:w="60" w:type="dxa"/>
              <w:left w:w="60" w:type="dxa"/>
              <w:bottom w:w="60" w:type="dxa"/>
              <w:right w:w="60" w:type="dxa"/>
            </w:tcMar>
            <w:vAlign w:val="center"/>
          </w:tcPr>
          <w:p w14:paraId="3537C55C">
            <w:pPr>
              <w:snapToGrid w:val="0"/>
              <w:jc w:val="center"/>
              <w:rPr>
                <w:rFonts w:ascii="宋体" w:hAnsi="宋体" w:cs="宋体"/>
                <w:szCs w:val="21"/>
              </w:rPr>
            </w:pPr>
          </w:p>
        </w:tc>
      </w:tr>
      <w:tr w14:paraId="3537C56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jc w:val="center"/>
        </w:trPr>
        <w:tc>
          <w:tcPr>
            <w:tcW w:w="0" w:type="auto"/>
            <w:tcBorders>
              <w:tl2br w:val="nil"/>
              <w:tr2bl w:val="nil"/>
            </w:tcBorders>
            <w:tcMar>
              <w:top w:w="60" w:type="dxa"/>
              <w:left w:w="60" w:type="dxa"/>
              <w:bottom w:w="60" w:type="dxa"/>
              <w:right w:w="60" w:type="dxa"/>
            </w:tcMar>
            <w:vAlign w:val="center"/>
          </w:tcPr>
          <w:p w14:paraId="3537C55E">
            <w:pPr>
              <w:snapToGrid w:val="0"/>
              <w:jc w:val="center"/>
              <w:rPr>
                <w:rFonts w:ascii="宋体" w:hAnsi="宋体" w:cs="宋体"/>
                <w:szCs w:val="21"/>
              </w:rPr>
            </w:pPr>
            <w:r>
              <w:rPr>
                <w:rFonts w:hint="eastAsia" w:ascii="宋体" w:hAnsi="宋体" w:cs="宋体"/>
                <w:szCs w:val="21"/>
              </w:rPr>
              <w:t>原材料运输</w:t>
            </w:r>
          </w:p>
        </w:tc>
        <w:tc>
          <w:tcPr>
            <w:tcW w:w="0" w:type="auto"/>
            <w:tcBorders>
              <w:tl2br w:val="nil"/>
              <w:tr2bl w:val="nil"/>
            </w:tcBorders>
            <w:tcMar>
              <w:top w:w="60" w:type="dxa"/>
              <w:left w:w="60" w:type="dxa"/>
              <w:bottom w:w="60" w:type="dxa"/>
              <w:right w:w="60" w:type="dxa"/>
            </w:tcMar>
            <w:vAlign w:val="center"/>
          </w:tcPr>
          <w:p w14:paraId="3537C55F">
            <w:pPr>
              <w:snapToGrid w:val="0"/>
              <w:jc w:val="right"/>
              <w:rPr>
                <w:rFonts w:ascii="宋体" w:hAnsi="宋体" w:cs="宋体"/>
                <w:szCs w:val="21"/>
              </w:rPr>
            </w:pPr>
          </w:p>
        </w:tc>
        <w:tc>
          <w:tcPr>
            <w:tcW w:w="1554" w:type="dxa"/>
            <w:tcBorders>
              <w:tl2br w:val="nil"/>
              <w:tr2bl w:val="nil"/>
            </w:tcBorders>
            <w:tcMar>
              <w:top w:w="60" w:type="dxa"/>
              <w:left w:w="60" w:type="dxa"/>
              <w:bottom w:w="60" w:type="dxa"/>
              <w:right w:w="60" w:type="dxa"/>
            </w:tcMar>
            <w:vAlign w:val="center"/>
          </w:tcPr>
          <w:p w14:paraId="3537C560">
            <w:pPr>
              <w:snapToGrid w:val="0"/>
              <w:jc w:val="center"/>
              <w:rPr>
                <w:rFonts w:ascii="宋体" w:hAnsi="宋体" w:cs="宋体"/>
                <w:szCs w:val="21"/>
              </w:rPr>
            </w:pPr>
          </w:p>
        </w:tc>
      </w:tr>
      <w:tr w14:paraId="3537C56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jc w:val="center"/>
        </w:trPr>
        <w:tc>
          <w:tcPr>
            <w:tcW w:w="0" w:type="auto"/>
            <w:tcBorders>
              <w:tl2br w:val="nil"/>
              <w:tr2bl w:val="nil"/>
            </w:tcBorders>
            <w:tcMar>
              <w:top w:w="60" w:type="dxa"/>
              <w:left w:w="60" w:type="dxa"/>
              <w:bottom w:w="60" w:type="dxa"/>
              <w:right w:w="60" w:type="dxa"/>
            </w:tcMar>
            <w:vAlign w:val="center"/>
          </w:tcPr>
          <w:p w14:paraId="3537C562">
            <w:pPr>
              <w:snapToGrid w:val="0"/>
              <w:jc w:val="center"/>
              <w:rPr>
                <w:rFonts w:ascii="宋体" w:hAnsi="宋体" w:cs="宋体"/>
                <w:szCs w:val="21"/>
              </w:rPr>
            </w:pPr>
            <w:r>
              <w:rPr>
                <w:rFonts w:hint="eastAsia" w:ascii="宋体" w:hAnsi="宋体" w:cs="宋体"/>
                <w:szCs w:val="21"/>
              </w:rPr>
              <w:t>生产制造</w:t>
            </w:r>
          </w:p>
        </w:tc>
        <w:tc>
          <w:tcPr>
            <w:tcW w:w="0" w:type="auto"/>
            <w:tcBorders>
              <w:tl2br w:val="nil"/>
              <w:tr2bl w:val="nil"/>
            </w:tcBorders>
            <w:tcMar>
              <w:top w:w="60" w:type="dxa"/>
              <w:left w:w="60" w:type="dxa"/>
              <w:bottom w:w="60" w:type="dxa"/>
              <w:right w:w="60" w:type="dxa"/>
            </w:tcMar>
            <w:vAlign w:val="center"/>
          </w:tcPr>
          <w:p w14:paraId="3537C563">
            <w:pPr>
              <w:snapToGrid w:val="0"/>
              <w:jc w:val="right"/>
              <w:rPr>
                <w:rFonts w:ascii="宋体" w:hAnsi="宋体" w:cs="宋体"/>
                <w:szCs w:val="21"/>
              </w:rPr>
            </w:pPr>
          </w:p>
        </w:tc>
        <w:tc>
          <w:tcPr>
            <w:tcW w:w="1554" w:type="dxa"/>
            <w:tcBorders>
              <w:tl2br w:val="nil"/>
              <w:tr2bl w:val="nil"/>
            </w:tcBorders>
            <w:tcMar>
              <w:top w:w="60" w:type="dxa"/>
              <w:left w:w="60" w:type="dxa"/>
              <w:bottom w:w="60" w:type="dxa"/>
              <w:right w:w="60" w:type="dxa"/>
            </w:tcMar>
            <w:vAlign w:val="center"/>
          </w:tcPr>
          <w:p w14:paraId="3537C564">
            <w:pPr>
              <w:snapToGrid w:val="0"/>
              <w:jc w:val="center"/>
              <w:rPr>
                <w:rFonts w:ascii="宋体" w:hAnsi="宋体" w:cs="宋体"/>
                <w:szCs w:val="21"/>
              </w:rPr>
            </w:pPr>
          </w:p>
        </w:tc>
      </w:tr>
      <w:tr w14:paraId="3537C56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jc w:val="center"/>
        </w:trPr>
        <w:tc>
          <w:tcPr>
            <w:tcW w:w="0" w:type="auto"/>
            <w:tcBorders>
              <w:tl2br w:val="nil"/>
              <w:tr2bl w:val="nil"/>
            </w:tcBorders>
            <w:tcMar>
              <w:top w:w="60" w:type="dxa"/>
              <w:left w:w="60" w:type="dxa"/>
              <w:bottom w:w="60" w:type="dxa"/>
              <w:right w:w="60" w:type="dxa"/>
            </w:tcMar>
            <w:vAlign w:val="center"/>
          </w:tcPr>
          <w:p w14:paraId="3537C566">
            <w:pPr>
              <w:snapToGrid w:val="0"/>
              <w:jc w:val="center"/>
              <w:rPr>
                <w:rFonts w:ascii="宋体" w:hAnsi="宋体" w:cs="宋体"/>
                <w:szCs w:val="21"/>
              </w:rPr>
            </w:pPr>
            <w:r>
              <w:rPr>
                <w:rFonts w:hint="eastAsia" w:ascii="宋体" w:hAnsi="宋体" w:cs="宋体"/>
                <w:szCs w:val="21"/>
              </w:rPr>
              <w:t>包装过程</w:t>
            </w:r>
          </w:p>
        </w:tc>
        <w:tc>
          <w:tcPr>
            <w:tcW w:w="0" w:type="auto"/>
            <w:tcBorders>
              <w:tl2br w:val="nil"/>
              <w:tr2bl w:val="nil"/>
            </w:tcBorders>
            <w:tcMar>
              <w:top w:w="60" w:type="dxa"/>
              <w:left w:w="60" w:type="dxa"/>
              <w:bottom w:w="60" w:type="dxa"/>
              <w:right w:w="60" w:type="dxa"/>
            </w:tcMar>
            <w:vAlign w:val="center"/>
          </w:tcPr>
          <w:p w14:paraId="3537C567">
            <w:pPr>
              <w:snapToGrid w:val="0"/>
              <w:jc w:val="right"/>
              <w:rPr>
                <w:rFonts w:ascii="宋体" w:hAnsi="宋体" w:cs="宋体"/>
                <w:szCs w:val="21"/>
              </w:rPr>
            </w:pPr>
          </w:p>
        </w:tc>
        <w:tc>
          <w:tcPr>
            <w:tcW w:w="1554" w:type="dxa"/>
            <w:tcBorders>
              <w:tl2br w:val="nil"/>
              <w:tr2bl w:val="nil"/>
            </w:tcBorders>
            <w:tcMar>
              <w:top w:w="60" w:type="dxa"/>
              <w:left w:w="60" w:type="dxa"/>
              <w:bottom w:w="60" w:type="dxa"/>
              <w:right w:w="60" w:type="dxa"/>
            </w:tcMar>
            <w:vAlign w:val="center"/>
          </w:tcPr>
          <w:p w14:paraId="3537C568">
            <w:pPr>
              <w:snapToGrid w:val="0"/>
              <w:jc w:val="center"/>
              <w:rPr>
                <w:rFonts w:ascii="宋体" w:hAnsi="宋体" w:cs="宋体"/>
                <w:szCs w:val="21"/>
              </w:rPr>
            </w:pPr>
          </w:p>
        </w:tc>
      </w:tr>
      <w:tr w14:paraId="3537C56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jc w:val="center"/>
        </w:trPr>
        <w:tc>
          <w:tcPr>
            <w:tcW w:w="0" w:type="auto"/>
            <w:tcBorders>
              <w:tl2br w:val="nil"/>
              <w:tr2bl w:val="nil"/>
            </w:tcBorders>
            <w:tcMar>
              <w:top w:w="60" w:type="dxa"/>
              <w:left w:w="60" w:type="dxa"/>
              <w:bottom w:w="60" w:type="dxa"/>
              <w:right w:w="60" w:type="dxa"/>
            </w:tcMar>
            <w:vAlign w:val="center"/>
          </w:tcPr>
          <w:p w14:paraId="3537C56A">
            <w:pPr>
              <w:snapToGrid w:val="0"/>
              <w:jc w:val="center"/>
              <w:rPr>
                <w:rFonts w:ascii="宋体" w:hAnsi="宋体" w:cs="宋体"/>
                <w:szCs w:val="21"/>
              </w:rPr>
            </w:pPr>
            <w:r>
              <w:rPr>
                <w:rFonts w:hint="eastAsia" w:ascii="宋体" w:hAnsi="宋体" w:cs="宋体"/>
                <w:szCs w:val="21"/>
              </w:rPr>
              <w:t>分销运输</w:t>
            </w:r>
          </w:p>
        </w:tc>
        <w:tc>
          <w:tcPr>
            <w:tcW w:w="0" w:type="auto"/>
            <w:tcBorders>
              <w:tl2br w:val="nil"/>
              <w:tr2bl w:val="nil"/>
            </w:tcBorders>
            <w:tcMar>
              <w:top w:w="60" w:type="dxa"/>
              <w:left w:w="60" w:type="dxa"/>
              <w:bottom w:w="60" w:type="dxa"/>
              <w:right w:w="60" w:type="dxa"/>
            </w:tcMar>
            <w:vAlign w:val="center"/>
          </w:tcPr>
          <w:p w14:paraId="3537C56B">
            <w:pPr>
              <w:snapToGrid w:val="0"/>
              <w:jc w:val="right"/>
              <w:rPr>
                <w:rFonts w:ascii="宋体" w:hAnsi="宋体" w:cs="宋体"/>
                <w:szCs w:val="21"/>
              </w:rPr>
            </w:pPr>
          </w:p>
        </w:tc>
        <w:tc>
          <w:tcPr>
            <w:tcW w:w="1554" w:type="dxa"/>
            <w:tcBorders>
              <w:tl2br w:val="nil"/>
              <w:tr2bl w:val="nil"/>
            </w:tcBorders>
            <w:tcMar>
              <w:top w:w="60" w:type="dxa"/>
              <w:left w:w="60" w:type="dxa"/>
              <w:bottom w:w="60" w:type="dxa"/>
              <w:right w:w="60" w:type="dxa"/>
            </w:tcMar>
            <w:vAlign w:val="center"/>
          </w:tcPr>
          <w:p w14:paraId="3537C56C">
            <w:pPr>
              <w:snapToGrid w:val="0"/>
              <w:jc w:val="center"/>
              <w:rPr>
                <w:rFonts w:ascii="宋体" w:hAnsi="宋体" w:cs="宋体"/>
                <w:szCs w:val="21"/>
              </w:rPr>
            </w:pPr>
          </w:p>
        </w:tc>
      </w:tr>
      <w:tr w14:paraId="3537C57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jc w:val="center"/>
        </w:trPr>
        <w:tc>
          <w:tcPr>
            <w:tcW w:w="0" w:type="auto"/>
            <w:tcBorders>
              <w:tl2br w:val="nil"/>
              <w:tr2bl w:val="nil"/>
            </w:tcBorders>
            <w:tcMar>
              <w:top w:w="60" w:type="dxa"/>
              <w:left w:w="60" w:type="dxa"/>
              <w:bottom w:w="60" w:type="dxa"/>
              <w:right w:w="60" w:type="dxa"/>
            </w:tcMar>
            <w:vAlign w:val="center"/>
          </w:tcPr>
          <w:p w14:paraId="3537C56E">
            <w:pPr>
              <w:snapToGrid w:val="0"/>
              <w:jc w:val="center"/>
              <w:rPr>
                <w:rFonts w:ascii="宋体" w:hAnsi="宋体" w:cs="宋体"/>
                <w:szCs w:val="21"/>
              </w:rPr>
            </w:pPr>
            <w:r>
              <w:rPr>
                <w:rFonts w:hint="eastAsia" w:ascii="宋体" w:hAnsi="宋体" w:cs="宋体"/>
                <w:szCs w:val="21"/>
              </w:rPr>
              <w:t>使用阶段</w:t>
            </w:r>
          </w:p>
        </w:tc>
        <w:tc>
          <w:tcPr>
            <w:tcW w:w="0" w:type="auto"/>
            <w:tcBorders>
              <w:tl2br w:val="nil"/>
              <w:tr2bl w:val="nil"/>
            </w:tcBorders>
            <w:tcMar>
              <w:top w:w="60" w:type="dxa"/>
              <w:left w:w="60" w:type="dxa"/>
              <w:bottom w:w="60" w:type="dxa"/>
              <w:right w:w="60" w:type="dxa"/>
            </w:tcMar>
            <w:vAlign w:val="center"/>
          </w:tcPr>
          <w:p w14:paraId="3537C56F">
            <w:pPr>
              <w:snapToGrid w:val="0"/>
              <w:jc w:val="right"/>
              <w:rPr>
                <w:rFonts w:ascii="宋体" w:hAnsi="宋体" w:cs="宋体"/>
                <w:szCs w:val="21"/>
              </w:rPr>
            </w:pPr>
          </w:p>
        </w:tc>
        <w:tc>
          <w:tcPr>
            <w:tcW w:w="1554" w:type="dxa"/>
            <w:tcBorders>
              <w:tl2br w:val="nil"/>
              <w:tr2bl w:val="nil"/>
            </w:tcBorders>
            <w:tcMar>
              <w:top w:w="60" w:type="dxa"/>
              <w:left w:w="60" w:type="dxa"/>
              <w:bottom w:w="60" w:type="dxa"/>
              <w:right w:w="60" w:type="dxa"/>
            </w:tcMar>
            <w:vAlign w:val="center"/>
          </w:tcPr>
          <w:p w14:paraId="3537C570">
            <w:pPr>
              <w:snapToGrid w:val="0"/>
              <w:jc w:val="center"/>
              <w:rPr>
                <w:rFonts w:ascii="宋体" w:hAnsi="宋体" w:cs="宋体"/>
                <w:szCs w:val="21"/>
              </w:rPr>
            </w:pPr>
          </w:p>
        </w:tc>
      </w:tr>
      <w:tr w14:paraId="3537C57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jc w:val="center"/>
        </w:trPr>
        <w:tc>
          <w:tcPr>
            <w:tcW w:w="0" w:type="auto"/>
            <w:tcBorders>
              <w:tl2br w:val="nil"/>
              <w:tr2bl w:val="nil"/>
            </w:tcBorders>
            <w:tcMar>
              <w:top w:w="60" w:type="dxa"/>
              <w:left w:w="60" w:type="dxa"/>
              <w:bottom w:w="60" w:type="dxa"/>
              <w:right w:w="60" w:type="dxa"/>
            </w:tcMar>
            <w:vAlign w:val="center"/>
          </w:tcPr>
          <w:p w14:paraId="3537C572">
            <w:pPr>
              <w:snapToGrid w:val="0"/>
              <w:jc w:val="center"/>
              <w:rPr>
                <w:rFonts w:ascii="宋体" w:hAnsi="宋体" w:cs="宋体"/>
                <w:szCs w:val="21"/>
              </w:rPr>
            </w:pPr>
            <w:r>
              <w:rPr>
                <w:rFonts w:hint="eastAsia" w:ascii="宋体" w:hAnsi="宋体" w:cs="宋体"/>
                <w:szCs w:val="21"/>
              </w:rPr>
              <w:t>生命末期</w:t>
            </w:r>
          </w:p>
        </w:tc>
        <w:tc>
          <w:tcPr>
            <w:tcW w:w="0" w:type="auto"/>
            <w:tcBorders>
              <w:tl2br w:val="nil"/>
              <w:tr2bl w:val="nil"/>
            </w:tcBorders>
            <w:tcMar>
              <w:top w:w="60" w:type="dxa"/>
              <w:left w:w="60" w:type="dxa"/>
              <w:bottom w:w="60" w:type="dxa"/>
              <w:right w:w="60" w:type="dxa"/>
            </w:tcMar>
            <w:vAlign w:val="center"/>
          </w:tcPr>
          <w:p w14:paraId="3537C573">
            <w:pPr>
              <w:snapToGrid w:val="0"/>
              <w:jc w:val="right"/>
              <w:rPr>
                <w:rFonts w:ascii="宋体" w:hAnsi="宋体" w:cs="宋体"/>
                <w:szCs w:val="21"/>
              </w:rPr>
            </w:pPr>
          </w:p>
        </w:tc>
        <w:tc>
          <w:tcPr>
            <w:tcW w:w="1554" w:type="dxa"/>
            <w:tcBorders>
              <w:tl2br w:val="nil"/>
              <w:tr2bl w:val="nil"/>
            </w:tcBorders>
            <w:tcMar>
              <w:top w:w="60" w:type="dxa"/>
              <w:left w:w="60" w:type="dxa"/>
              <w:bottom w:w="60" w:type="dxa"/>
              <w:right w:w="60" w:type="dxa"/>
            </w:tcMar>
            <w:vAlign w:val="center"/>
          </w:tcPr>
          <w:p w14:paraId="3537C574">
            <w:pPr>
              <w:snapToGrid w:val="0"/>
              <w:jc w:val="center"/>
              <w:rPr>
                <w:rFonts w:ascii="宋体" w:hAnsi="宋体" w:cs="宋体"/>
                <w:szCs w:val="21"/>
              </w:rPr>
            </w:pPr>
          </w:p>
        </w:tc>
      </w:tr>
      <w:tr w14:paraId="3537C57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jc w:val="center"/>
        </w:trPr>
        <w:tc>
          <w:tcPr>
            <w:tcW w:w="2527" w:type="dxa"/>
            <w:tcBorders>
              <w:tl2br w:val="nil"/>
              <w:tr2bl w:val="nil"/>
            </w:tcBorders>
            <w:tcMar>
              <w:top w:w="60" w:type="dxa"/>
              <w:left w:w="60" w:type="dxa"/>
              <w:bottom w:w="60" w:type="dxa"/>
              <w:right w:w="60" w:type="dxa"/>
            </w:tcMar>
            <w:vAlign w:val="center"/>
          </w:tcPr>
          <w:p w14:paraId="3537C576">
            <w:pPr>
              <w:snapToGrid w:val="0"/>
              <w:jc w:val="center"/>
              <w:rPr>
                <w:rFonts w:ascii="宋体" w:hAnsi="宋体" w:cs="宋体"/>
                <w:szCs w:val="21"/>
              </w:rPr>
            </w:pPr>
            <w:r>
              <w:rPr>
                <w:rFonts w:hint="eastAsia" w:ascii="宋体" w:hAnsi="宋体" w:cs="宋体"/>
                <w:szCs w:val="21"/>
              </w:rPr>
              <w:t>产品总碳足迹</w:t>
            </w:r>
          </w:p>
        </w:tc>
        <w:tc>
          <w:tcPr>
            <w:tcW w:w="4860" w:type="dxa"/>
            <w:tcBorders>
              <w:tl2br w:val="nil"/>
              <w:tr2bl w:val="nil"/>
            </w:tcBorders>
            <w:tcMar>
              <w:top w:w="60" w:type="dxa"/>
              <w:left w:w="60" w:type="dxa"/>
              <w:bottom w:w="60" w:type="dxa"/>
              <w:right w:w="60" w:type="dxa"/>
            </w:tcMar>
            <w:vAlign w:val="center"/>
          </w:tcPr>
          <w:p w14:paraId="3537C577">
            <w:pPr>
              <w:snapToGrid w:val="0"/>
              <w:jc w:val="right"/>
              <w:rPr>
                <w:rFonts w:ascii="宋体" w:hAnsi="宋体" w:cs="宋体"/>
                <w:szCs w:val="21"/>
              </w:rPr>
            </w:pPr>
          </w:p>
        </w:tc>
        <w:tc>
          <w:tcPr>
            <w:tcW w:w="1554" w:type="dxa"/>
            <w:tcBorders>
              <w:tl2br w:val="nil"/>
              <w:tr2bl w:val="nil"/>
            </w:tcBorders>
            <w:tcMar>
              <w:top w:w="60" w:type="dxa"/>
              <w:left w:w="60" w:type="dxa"/>
              <w:bottom w:w="60" w:type="dxa"/>
              <w:right w:w="60" w:type="dxa"/>
            </w:tcMar>
            <w:vAlign w:val="center"/>
          </w:tcPr>
          <w:p w14:paraId="3537C578">
            <w:pPr>
              <w:snapToGrid w:val="0"/>
              <w:jc w:val="center"/>
              <w:rPr>
                <w:rFonts w:ascii="宋体" w:hAnsi="宋体" w:cs="宋体"/>
                <w:szCs w:val="21"/>
              </w:rPr>
            </w:pPr>
            <w:r>
              <w:rPr>
                <w:rFonts w:hint="eastAsia" w:ascii="宋体" w:hAnsi="宋体" w:cs="宋体"/>
                <w:szCs w:val="21"/>
              </w:rPr>
              <w:t>100%</w:t>
            </w:r>
          </w:p>
        </w:tc>
      </w:tr>
    </w:tbl>
    <w:p w14:paraId="3537C57A">
      <w:pPr>
        <w:rPr>
          <w:rFonts w:ascii="宋体" w:hAnsi="宋体" w:cs="宋体"/>
          <w:b/>
          <w:bCs/>
          <w:szCs w:val="21"/>
        </w:rPr>
      </w:pPr>
      <w:r>
        <w:rPr>
          <w:rFonts w:hint="eastAsia" w:ascii="宋体" w:hAnsi="宋体" w:cs="宋体"/>
          <w:b/>
          <w:bCs/>
          <w:szCs w:val="21"/>
        </w:rPr>
        <w:t>六、数据质量评价（DQR）</w:t>
      </w:r>
    </w:p>
    <w:p w14:paraId="3537C57B">
      <w:pPr>
        <w:jc w:val="center"/>
        <w:rPr>
          <w:rFonts w:ascii="宋体" w:hAnsi="宋体" w:cs="宋体"/>
          <w:b/>
          <w:bCs/>
          <w:szCs w:val="21"/>
        </w:rPr>
      </w:pPr>
      <w:r>
        <w:rPr>
          <w:rFonts w:hint="eastAsia" w:ascii="宋体" w:hAnsi="宋体" w:cs="宋体"/>
          <w:b/>
          <w:bCs/>
          <w:szCs w:val="21"/>
        </w:rPr>
        <w:t>表 6-1 数据质量评分表</w:t>
      </w:r>
    </w:p>
    <w:tbl>
      <w:tblPr>
        <w:tblStyle w:val="38"/>
        <w:tblW w:w="9212"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15" w:type="dxa"/>
          <w:left w:w="15" w:type="dxa"/>
          <w:bottom w:w="15" w:type="dxa"/>
          <w:right w:w="15" w:type="dxa"/>
        </w:tblCellMar>
      </w:tblPr>
      <w:tblGrid>
        <w:gridCol w:w="990"/>
        <w:gridCol w:w="1082"/>
        <w:gridCol w:w="1084"/>
        <w:gridCol w:w="1084"/>
        <w:gridCol w:w="1084"/>
        <w:gridCol w:w="719"/>
        <w:gridCol w:w="1730"/>
        <w:gridCol w:w="537"/>
        <w:gridCol w:w="902"/>
      </w:tblGrid>
      <w:tr w14:paraId="3537C58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blHeader/>
          <w:jc w:val="center"/>
        </w:trPr>
        <w:tc>
          <w:tcPr>
            <w:tcW w:w="0" w:type="auto"/>
            <w:tcBorders>
              <w:tl2br w:val="nil"/>
              <w:tr2bl w:val="nil"/>
            </w:tcBorders>
            <w:tcMar>
              <w:top w:w="60" w:type="dxa"/>
              <w:left w:w="60" w:type="dxa"/>
              <w:bottom w:w="60" w:type="dxa"/>
              <w:right w:w="60" w:type="dxa"/>
            </w:tcMar>
            <w:vAlign w:val="center"/>
          </w:tcPr>
          <w:p w14:paraId="3537C57C">
            <w:pPr>
              <w:snapToGrid w:val="0"/>
              <w:jc w:val="center"/>
              <w:rPr>
                <w:rFonts w:ascii="宋体" w:hAnsi="宋体" w:cs="宋体"/>
                <w:b/>
                <w:szCs w:val="21"/>
              </w:rPr>
            </w:pPr>
            <w:r>
              <w:rPr>
                <w:rFonts w:hint="eastAsia" w:ascii="宋体" w:hAnsi="宋体" w:cs="宋体"/>
                <w:b/>
                <w:szCs w:val="21"/>
              </w:rPr>
              <w:t>项目</w:t>
            </w:r>
          </w:p>
        </w:tc>
        <w:tc>
          <w:tcPr>
            <w:tcW w:w="0" w:type="auto"/>
            <w:tcBorders>
              <w:tl2br w:val="nil"/>
              <w:tr2bl w:val="nil"/>
            </w:tcBorders>
            <w:tcMar>
              <w:top w:w="60" w:type="dxa"/>
              <w:left w:w="60" w:type="dxa"/>
              <w:bottom w:w="60" w:type="dxa"/>
              <w:right w:w="60" w:type="dxa"/>
            </w:tcMar>
            <w:vAlign w:val="center"/>
          </w:tcPr>
          <w:p w14:paraId="3537C57D">
            <w:pPr>
              <w:snapToGrid w:val="0"/>
              <w:jc w:val="center"/>
              <w:rPr>
                <w:rFonts w:ascii="宋体" w:hAnsi="宋体" w:cs="宋体"/>
                <w:b/>
                <w:szCs w:val="21"/>
              </w:rPr>
            </w:pPr>
            <w:r>
              <w:rPr>
                <w:rFonts w:hint="eastAsia" w:ascii="宋体" w:hAnsi="宋体" w:cs="宋体"/>
                <w:b/>
                <w:szCs w:val="21"/>
              </w:rPr>
              <w:t>质量代表性</w:t>
            </w:r>
          </w:p>
        </w:tc>
        <w:tc>
          <w:tcPr>
            <w:tcW w:w="0" w:type="auto"/>
            <w:tcBorders>
              <w:tl2br w:val="nil"/>
              <w:tr2bl w:val="nil"/>
            </w:tcBorders>
            <w:tcMar>
              <w:top w:w="60" w:type="dxa"/>
              <w:left w:w="60" w:type="dxa"/>
              <w:bottom w:w="60" w:type="dxa"/>
              <w:right w:w="60" w:type="dxa"/>
            </w:tcMar>
            <w:vAlign w:val="center"/>
          </w:tcPr>
          <w:p w14:paraId="3537C57E">
            <w:pPr>
              <w:snapToGrid w:val="0"/>
              <w:jc w:val="center"/>
              <w:rPr>
                <w:rFonts w:ascii="宋体" w:hAnsi="宋体" w:cs="宋体"/>
                <w:b/>
                <w:szCs w:val="21"/>
              </w:rPr>
            </w:pPr>
            <w:r>
              <w:rPr>
                <w:rFonts w:hint="eastAsia" w:ascii="宋体" w:hAnsi="宋体" w:cs="宋体"/>
                <w:b/>
                <w:szCs w:val="21"/>
              </w:rPr>
              <w:t>技术代表性</w:t>
            </w:r>
          </w:p>
        </w:tc>
        <w:tc>
          <w:tcPr>
            <w:tcW w:w="0" w:type="auto"/>
            <w:tcBorders>
              <w:tl2br w:val="nil"/>
              <w:tr2bl w:val="nil"/>
            </w:tcBorders>
            <w:tcMar>
              <w:top w:w="60" w:type="dxa"/>
              <w:left w:w="60" w:type="dxa"/>
              <w:bottom w:w="60" w:type="dxa"/>
              <w:right w:w="60" w:type="dxa"/>
            </w:tcMar>
            <w:vAlign w:val="center"/>
          </w:tcPr>
          <w:p w14:paraId="3537C57F">
            <w:pPr>
              <w:snapToGrid w:val="0"/>
              <w:jc w:val="center"/>
              <w:rPr>
                <w:rFonts w:ascii="宋体" w:hAnsi="宋体" w:cs="宋体"/>
                <w:b/>
                <w:szCs w:val="21"/>
              </w:rPr>
            </w:pPr>
            <w:r>
              <w:rPr>
                <w:rFonts w:hint="eastAsia" w:ascii="宋体" w:hAnsi="宋体" w:cs="宋体"/>
                <w:b/>
                <w:szCs w:val="21"/>
              </w:rPr>
              <w:t>地理代表性</w:t>
            </w:r>
          </w:p>
        </w:tc>
        <w:tc>
          <w:tcPr>
            <w:tcW w:w="0" w:type="auto"/>
            <w:tcBorders>
              <w:tl2br w:val="nil"/>
              <w:tr2bl w:val="nil"/>
            </w:tcBorders>
            <w:tcMar>
              <w:top w:w="60" w:type="dxa"/>
              <w:left w:w="60" w:type="dxa"/>
              <w:bottom w:w="60" w:type="dxa"/>
              <w:right w:w="60" w:type="dxa"/>
            </w:tcMar>
            <w:vAlign w:val="center"/>
          </w:tcPr>
          <w:p w14:paraId="3537C580">
            <w:pPr>
              <w:snapToGrid w:val="0"/>
              <w:jc w:val="center"/>
              <w:rPr>
                <w:rFonts w:ascii="宋体" w:hAnsi="宋体" w:cs="宋体"/>
                <w:b/>
                <w:szCs w:val="21"/>
              </w:rPr>
            </w:pPr>
            <w:r>
              <w:rPr>
                <w:rFonts w:hint="eastAsia" w:ascii="宋体" w:hAnsi="宋体" w:cs="宋体"/>
                <w:b/>
                <w:szCs w:val="21"/>
              </w:rPr>
              <w:t>时间代表性</w:t>
            </w:r>
          </w:p>
        </w:tc>
        <w:tc>
          <w:tcPr>
            <w:tcW w:w="0" w:type="auto"/>
            <w:tcBorders>
              <w:tl2br w:val="nil"/>
              <w:tr2bl w:val="nil"/>
            </w:tcBorders>
            <w:tcMar>
              <w:top w:w="60" w:type="dxa"/>
              <w:left w:w="60" w:type="dxa"/>
              <w:bottom w:w="60" w:type="dxa"/>
              <w:right w:w="60" w:type="dxa"/>
            </w:tcMar>
            <w:vAlign w:val="center"/>
          </w:tcPr>
          <w:p w14:paraId="3537C581">
            <w:pPr>
              <w:snapToGrid w:val="0"/>
              <w:jc w:val="center"/>
              <w:rPr>
                <w:rFonts w:ascii="宋体" w:hAnsi="宋体" w:cs="宋体"/>
                <w:b/>
                <w:szCs w:val="21"/>
              </w:rPr>
            </w:pPr>
            <w:r>
              <w:rPr>
                <w:rFonts w:hint="eastAsia" w:ascii="宋体" w:hAnsi="宋体" w:cs="宋体"/>
                <w:b/>
                <w:szCs w:val="21"/>
              </w:rPr>
              <w:t>平均分</w:t>
            </w:r>
          </w:p>
        </w:tc>
        <w:tc>
          <w:tcPr>
            <w:tcW w:w="0" w:type="auto"/>
            <w:tcBorders>
              <w:tl2br w:val="nil"/>
              <w:tr2bl w:val="nil"/>
            </w:tcBorders>
            <w:tcMar>
              <w:top w:w="60" w:type="dxa"/>
              <w:left w:w="60" w:type="dxa"/>
              <w:bottom w:w="60" w:type="dxa"/>
              <w:right w:w="60" w:type="dxa"/>
            </w:tcMar>
            <w:vAlign w:val="center"/>
          </w:tcPr>
          <w:p w14:paraId="3537C582">
            <w:pPr>
              <w:snapToGrid w:val="0"/>
              <w:jc w:val="center"/>
              <w:rPr>
                <w:rFonts w:ascii="宋体" w:hAnsi="宋体" w:cs="宋体"/>
                <w:b/>
                <w:szCs w:val="21"/>
              </w:rPr>
            </w:pPr>
            <w:r>
              <w:rPr>
                <w:rFonts w:hint="eastAsia" w:ascii="宋体" w:hAnsi="宋体" w:cs="宋体"/>
                <w:b/>
                <w:szCs w:val="21"/>
              </w:rPr>
              <w:t>排放量</w:t>
            </w:r>
          </w:p>
          <w:p w14:paraId="3537C583">
            <w:pPr>
              <w:snapToGrid w:val="0"/>
              <w:jc w:val="center"/>
              <w:rPr>
                <w:rFonts w:ascii="宋体" w:hAnsi="宋体" w:cs="宋体"/>
                <w:b/>
                <w:szCs w:val="21"/>
              </w:rPr>
            </w:pPr>
            <w:r>
              <w:rPr>
                <w:rFonts w:hint="eastAsia" w:ascii="宋体" w:hAnsi="宋体" w:cs="宋体"/>
                <w:b/>
                <w:szCs w:val="21"/>
              </w:rPr>
              <w:t>(kgCO₂e)</w:t>
            </w:r>
          </w:p>
        </w:tc>
        <w:tc>
          <w:tcPr>
            <w:tcW w:w="0" w:type="auto"/>
            <w:tcBorders>
              <w:tl2br w:val="nil"/>
              <w:tr2bl w:val="nil"/>
            </w:tcBorders>
            <w:tcMar>
              <w:top w:w="60" w:type="dxa"/>
              <w:left w:w="60" w:type="dxa"/>
              <w:bottom w:w="60" w:type="dxa"/>
              <w:right w:w="60" w:type="dxa"/>
            </w:tcMar>
            <w:vAlign w:val="center"/>
          </w:tcPr>
          <w:p w14:paraId="3537C584">
            <w:pPr>
              <w:snapToGrid w:val="0"/>
              <w:jc w:val="center"/>
              <w:rPr>
                <w:rFonts w:ascii="宋体" w:hAnsi="宋体" w:cs="宋体"/>
                <w:b/>
                <w:szCs w:val="21"/>
              </w:rPr>
            </w:pPr>
            <w:r>
              <w:rPr>
                <w:rFonts w:hint="eastAsia" w:ascii="宋体" w:hAnsi="宋体" w:cs="宋体"/>
                <w:b/>
                <w:szCs w:val="21"/>
              </w:rPr>
              <w:t>占比</w:t>
            </w:r>
          </w:p>
        </w:tc>
        <w:tc>
          <w:tcPr>
            <w:tcW w:w="902" w:type="dxa"/>
            <w:tcBorders>
              <w:tl2br w:val="nil"/>
              <w:tr2bl w:val="nil"/>
            </w:tcBorders>
            <w:tcMar>
              <w:top w:w="60" w:type="dxa"/>
              <w:left w:w="60" w:type="dxa"/>
              <w:bottom w:w="60" w:type="dxa"/>
              <w:right w:w="60" w:type="dxa"/>
            </w:tcMar>
            <w:vAlign w:val="center"/>
          </w:tcPr>
          <w:p w14:paraId="3537C585">
            <w:pPr>
              <w:snapToGrid w:val="0"/>
              <w:jc w:val="center"/>
              <w:rPr>
                <w:rFonts w:ascii="宋体" w:hAnsi="宋体" w:cs="宋体"/>
                <w:b/>
                <w:szCs w:val="21"/>
              </w:rPr>
            </w:pPr>
            <w:r>
              <w:rPr>
                <w:rFonts w:hint="eastAsia" w:ascii="宋体" w:hAnsi="宋体" w:cs="宋体"/>
                <w:b/>
                <w:szCs w:val="21"/>
              </w:rPr>
              <w:t>加权分值</w:t>
            </w:r>
          </w:p>
        </w:tc>
      </w:tr>
      <w:tr w14:paraId="3537C59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jc w:val="center"/>
        </w:trPr>
        <w:tc>
          <w:tcPr>
            <w:tcW w:w="0" w:type="auto"/>
            <w:tcBorders>
              <w:tl2br w:val="nil"/>
              <w:tr2bl w:val="nil"/>
            </w:tcBorders>
            <w:tcMar>
              <w:top w:w="60" w:type="dxa"/>
              <w:left w:w="60" w:type="dxa"/>
              <w:bottom w:w="60" w:type="dxa"/>
              <w:right w:w="60" w:type="dxa"/>
            </w:tcMar>
            <w:vAlign w:val="center"/>
          </w:tcPr>
          <w:p w14:paraId="3537C587">
            <w:pPr>
              <w:snapToGrid w:val="0"/>
              <w:jc w:val="center"/>
              <w:rPr>
                <w:rFonts w:ascii="宋体" w:hAnsi="宋体" w:cs="宋体"/>
                <w:szCs w:val="21"/>
              </w:rPr>
            </w:pPr>
            <w:r>
              <w:rPr>
                <w:rFonts w:hint="eastAsia" w:ascii="宋体" w:hAnsi="宋体" w:cs="宋体"/>
                <w:szCs w:val="21"/>
              </w:rPr>
              <w:t>原材料</w:t>
            </w:r>
          </w:p>
        </w:tc>
        <w:tc>
          <w:tcPr>
            <w:tcW w:w="0" w:type="auto"/>
            <w:tcBorders>
              <w:tl2br w:val="nil"/>
              <w:tr2bl w:val="nil"/>
            </w:tcBorders>
            <w:tcMar>
              <w:top w:w="60" w:type="dxa"/>
              <w:left w:w="60" w:type="dxa"/>
              <w:bottom w:w="60" w:type="dxa"/>
              <w:right w:w="60" w:type="dxa"/>
            </w:tcMar>
            <w:vAlign w:val="center"/>
          </w:tcPr>
          <w:p w14:paraId="3537C588">
            <w:pPr>
              <w:snapToGrid w:val="0"/>
              <w:jc w:val="center"/>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89">
            <w:pPr>
              <w:snapToGrid w:val="0"/>
              <w:jc w:val="center"/>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8A">
            <w:pPr>
              <w:snapToGrid w:val="0"/>
              <w:jc w:val="center"/>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8B">
            <w:pPr>
              <w:snapToGrid w:val="0"/>
              <w:jc w:val="center"/>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8C">
            <w:pPr>
              <w:snapToGrid w:val="0"/>
              <w:jc w:val="center"/>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8D">
            <w:pPr>
              <w:snapToGrid w:val="0"/>
              <w:jc w:val="right"/>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8E">
            <w:pPr>
              <w:snapToGrid w:val="0"/>
              <w:jc w:val="right"/>
              <w:rPr>
                <w:rFonts w:ascii="宋体" w:hAnsi="宋体" w:cs="宋体"/>
                <w:szCs w:val="21"/>
              </w:rPr>
            </w:pPr>
          </w:p>
        </w:tc>
        <w:tc>
          <w:tcPr>
            <w:tcW w:w="902" w:type="dxa"/>
            <w:tcBorders>
              <w:tl2br w:val="nil"/>
              <w:tr2bl w:val="nil"/>
            </w:tcBorders>
            <w:tcMar>
              <w:top w:w="60" w:type="dxa"/>
              <w:left w:w="60" w:type="dxa"/>
              <w:bottom w:w="60" w:type="dxa"/>
              <w:right w:w="60" w:type="dxa"/>
            </w:tcMar>
            <w:vAlign w:val="center"/>
          </w:tcPr>
          <w:p w14:paraId="3537C58F">
            <w:pPr>
              <w:snapToGrid w:val="0"/>
              <w:jc w:val="right"/>
              <w:rPr>
                <w:rFonts w:ascii="宋体" w:hAnsi="宋体" w:cs="宋体"/>
                <w:szCs w:val="21"/>
              </w:rPr>
            </w:pPr>
          </w:p>
        </w:tc>
      </w:tr>
      <w:tr w14:paraId="3537C59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jc w:val="center"/>
        </w:trPr>
        <w:tc>
          <w:tcPr>
            <w:tcW w:w="0" w:type="auto"/>
            <w:tcBorders>
              <w:tl2br w:val="nil"/>
              <w:tr2bl w:val="nil"/>
            </w:tcBorders>
            <w:tcMar>
              <w:top w:w="60" w:type="dxa"/>
              <w:left w:w="60" w:type="dxa"/>
              <w:bottom w:w="60" w:type="dxa"/>
              <w:right w:w="60" w:type="dxa"/>
            </w:tcMar>
            <w:vAlign w:val="center"/>
          </w:tcPr>
          <w:p w14:paraId="3537C591">
            <w:pPr>
              <w:snapToGrid w:val="0"/>
              <w:jc w:val="center"/>
              <w:rPr>
                <w:rFonts w:ascii="宋体" w:hAnsi="宋体" w:cs="宋体"/>
                <w:szCs w:val="21"/>
              </w:rPr>
            </w:pPr>
            <w:r>
              <w:rPr>
                <w:rFonts w:hint="eastAsia" w:ascii="宋体" w:hAnsi="宋体" w:cs="宋体"/>
                <w:szCs w:val="21"/>
              </w:rPr>
              <w:t>能源</w:t>
            </w:r>
          </w:p>
        </w:tc>
        <w:tc>
          <w:tcPr>
            <w:tcW w:w="0" w:type="auto"/>
            <w:tcBorders>
              <w:tl2br w:val="nil"/>
              <w:tr2bl w:val="nil"/>
            </w:tcBorders>
            <w:tcMar>
              <w:top w:w="60" w:type="dxa"/>
              <w:left w:w="60" w:type="dxa"/>
              <w:bottom w:w="60" w:type="dxa"/>
              <w:right w:w="60" w:type="dxa"/>
            </w:tcMar>
            <w:vAlign w:val="center"/>
          </w:tcPr>
          <w:p w14:paraId="3537C592">
            <w:pPr>
              <w:snapToGrid w:val="0"/>
              <w:jc w:val="center"/>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93">
            <w:pPr>
              <w:snapToGrid w:val="0"/>
              <w:jc w:val="center"/>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94">
            <w:pPr>
              <w:snapToGrid w:val="0"/>
              <w:jc w:val="center"/>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95">
            <w:pPr>
              <w:snapToGrid w:val="0"/>
              <w:jc w:val="center"/>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96">
            <w:pPr>
              <w:snapToGrid w:val="0"/>
              <w:jc w:val="center"/>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97">
            <w:pPr>
              <w:snapToGrid w:val="0"/>
              <w:jc w:val="right"/>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98">
            <w:pPr>
              <w:snapToGrid w:val="0"/>
              <w:jc w:val="right"/>
              <w:rPr>
                <w:rFonts w:ascii="宋体" w:hAnsi="宋体" w:cs="宋体"/>
                <w:szCs w:val="21"/>
              </w:rPr>
            </w:pPr>
          </w:p>
        </w:tc>
        <w:tc>
          <w:tcPr>
            <w:tcW w:w="902" w:type="dxa"/>
            <w:tcBorders>
              <w:tl2br w:val="nil"/>
              <w:tr2bl w:val="nil"/>
            </w:tcBorders>
            <w:tcMar>
              <w:top w:w="60" w:type="dxa"/>
              <w:left w:w="60" w:type="dxa"/>
              <w:bottom w:w="60" w:type="dxa"/>
              <w:right w:w="60" w:type="dxa"/>
            </w:tcMar>
            <w:vAlign w:val="center"/>
          </w:tcPr>
          <w:p w14:paraId="3537C599">
            <w:pPr>
              <w:snapToGrid w:val="0"/>
              <w:jc w:val="right"/>
              <w:rPr>
                <w:rFonts w:ascii="宋体" w:hAnsi="宋体" w:cs="宋体"/>
                <w:szCs w:val="21"/>
              </w:rPr>
            </w:pPr>
          </w:p>
        </w:tc>
      </w:tr>
      <w:tr w14:paraId="3537C5A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jc w:val="center"/>
        </w:trPr>
        <w:tc>
          <w:tcPr>
            <w:tcW w:w="0" w:type="auto"/>
            <w:tcBorders>
              <w:tl2br w:val="nil"/>
              <w:tr2bl w:val="nil"/>
            </w:tcBorders>
            <w:tcMar>
              <w:top w:w="60" w:type="dxa"/>
              <w:left w:w="60" w:type="dxa"/>
              <w:bottom w:w="60" w:type="dxa"/>
              <w:right w:w="60" w:type="dxa"/>
            </w:tcMar>
            <w:vAlign w:val="center"/>
          </w:tcPr>
          <w:p w14:paraId="3537C59B">
            <w:pPr>
              <w:snapToGrid w:val="0"/>
              <w:jc w:val="center"/>
              <w:rPr>
                <w:rFonts w:ascii="宋体" w:hAnsi="宋体" w:cs="宋体"/>
                <w:szCs w:val="21"/>
              </w:rPr>
            </w:pPr>
            <w:r>
              <w:rPr>
                <w:rFonts w:hint="eastAsia" w:ascii="宋体" w:hAnsi="宋体" w:cs="宋体"/>
                <w:szCs w:val="21"/>
              </w:rPr>
              <w:t>包装</w:t>
            </w:r>
          </w:p>
        </w:tc>
        <w:tc>
          <w:tcPr>
            <w:tcW w:w="0" w:type="auto"/>
            <w:tcBorders>
              <w:tl2br w:val="nil"/>
              <w:tr2bl w:val="nil"/>
            </w:tcBorders>
            <w:tcMar>
              <w:top w:w="60" w:type="dxa"/>
              <w:left w:w="60" w:type="dxa"/>
              <w:bottom w:w="60" w:type="dxa"/>
              <w:right w:w="60" w:type="dxa"/>
            </w:tcMar>
            <w:vAlign w:val="center"/>
          </w:tcPr>
          <w:p w14:paraId="3537C59C">
            <w:pPr>
              <w:snapToGrid w:val="0"/>
              <w:jc w:val="center"/>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9D">
            <w:pPr>
              <w:snapToGrid w:val="0"/>
              <w:jc w:val="center"/>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9E">
            <w:pPr>
              <w:snapToGrid w:val="0"/>
              <w:jc w:val="center"/>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9F">
            <w:pPr>
              <w:snapToGrid w:val="0"/>
              <w:jc w:val="center"/>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A0">
            <w:pPr>
              <w:snapToGrid w:val="0"/>
              <w:jc w:val="center"/>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A1">
            <w:pPr>
              <w:snapToGrid w:val="0"/>
              <w:jc w:val="right"/>
              <w:rPr>
                <w:rFonts w:ascii="宋体" w:hAnsi="宋体" w:cs="宋体"/>
                <w:szCs w:val="21"/>
              </w:rPr>
            </w:pPr>
          </w:p>
        </w:tc>
        <w:tc>
          <w:tcPr>
            <w:tcW w:w="0" w:type="auto"/>
            <w:tcBorders>
              <w:tl2br w:val="nil"/>
              <w:tr2bl w:val="nil"/>
            </w:tcBorders>
            <w:tcMar>
              <w:top w:w="60" w:type="dxa"/>
              <w:left w:w="60" w:type="dxa"/>
              <w:bottom w:w="60" w:type="dxa"/>
              <w:right w:w="60" w:type="dxa"/>
            </w:tcMar>
            <w:vAlign w:val="center"/>
          </w:tcPr>
          <w:p w14:paraId="3537C5A2">
            <w:pPr>
              <w:snapToGrid w:val="0"/>
              <w:jc w:val="right"/>
              <w:rPr>
                <w:rFonts w:ascii="宋体" w:hAnsi="宋体" w:cs="宋体"/>
                <w:szCs w:val="21"/>
              </w:rPr>
            </w:pPr>
          </w:p>
        </w:tc>
        <w:tc>
          <w:tcPr>
            <w:tcW w:w="902" w:type="dxa"/>
            <w:tcBorders>
              <w:tl2br w:val="nil"/>
              <w:tr2bl w:val="nil"/>
            </w:tcBorders>
            <w:tcMar>
              <w:top w:w="60" w:type="dxa"/>
              <w:left w:w="60" w:type="dxa"/>
              <w:bottom w:w="60" w:type="dxa"/>
              <w:right w:w="60" w:type="dxa"/>
            </w:tcMar>
            <w:vAlign w:val="center"/>
          </w:tcPr>
          <w:p w14:paraId="3537C5A3">
            <w:pPr>
              <w:snapToGrid w:val="0"/>
              <w:jc w:val="right"/>
              <w:rPr>
                <w:rFonts w:ascii="宋体" w:hAnsi="宋体" w:cs="宋体"/>
                <w:szCs w:val="21"/>
              </w:rPr>
            </w:pPr>
          </w:p>
        </w:tc>
      </w:tr>
      <w:tr w14:paraId="3537C5A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jc w:val="center"/>
        </w:trPr>
        <w:tc>
          <w:tcPr>
            <w:tcW w:w="990" w:type="dxa"/>
            <w:tcBorders>
              <w:tl2br w:val="nil"/>
              <w:tr2bl w:val="nil"/>
            </w:tcBorders>
            <w:tcMar>
              <w:top w:w="60" w:type="dxa"/>
              <w:left w:w="60" w:type="dxa"/>
              <w:bottom w:w="60" w:type="dxa"/>
              <w:right w:w="60" w:type="dxa"/>
            </w:tcMar>
            <w:vAlign w:val="center"/>
          </w:tcPr>
          <w:p w14:paraId="3537C5A5">
            <w:pPr>
              <w:snapToGrid w:val="0"/>
              <w:jc w:val="center"/>
              <w:rPr>
                <w:rFonts w:ascii="宋体" w:hAnsi="宋体" w:cs="宋体"/>
                <w:szCs w:val="21"/>
              </w:rPr>
            </w:pPr>
            <w:r>
              <w:rPr>
                <w:rFonts w:hint="eastAsia" w:ascii="宋体" w:hAnsi="宋体" w:cs="宋体"/>
                <w:szCs w:val="21"/>
              </w:rPr>
              <w:t>运输</w:t>
            </w:r>
          </w:p>
        </w:tc>
        <w:tc>
          <w:tcPr>
            <w:tcW w:w="1082" w:type="dxa"/>
            <w:tcBorders>
              <w:tl2br w:val="nil"/>
              <w:tr2bl w:val="nil"/>
            </w:tcBorders>
            <w:tcMar>
              <w:top w:w="60" w:type="dxa"/>
              <w:left w:w="60" w:type="dxa"/>
              <w:bottom w:w="60" w:type="dxa"/>
              <w:right w:w="60" w:type="dxa"/>
            </w:tcMar>
            <w:vAlign w:val="center"/>
          </w:tcPr>
          <w:p w14:paraId="3537C5A6">
            <w:pPr>
              <w:snapToGrid w:val="0"/>
              <w:jc w:val="center"/>
              <w:rPr>
                <w:rFonts w:ascii="宋体" w:hAnsi="宋体" w:cs="宋体"/>
                <w:szCs w:val="21"/>
              </w:rPr>
            </w:pPr>
          </w:p>
        </w:tc>
        <w:tc>
          <w:tcPr>
            <w:tcW w:w="1084" w:type="dxa"/>
            <w:tcBorders>
              <w:tl2br w:val="nil"/>
              <w:tr2bl w:val="nil"/>
            </w:tcBorders>
            <w:tcMar>
              <w:top w:w="60" w:type="dxa"/>
              <w:left w:w="60" w:type="dxa"/>
              <w:bottom w:w="60" w:type="dxa"/>
              <w:right w:w="60" w:type="dxa"/>
            </w:tcMar>
            <w:vAlign w:val="center"/>
          </w:tcPr>
          <w:p w14:paraId="3537C5A7">
            <w:pPr>
              <w:snapToGrid w:val="0"/>
              <w:jc w:val="center"/>
              <w:rPr>
                <w:rFonts w:ascii="宋体" w:hAnsi="宋体" w:cs="宋体"/>
                <w:szCs w:val="21"/>
              </w:rPr>
            </w:pPr>
          </w:p>
        </w:tc>
        <w:tc>
          <w:tcPr>
            <w:tcW w:w="1084" w:type="dxa"/>
            <w:tcBorders>
              <w:tl2br w:val="nil"/>
              <w:tr2bl w:val="nil"/>
            </w:tcBorders>
            <w:tcMar>
              <w:top w:w="60" w:type="dxa"/>
              <w:left w:w="60" w:type="dxa"/>
              <w:bottom w:w="60" w:type="dxa"/>
              <w:right w:w="60" w:type="dxa"/>
            </w:tcMar>
            <w:vAlign w:val="center"/>
          </w:tcPr>
          <w:p w14:paraId="3537C5A8">
            <w:pPr>
              <w:snapToGrid w:val="0"/>
              <w:jc w:val="center"/>
              <w:rPr>
                <w:rFonts w:ascii="宋体" w:hAnsi="宋体" w:cs="宋体"/>
                <w:szCs w:val="21"/>
              </w:rPr>
            </w:pPr>
          </w:p>
        </w:tc>
        <w:tc>
          <w:tcPr>
            <w:tcW w:w="1084" w:type="dxa"/>
            <w:tcBorders>
              <w:tl2br w:val="nil"/>
              <w:tr2bl w:val="nil"/>
            </w:tcBorders>
            <w:tcMar>
              <w:top w:w="60" w:type="dxa"/>
              <w:left w:w="60" w:type="dxa"/>
              <w:bottom w:w="60" w:type="dxa"/>
              <w:right w:w="60" w:type="dxa"/>
            </w:tcMar>
            <w:vAlign w:val="center"/>
          </w:tcPr>
          <w:p w14:paraId="3537C5A9">
            <w:pPr>
              <w:snapToGrid w:val="0"/>
              <w:jc w:val="center"/>
              <w:rPr>
                <w:rFonts w:ascii="宋体" w:hAnsi="宋体" w:cs="宋体"/>
                <w:szCs w:val="21"/>
              </w:rPr>
            </w:pPr>
          </w:p>
        </w:tc>
        <w:tc>
          <w:tcPr>
            <w:tcW w:w="719" w:type="dxa"/>
            <w:tcBorders>
              <w:tl2br w:val="nil"/>
              <w:tr2bl w:val="nil"/>
            </w:tcBorders>
            <w:tcMar>
              <w:top w:w="60" w:type="dxa"/>
              <w:left w:w="60" w:type="dxa"/>
              <w:bottom w:w="60" w:type="dxa"/>
              <w:right w:w="60" w:type="dxa"/>
            </w:tcMar>
            <w:vAlign w:val="center"/>
          </w:tcPr>
          <w:p w14:paraId="3537C5AA">
            <w:pPr>
              <w:snapToGrid w:val="0"/>
              <w:jc w:val="center"/>
              <w:rPr>
                <w:rFonts w:ascii="宋体" w:hAnsi="宋体" w:cs="宋体"/>
                <w:szCs w:val="21"/>
              </w:rPr>
            </w:pPr>
          </w:p>
        </w:tc>
        <w:tc>
          <w:tcPr>
            <w:tcW w:w="1730" w:type="dxa"/>
            <w:tcBorders>
              <w:tl2br w:val="nil"/>
              <w:tr2bl w:val="nil"/>
            </w:tcBorders>
            <w:tcMar>
              <w:top w:w="60" w:type="dxa"/>
              <w:left w:w="60" w:type="dxa"/>
              <w:bottom w:w="60" w:type="dxa"/>
              <w:right w:w="60" w:type="dxa"/>
            </w:tcMar>
            <w:vAlign w:val="center"/>
          </w:tcPr>
          <w:p w14:paraId="3537C5AB">
            <w:pPr>
              <w:snapToGrid w:val="0"/>
              <w:jc w:val="right"/>
              <w:rPr>
                <w:rFonts w:ascii="宋体" w:hAnsi="宋体" w:cs="宋体"/>
                <w:szCs w:val="21"/>
              </w:rPr>
            </w:pPr>
          </w:p>
        </w:tc>
        <w:tc>
          <w:tcPr>
            <w:tcW w:w="537" w:type="dxa"/>
            <w:tcBorders>
              <w:tl2br w:val="nil"/>
              <w:tr2bl w:val="nil"/>
            </w:tcBorders>
            <w:tcMar>
              <w:top w:w="60" w:type="dxa"/>
              <w:left w:w="60" w:type="dxa"/>
              <w:bottom w:w="60" w:type="dxa"/>
              <w:right w:w="60" w:type="dxa"/>
            </w:tcMar>
            <w:vAlign w:val="center"/>
          </w:tcPr>
          <w:p w14:paraId="3537C5AC">
            <w:pPr>
              <w:snapToGrid w:val="0"/>
              <w:jc w:val="right"/>
              <w:rPr>
                <w:rFonts w:ascii="宋体" w:hAnsi="宋体" w:cs="宋体"/>
                <w:szCs w:val="21"/>
              </w:rPr>
            </w:pPr>
          </w:p>
        </w:tc>
        <w:tc>
          <w:tcPr>
            <w:tcW w:w="902" w:type="dxa"/>
            <w:tcBorders>
              <w:tl2br w:val="nil"/>
              <w:tr2bl w:val="nil"/>
            </w:tcBorders>
            <w:tcMar>
              <w:top w:w="60" w:type="dxa"/>
              <w:left w:w="60" w:type="dxa"/>
              <w:bottom w:w="60" w:type="dxa"/>
              <w:right w:w="60" w:type="dxa"/>
            </w:tcMar>
            <w:vAlign w:val="center"/>
          </w:tcPr>
          <w:p w14:paraId="3537C5AD">
            <w:pPr>
              <w:snapToGrid w:val="0"/>
              <w:jc w:val="right"/>
              <w:rPr>
                <w:rFonts w:ascii="宋体" w:hAnsi="宋体" w:cs="宋体"/>
                <w:szCs w:val="21"/>
              </w:rPr>
            </w:pPr>
          </w:p>
        </w:tc>
      </w:tr>
    </w:tbl>
    <w:p w14:paraId="3537C5AF">
      <w:pPr>
        <w:ind w:firstLine="420" w:firstLineChars="200"/>
        <w:rPr>
          <w:rFonts w:ascii="宋体" w:hAnsi="宋体" w:cs="宋体"/>
          <w:szCs w:val="21"/>
        </w:rPr>
      </w:pPr>
      <w:r>
        <w:rPr>
          <w:rFonts w:hint="eastAsia" w:ascii="宋体" w:hAnsi="宋体" w:cs="宋体"/>
          <w:szCs w:val="21"/>
        </w:rPr>
        <w:t>整体数据质量等级：☐ A ☐ B ☐ C ☐ D</w:t>
      </w:r>
    </w:p>
    <w:p w14:paraId="3537C5B0">
      <w:pPr>
        <w:ind w:firstLine="420" w:firstLineChars="200"/>
        <w:rPr>
          <w:rFonts w:ascii="宋体" w:hAnsi="宋体" w:cs="宋体"/>
          <w:szCs w:val="21"/>
        </w:rPr>
      </w:pPr>
      <w:r>
        <w:rPr>
          <w:rFonts w:hint="eastAsia" w:ascii="宋体" w:hAnsi="宋体" w:cs="宋体"/>
          <w:szCs w:val="21"/>
        </w:rPr>
        <w:t>评价结论：</w:t>
      </w:r>
    </w:p>
    <w:p w14:paraId="3537C5B1">
      <w:pPr>
        <w:rPr>
          <w:rFonts w:ascii="宋体" w:hAnsi="宋体" w:cs="宋体"/>
          <w:b/>
          <w:bCs/>
          <w:szCs w:val="21"/>
        </w:rPr>
      </w:pPr>
      <w:r>
        <w:rPr>
          <w:rFonts w:hint="eastAsia" w:ascii="宋体" w:hAnsi="宋体" w:cs="宋体"/>
          <w:b/>
          <w:bCs/>
          <w:szCs w:val="21"/>
        </w:rPr>
        <w:t>七、产品碳足迹影响评价</w:t>
      </w:r>
    </w:p>
    <w:p w14:paraId="3537C5B2">
      <w:pPr>
        <w:ind w:firstLine="420" w:firstLineChars="200"/>
        <w:rPr>
          <w:rFonts w:ascii="宋体" w:hAnsi="宋体" w:cs="宋体"/>
          <w:szCs w:val="21"/>
        </w:rPr>
      </w:pPr>
      <w:r>
        <w:rPr>
          <w:rFonts w:hint="eastAsia" w:ascii="宋体" w:hAnsi="宋体" w:cs="宋体"/>
          <w:szCs w:val="21"/>
        </w:rPr>
        <w:t>1. 全球变暖潜值采用 IPCC AR6 100 年 GWP。</w:t>
      </w:r>
    </w:p>
    <w:p w14:paraId="3537C5B3">
      <w:pPr>
        <w:ind w:firstLine="420" w:firstLineChars="200"/>
        <w:rPr>
          <w:rFonts w:ascii="宋体" w:hAnsi="宋体" w:cs="宋体"/>
          <w:szCs w:val="21"/>
        </w:rPr>
      </w:pPr>
      <w:r>
        <w:rPr>
          <w:rFonts w:hint="eastAsia" w:ascii="宋体" w:hAnsi="宋体" w:cs="宋体"/>
          <w:szCs w:val="21"/>
        </w:rPr>
        <w:t>2. 产品碳足迹结果：__________ kgCO₂e / 功能单位。</w:t>
      </w:r>
    </w:p>
    <w:p w14:paraId="3537C5B4">
      <w:pPr>
        <w:rPr>
          <w:rFonts w:ascii="宋体" w:hAnsi="宋体" w:cs="宋体"/>
          <w:b/>
          <w:bCs/>
          <w:szCs w:val="21"/>
        </w:rPr>
      </w:pPr>
      <w:r>
        <w:rPr>
          <w:rFonts w:hint="eastAsia" w:ascii="宋体" w:hAnsi="宋体" w:cs="宋体"/>
          <w:b/>
          <w:bCs/>
          <w:szCs w:val="21"/>
        </w:rPr>
        <w:t>八、结果解释</w:t>
      </w:r>
    </w:p>
    <w:p w14:paraId="3537C5B5">
      <w:pPr>
        <w:ind w:firstLine="422" w:firstLineChars="200"/>
        <w:rPr>
          <w:rFonts w:ascii="宋体" w:hAnsi="宋体" w:cs="宋体"/>
          <w:b/>
          <w:bCs/>
          <w:szCs w:val="21"/>
        </w:rPr>
      </w:pPr>
      <w:r>
        <w:rPr>
          <w:rFonts w:hint="eastAsia" w:ascii="宋体" w:hAnsi="宋体" w:cs="宋体"/>
          <w:b/>
          <w:bCs/>
          <w:szCs w:val="21"/>
        </w:rPr>
        <w:t>8.1 结果说明</w:t>
      </w:r>
    </w:p>
    <w:p w14:paraId="3537C5B6">
      <w:pPr>
        <w:ind w:firstLine="420" w:firstLineChars="200"/>
        <w:rPr>
          <w:rFonts w:ascii="宋体" w:hAnsi="宋体" w:cs="宋体"/>
          <w:szCs w:val="21"/>
        </w:rPr>
      </w:pPr>
      <w:r>
        <w:rPr>
          <w:rFonts w:hint="eastAsia" w:ascii="宋体" w:hAnsi="宋体" w:cs="宋体"/>
          <w:szCs w:val="21"/>
        </w:rPr>
        <w:t>__________ 公司生产的 __________，从 __________ 至 __________ 阶段碳足迹为 __________ kgCO₂e。</w:t>
      </w:r>
    </w:p>
    <w:p w14:paraId="3537C5B7">
      <w:pPr>
        <w:ind w:firstLine="422" w:firstLineChars="200"/>
        <w:rPr>
          <w:rFonts w:ascii="宋体" w:hAnsi="宋体" w:cs="宋体"/>
          <w:b/>
          <w:bCs/>
          <w:szCs w:val="21"/>
        </w:rPr>
      </w:pPr>
      <w:r>
        <w:rPr>
          <w:rFonts w:hint="eastAsia" w:ascii="宋体" w:hAnsi="宋体" w:cs="宋体"/>
          <w:b/>
          <w:bCs/>
          <w:szCs w:val="21"/>
        </w:rPr>
        <w:t>8.2 假设与局限性</w:t>
      </w:r>
    </w:p>
    <w:p w14:paraId="3537C5B8">
      <w:pPr>
        <w:ind w:firstLine="420" w:firstLineChars="200"/>
        <w:rPr>
          <w:rFonts w:ascii="宋体" w:hAnsi="宋体" w:cs="宋体"/>
          <w:szCs w:val="21"/>
        </w:rPr>
      </w:pPr>
      <w:r>
        <w:rPr>
          <w:rFonts w:hint="eastAsia" w:ascii="宋体" w:hAnsi="宋体" w:cs="宋体"/>
          <w:szCs w:val="21"/>
        </w:rPr>
        <w:t>（系统边界、数据缺失、情景假设、取舍规则等）</w:t>
      </w:r>
    </w:p>
    <w:p w14:paraId="3537C5B9">
      <w:pPr>
        <w:ind w:firstLine="420" w:firstLineChars="200"/>
        <w:rPr>
          <w:rFonts w:hint="eastAsia" w:ascii="宋体" w:hAnsi="宋体" w:cs="宋体"/>
          <w:szCs w:val="21"/>
        </w:rPr>
      </w:pPr>
      <w:r>
        <w:rPr>
          <w:rFonts w:hint="eastAsia" w:ascii="宋体" w:hAnsi="宋体" w:cs="宋体"/>
          <w:szCs w:val="21"/>
        </w:rPr>
        <w:t>常见口径说明：当采用代表单品方式时，应确保规格、主要配方和关键工艺具有可比性；包装材料宜单独识别并核算，但是否构成主要排放热点应结合产品结构判断；本标准以摇篮到大门为基础边界，下游阶段通常作为可选扩展或情景分析；原料获取原则上至少覆盖一级供应商环节；在无法获得完整初级数据时，可按本标准的数据优先级与排放因子选择顺序开展近似核算并进行披露。</w:t>
      </w:r>
    </w:p>
    <w:p w14:paraId="3537C5BA">
      <w:pPr>
        <w:ind w:firstLine="422" w:firstLineChars="200"/>
        <w:rPr>
          <w:rFonts w:ascii="宋体" w:hAnsi="宋体" w:cs="宋体"/>
          <w:b/>
          <w:bCs/>
          <w:szCs w:val="21"/>
        </w:rPr>
      </w:pPr>
      <w:r>
        <w:rPr>
          <w:rFonts w:hint="eastAsia" w:ascii="宋体" w:hAnsi="宋体" w:cs="宋体"/>
          <w:b/>
          <w:bCs/>
          <w:szCs w:val="21"/>
        </w:rPr>
        <w:t>8.3 热点与减排建议</w:t>
      </w:r>
    </w:p>
    <w:p w14:paraId="3537C5BB">
      <w:pPr>
        <w:ind w:firstLine="420" w:firstLineChars="200"/>
        <w:rPr>
          <w:rFonts w:ascii="宋体" w:hAnsi="宋体" w:cs="宋体"/>
          <w:szCs w:val="21"/>
        </w:rPr>
      </w:pPr>
      <w:r>
        <w:rPr>
          <w:rFonts w:hint="eastAsia" w:ascii="宋体" w:hAnsi="宋体" w:cs="宋体"/>
          <w:szCs w:val="21"/>
        </w:rPr>
        <w:t>1. 主要排放热点：</w:t>
      </w:r>
    </w:p>
    <w:p w14:paraId="3537C5BC">
      <w:pPr>
        <w:ind w:firstLine="420" w:firstLineChars="200"/>
        <w:rPr>
          <w:rFonts w:ascii="宋体" w:hAnsi="宋体" w:cs="宋体"/>
          <w:szCs w:val="21"/>
        </w:rPr>
      </w:pPr>
      <w:r>
        <w:rPr>
          <w:rFonts w:hint="eastAsia" w:ascii="宋体" w:hAnsi="宋体" w:cs="宋体"/>
          <w:szCs w:val="21"/>
        </w:rPr>
        <w:t>2. 减排方向：</w:t>
      </w:r>
    </w:p>
    <w:p w14:paraId="3537C5BD">
      <w:pPr>
        <w:rPr>
          <w:rFonts w:ascii="宋体" w:hAnsi="宋体" w:cs="宋体"/>
          <w:b/>
          <w:bCs/>
          <w:szCs w:val="21"/>
        </w:rPr>
      </w:pPr>
      <w:r>
        <w:rPr>
          <w:rFonts w:hint="eastAsia" w:ascii="宋体" w:hAnsi="宋体" w:cs="宋体"/>
          <w:b/>
          <w:bCs/>
          <w:szCs w:val="21"/>
        </w:rPr>
        <w:t>九、核查信息（可选）</w:t>
      </w:r>
    </w:p>
    <w:p w14:paraId="3537C5BE">
      <w:pPr>
        <w:ind w:firstLine="420" w:firstLineChars="200"/>
        <w:rPr>
          <w:rFonts w:ascii="宋体" w:hAnsi="宋体" w:cs="宋体"/>
          <w:szCs w:val="21"/>
        </w:rPr>
      </w:pPr>
      <w:r>
        <w:rPr>
          <w:rFonts w:hint="eastAsia" w:ascii="宋体" w:hAnsi="宋体" w:cs="宋体"/>
          <w:szCs w:val="21"/>
        </w:rPr>
        <w:t>核查机构：</w:t>
      </w:r>
    </w:p>
    <w:p w14:paraId="3537C5BF">
      <w:pPr>
        <w:ind w:firstLine="420" w:firstLineChars="200"/>
        <w:rPr>
          <w:rFonts w:ascii="宋体" w:hAnsi="宋体" w:cs="宋体"/>
          <w:szCs w:val="21"/>
        </w:rPr>
      </w:pPr>
      <w:r>
        <w:rPr>
          <w:rFonts w:hint="eastAsia" w:ascii="宋体" w:hAnsi="宋体" w:cs="宋体"/>
          <w:szCs w:val="21"/>
        </w:rPr>
        <w:t>核查结论：</w:t>
      </w:r>
    </w:p>
    <w:p w14:paraId="3537C5C0">
      <w:pPr>
        <w:ind w:firstLine="420" w:firstLineChars="200"/>
        <w:rPr>
          <w:rFonts w:ascii="宋体" w:hAnsi="宋体" w:cs="宋体"/>
          <w:szCs w:val="21"/>
        </w:rPr>
      </w:pPr>
      <w:r>
        <w:rPr>
          <w:rFonts w:hint="eastAsia" w:ascii="宋体" w:hAnsi="宋体" w:cs="宋体"/>
          <w:szCs w:val="21"/>
        </w:rPr>
        <w:t>核查日期：</w:t>
      </w:r>
    </w:p>
    <w:p w14:paraId="3537C5C1">
      <w:pPr>
        <w:rPr>
          <w:rFonts w:ascii="宋体" w:hAnsi="宋体" w:cs="宋体"/>
          <w:szCs w:val="21"/>
        </w:rPr>
      </w:pPr>
    </w:p>
    <w:p w14:paraId="3537C5C2">
      <w:pPr>
        <w:rPr>
          <w:rFonts w:ascii="宋体" w:hAnsi="宋体" w:cs="宋体"/>
          <w:szCs w:val="21"/>
        </w:rPr>
        <w:sectPr>
          <w:footerReference r:id="rId11" w:type="default"/>
          <w:footerReference r:id="rId12" w:type="even"/>
          <w:pgSz w:w="11906" w:h="16838"/>
          <w:pgMar w:top="1418" w:right="1418" w:bottom="1134" w:left="1418" w:header="1418" w:footer="1134" w:gutter="0"/>
          <w:cols w:space="425" w:num="1"/>
          <w:formProt w:val="0"/>
          <w:docGrid w:type="lines" w:linePitch="312" w:charSpace="0"/>
        </w:sectPr>
      </w:pPr>
    </w:p>
    <w:p w14:paraId="3537C5C3">
      <w:pPr>
        <w:pStyle w:val="2"/>
        <w:jc w:val="center"/>
        <w:rPr>
          <w:rFonts w:ascii="宋体" w:hAnsi="宋体" w:eastAsia="宋体" w:cs="宋体"/>
          <w:sz w:val="21"/>
          <w:szCs w:val="21"/>
        </w:rPr>
      </w:pPr>
      <w:bookmarkStart w:id="87" w:name="_Toc18473"/>
      <w:r>
        <w:rPr>
          <w:rFonts w:hint="eastAsia" w:ascii="宋体" w:hAnsi="宋体" w:eastAsia="宋体" w:cs="宋体"/>
          <w:sz w:val="21"/>
          <w:szCs w:val="21"/>
        </w:rPr>
        <w:t>附录B 产品碳足迹数据采集模板（按层级）</w:t>
      </w:r>
      <w:bookmarkEnd w:id="87"/>
    </w:p>
    <w:p w14:paraId="3537C5C4">
      <w:pPr>
        <w:widowControl/>
        <w:spacing w:line="400" w:lineRule="exact"/>
        <w:ind w:firstLine="420" w:firstLineChars="200"/>
        <w:rPr>
          <w:rFonts w:ascii="宋体" w:hAnsi="宋体" w:cs="宋体"/>
          <w:szCs w:val="21"/>
        </w:rPr>
      </w:pPr>
      <w:r>
        <w:rPr>
          <w:rFonts w:hint="eastAsia" w:ascii="宋体" w:hAnsi="宋体" w:cs="宋体"/>
          <w:szCs w:val="21"/>
        </w:rPr>
        <w:t>本附录用于支持企业、工厂及供应商按照统一字段组织产品碳足迹核算基础数据。企业可根据产品类型、核算边界和数据可得性，选择适用表单并在必要时增加行业扩展字段。为兼顾可操作性与数据交换需要，本附录按层级设置三类模板：表B.1为供应商层级数据采集表，表B.2为企业生产过程数据采集表，表B.3为产品级汇总数据表。</w:t>
      </w:r>
    </w:p>
    <w:p w14:paraId="3537C5C5">
      <w:pPr>
        <w:widowControl/>
        <w:spacing w:line="400" w:lineRule="exact"/>
        <w:ind w:firstLine="422" w:firstLineChars="200"/>
        <w:rPr>
          <w:rFonts w:ascii="宋体" w:hAnsi="宋体" w:cs="宋体"/>
          <w:szCs w:val="21"/>
        </w:rPr>
      </w:pPr>
      <w:r>
        <w:rPr>
          <w:rFonts w:hint="eastAsia" w:ascii="宋体" w:hAnsi="宋体" w:cs="宋体"/>
          <w:b/>
          <w:szCs w:val="21"/>
        </w:rPr>
        <w:t>B.1 供应商层级数据采集表</w:t>
      </w:r>
    </w:p>
    <w:p w14:paraId="3537C5C6">
      <w:pPr>
        <w:widowControl/>
        <w:spacing w:line="400" w:lineRule="exact"/>
        <w:ind w:firstLine="420" w:firstLineChars="200"/>
        <w:rPr>
          <w:rFonts w:ascii="宋体" w:hAnsi="宋体" w:cs="宋体"/>
          <w:szCs w:val="21"/>
        </w:rPr>
      </w:pPr>
      <w:r>
        <w:rPr>
          <w:rFonts w:hint="eastAsia" w:ascii="宋体" w:hAnsi="宋体" w:cs="宋体"/>
          <w:szCs w:val="21"/>
        </w:rPr>
        <w:t>表B.1适用于向原料、包装材料、能源或其他关键投入品供应商收集与产品碳足迹相关的数据。</w:t>
      </w:r>
    </w:p>
    <w:tbl>
      <w:tblPr>
        <w:tblStyle w:val="39"/>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
        <w:gridCol w:w="338"/>
        <w:gridCol w:w="338"/>
        <w:gridCol w:w="522"/>
        <w:gridCol w:w="338"/>
        <w:gridCol w:w="460"/>
        <w:gridCol w:w="338"/>
        <w:gridCol w:w="338"/>
        <w:gridCol w:w="522"/>
        <w:gridCol w:w="461"/>
        <w:gridCol w:w="766"/>
        <w:gridCol w:w="461"/>
        <w:gridCol w:w="338"/>
        <w:gridCol w:w="338"/>
        <w:gridCol w:w="461"/>
        <w:gridCol w:w="461"/>
        <w:gridCol w:w="338"/>
        <w:gridCol w:w="461"/>
        <w:gridCol w:w="400"/>
        <w:gridCol w:w="338"/>
        <w:gridCol w:w="644"/>
        <w:gridCol w:w="399"/>
        <w:gridCol w:w="338"/>
      </w:tblGrid>
      <w:tr w14:paraId="3537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14:paraId="3537C5C7">
            <w:pPr>
              <w:widowControl/>
              <w:snapToGrid w:val="0"/>
              <w:jc w:val="center"/>
              <w:rPr>
                <w:rFonts w:ascii="宋体" w:hAnsi="宋体" w:cs="宋体"/>
                <w:b/>
                <w:szCs w:val="21"/>
              </w:rPr>
            </w:pPr>
            <w:r>
              <w:rPr>
                <w:rFonts w:hint="eastAsia" w:ascii="宋体" w:hAnsi="宋体" w:cs="宋体"/>
                <w:b/>
                <w:szCs w:val="21"/>
              </w:rPr>
              <w:t>序号</w:t>
            </w:r>
          </w:p>
        </w:tc>
        <w:tc>
          <w:tcPr>
            <w:tcW w:w="0" w:type="auto"/>
            <w:vAlign w:val="center"/>
          </w:tcPr>
          <w:p w14:paraId="3537C5C8">
            <w:pPr>
              <w:widowControl/>
              <w:snapToGrid w:val="0"/>
              <w:jc w:val="center"/>
              <w:rPr>
                <w:rFonts w:ascii="宋体" w:hAnsi="宋体" w:cs="宋体"/>
                <w:b/>
                <w:szCs w:val="21"/>
              </w:rPr>
            </w:pPr>
            <w:r>
              <w:rPr>
                <w:rFonts w:hint="eastAsia" w:ascii="宋体" w:hAnsi="宋体" w:cs="宋体"/>
                <w:b/>
                <w:szCs w:val="21"/>
              </w:rPr>
              <w:t>供应商名称</w:t>
            </w:r>
          </w:p>
        </w:tc>
        <w:tc>
          <w:tcPr>
            <w:tcW w:w="0" w:type="auto"/>
            <w:vAlign w:val="center"/>
          </w:tcPr>
          <w:p w14:paraId="3537C5C9">
            <w:pPr>
              <w:widowControl/>
              <w:snapToGrid w:val="0"/>
              <w:jc w:val="center"/>
              <w:rPr>
                <w:rFonts w:ascii="宋体" w:hAnsi="宋体" w:cs="宋体"/>
                <w:b/>
                <w:szCs w:val="21"/>
              </w:rPr>
            </w:pPr>
            <w:r>
              <w:rPr>
                <w:rFonts w:hint="eastAsia" w:ascii="宋体" w:hAnsi="宋体" w:cs="宋体"/>
                <w:b/>
                <w:szCs w:val="21"/>
              </w:rPr>
              <w:t>产品/原料名称</w:t>
            </w:r>
          </w:p>
        </w:tc>
        <w:tc>
          <w:tcPr>
            <w:tcW w:w="0" w:type="auto"/>
            <w:vAlign w:val="center"/>
          </w:tcPr>
          <w:p w14:paraId="3537C5CA">
            <w:pPr>
              <w:widowControl/>
              <w:snapToGrid w:val="0"/>
              <w:jc w:val="center"/>
              <w:rPr>
                <w:rFonts w:ascii="宋体" w:hAnsi="宋体" w:cs="宋体"/>
                <w:b/>
                <w:szCs w:val="21"/>
              </w:rPr>
            </w:pPr>
            <w:r>
              <w:rPr>
                <w:rFonts w:hint="eastAsia" w:ascii="宋体" w:hAnsi="宋体" w:cs="宋体"/>
                <w:b/>
                <w:szCs w:val="21"/>
              </w:rPr>
              <w:t>CAS号/INCI名称</w:t>
            </w:r>
          </w:p>
        </w:tc>
        <w:tc>
          <w:tcPr>
            <w:tcW w:w="0" w:type="auto"/>
            <w:vAlign w:val="center"/>
          </w:tcPr>
          <w:p w14:paraId="3537C5CB">
            <w:pPr>
              <w:widowControl/>
              <w:snapToGrid w:val="0"/>
              <w:jc w:val="center"/>
              <w:rPr>
                <w:rFonts w:ascii="宋体" w:hAnsi="宋体" w:cs="宋体"/>
                <w:b/>
                <w:szCs w:val="21"/>
              </w:rPr>
            </w:pPr>
            <w:r>
              <w:rPr>
                <w:rFonts w:hint="eastAsia" w:ascii="宋体" w:hAnsi="宋体" w:cs="宋体"/>
                <w:b/>
                <w:szCs w:val="21"/>
              </w:rPr>
              <w:t>功能单位/声明单位</w:t>
            </w:r>
          </w:p>
        </w:tc>
        <w:tc>
          <w:tcPr>
            <w:tcW w:w="0" w:type="auto"/>
            <w:vAlign w:val="center"/>
          </w:tcPr>
          <w:p w14:paraId="3537C5CC">
            <w:pPr>
              <w:widowControl/>
              <w:snapToGrid w:val="0"/>
              <w:jc w:val="center"/>
              <w:rPr>
                <w:rFonts w:ascii="宋体" w:hAnsi="宋体" w:cs="宋体"/>
                <w:b/>
                <w:szCs w:val="21"/>
              </w:rPr>
            </w:pPr>
            <w:r>
              <w:rPr>
                <w:rFonts w:hint="eastAsia" w:ascii="宋体" w:hAnsi="宋体" w:cs="宋体"/>
                <w:b/>
                <w:szCs w:val="21"/>
              </w:rPr>
              <w:t>生产工厂所在地</w:t>
            </w:r>
          </w:p>
          <w:p w14:paraId="3537C5CD">
            <w:pPr>
              <w:widowControl/>
              <w:snapToGrid w:val="0"/>
              <w:jc w:val="center"/>
              <w:rPr>
                <w:rFonts w:ascii="宋体" w:hAnsi="宋体" w:cs="宋体"/>
                <w:b/>
                <w:szCs w:val="21"/>
              </w:rPr>
            </w:pPr>
            <w:r>
              <w:rPr>
                <w:rFonts w:hint="eastAsia" w:ascii="宋体" w:hAnsi="宋体" w:cs="宋体"/>
                <w:b/>
                <w:szCs w:val="21"/>
              </w:rPr>
              <w:t>（省/国家）</w:t>
            </w:r>
          </w:p>
        </w:tc>
        <w:tc>
          <w:tcPr>
            <w:tcW w:w="0" w:type="auto"/>
            <w:vAlign w:val="center"/>
          </w:tcPr>
          <w:p w14:paraId="3537C5CE">
            <w:pPr>
              <w:widowControl/>
              <w:snapToGrid w:val="0"/>
              <w:jc w:val="center"/>
              <w:rPr>
                <w:rFonts w:ascii="宋体" w:hAnsi="宋体" w:cs="宋体"/>
                <w:b/>
                <w:szCs w:val="21"/>
              </w:rPr>
            </w:pPr>
            <w:r>
              <w:rPr>
                <w:rFonts w:hint="eastAsia" w:ascii="宋体" w:hAnsi="宋体" w:cs="宋体"/>
                <w:b/>
                <w:szCs w:val="21"/>
              </w:rPr>
              <w:t>生产年份/数据时间范围</w:t>
            </w:r>
          </w:p>
        </w:tc>
        <w:tc>
          <w:tcPr>
            <w:tcW w:w="0" w:type="auto"/>
            <w:vAlign w:val="center"/>
          </w:tcPr>
          <w:p w14:paraId="3537C5CF">
            <w:pPr>
              <w:widowControl/>
              <w:snapToGrid w:val="0"/>
              <w:jc w:val="center"/>
              <w:rPr>
                <w:rFonts w:ascii="宋体" w:hAnsi="宋体" w:cs="宋体"/>
                <w:b/>
                <w:szCs w:val="21"/>
              </w:rPr>
            </w:pPr>
            <w:r>
              <w:rPr>
                <w:rFonts w:hint="eastAsia" w:ascii="宋体" w:hAnsi="宋体" w:cs="宋体"/>
                <w:b/>
                <w:szCs w:val="21"/>
              </w:rPr>
              <w:t>系统边界</w:t>
            </w:r>
          </w:p>
        </w:tc>
        <w:tc>
          <w:tcPr>
            <w:tcW w:w="0" w:type="auto"/>
            <w:vAlign w:val="center"/>
          </w:tcPr>
          <w:p w14:paraId="3537C5D0">
            <w:pPr>
              <w:widowControl/>
              <w:snapToGrid w:val="0"/>
              <w:jc w:val="center"/>
              <w:rPr>
                <w:rFonts w:ascii="宋体" w:hAnsi="宋体" w:cs="宋体"/>
                <w:b/>
                <w:szCs w:val="21"/>
              </w:rPr>
            </w:pPr>
            <w:r>
              <w:rPr>
                <w:rFonts w:hint="eastAsia" w:ascii="宋体" w:hAnsi="宋体" w:cs="宋体"/>
                <w:b/>
                <w:szCs w:val="21"/>
              </w:rPr>
              <w:t>电力消耗</w:t>
            </w:r>
          </w:p>
          <w:p w14:paraId="3537C5D1">
            <w:pPr>
              <w:widowControl/>
              <w:snapToGrid w:val="0"/>
              <w:jc w:val="center"/>
              <w:rPr>
                <w:rFonts w:ascii="宋体" w:hAnsi="宋体" w:cs="宋体"/>
                <w:b/>
                <w:szCs w:val="21"/>
              </w:rPr>
            </w:pPr>
            <w:r>
              <w:rPr>
                <w:rFonts w:hint="eastAsia" w:ascii="宋体" w:hAnsi="宋体" w:cs="宋体"/>
                <w:b/>
                <w:szCs w:val="21"/>
              </w:rPr>
              <w:t>(kWh/功能单位)</w:t>
            </w:r>
          </w:p>
        </w:tc>
        <w:tc>
          <w:tcPr>
            <w:tcW w:w="0" w:type="auto"/>
            <w:vAlign w:val="center"/>
          </w:tcPr>
          <w:p w14:paraId="3537C5D2">
            <w:pPr>
              <w:widowControl/>
              <w:snapToGrid w:val="0"/>
              <w:jc w:val="center"/>
              <w:rPr>
                <w:rFonts w:ascii="宋体" w:hAnsi="宋体" w:cs="宋体"/>
                <w:b/>
                <w:szCs w:val="21"/>
              </w:rPr>
            </w:pPr>
            <w:r>
              <w:rPr>
                <w:rFonts w:hint="eastAsia" w:ascii="宋体" w:hAnsi="宋体" w:cs="宋体"/>
                <w:b/>
                <w:szCs w:val="21"/>
              </w:rPr>
              <w:t>蒸汽/热力消耗</w:t>
            </w:r>
          </w:p>
          <w:p w14:paraId="3537C5D3">
            <w:pPr>
              <w:widowControl/>
              <w:snapToGrid w:val="0"/>
              <w:jc w:val="center"/>
              <w:rPr>
                <w:rFonts w:ascii="宋体" w:hAnsi="宋体" w:cs="宋体"/>
                <w:b/>
                <w:szCs w:val="21"/>
              </w:rPr>
            </w:pPr>
            <w:r>
              <w:rPr>
                <w:rFonts w:hint="eastAsia" w:ascii="宋体" w:hAnsi="宋体" w:cs="宋体"/>
                <w:b/>
                <w:szCs w:val="21"/>
              </w:rPr>
              <w:t>(MJ/功能单位)</w:t>
            </w:r>
          </w:p>
        </w:tc>
        <w:tc>
          <w:tcPr>
            <w:tcW w:w="0" w:type="auto"/>
            <w:vAlign w:val="center"/>
          </w:tcPr>
          <w:p w14:paraId="3537C5D4">
            <w:pPr>
              <w:widowControl/>
              <w:snapToGrid w:val="0"/>
              <w:jc w:val="center"/>
              <w:rPr>
                <w:rFonts w:ascii="宋体" w:hAnsi="宋体" w:cs="宋体"/>
                <w:b/>
                <w:szCs w:val="21"/>
              </w:rPr>
            </w:pPr>
            <w:r>
              <w:rPr>
                <w:rFonts w:hint="eastAsia" w:ascii="宋体" w:hAnsi="宋体" w:cs="宋体"/>
                <w:b/>
                <w:szCs w:val="21"/>
              </w:rPr>
              <w:t>直接排放</w:t>
            </w:r>
          </w:p>
          <w:p w14:paraId="3537C5D5">
            <w:pPr>
              <w:widowControl/>
              <w:snapToGrid w:val="0"/>
              <w:jc w:val="center"/>
              <w:rPr>
                <w:rFonts w:ascii="宋体" w:hAnsi="宋体" w:cs="宋体"/>
                <w:b/>
                <w:szCs w:val="21"/>
              </w:rPr>
            </w:pPr>
            <w:r>
              <w:rPr>
                <w:rFonts w:hint="eastAsia" w:ascii="宋体" w:hAnsi="宋体" w:cs="宋体"/>
                <w:b/>
                <w:szCs w:val="21"/>
              </w:rPr>
              <w:t>(kgCO₂e/功能单位)</w:t>
            </w:r>
          </w:p>
        </w:tc>
        <w:tc>
          <w:tcPr>
            <w:tcW w:w="0" w:type="auto"/>
            <w:vAlign w:val="center"/>
          </w:tcPr>
          <w:p w14:paraId="3537C5D6">
            <w:pPr>
              <w:widowControl/>
              <w:snapToGrid w:val="0"/>
              <w:jc w:val="center"/>
              <w:rPr>
                <w:rFonts w:ascii="宋体" w:hAnsi="宋体" w:cs="宋体"/>
                <w:b/>
                <w:szCs w:val="21"/>
              </w:rPr>
            </w:pPr>
            <w:r>
              <w:rPr>
                <w:rFonts w:hint="eastAsia" w:ascii="宋体" w:hAnsi="宋体" w:cs="宋体"/>
                <w:b/>
                <w:szCs w:val="21"/>
              </w:rPr>
              <w:t>原料用量</w:t>
            </w:r>
          </w:p>
          <w:p w14:paraId="3537C5D7">
            <w:pPr>
              <w:widowControl/>
              <w:snapToGrid w:val="0"/>
              <w:jc w:val="center"/>
              <w:rPr>
                <w:rFonts w:ascii="宋体" w:hAnsi="宋体" w:cs="宋体"/>
                <w:b/>
                <w:szCs w:val="21"/>
              </w:rPr>
            </w:pPr>
            <w:r>
              <w:rPr>
                <w:rFonts w:hint="eastAsia" w:ascii="宋体" w:hAnsi="宋体" w:cs="宋体"/>
                <w:b/>
                <w:szCs w:val="21"/>
              </w:rPr>
              <w:t>(kg/功能单位)</w:t>
            </w:r>
          </w:p>
        </w:tc>
        <w:tc>
          <w:tcPr>
            <w:tcW w:w="0" w:type="auto"/>
            <w:vAlign w:val="center"/>
          </w:tcPr>
          <w:p w14:paraId="3537C5D8">
            <w:pPr>
              <w:widowControl/>
              <w:snapToGrid w:val="0"/>
              <w:jc w:val="center"/>
              <w:rPr>
                <w:rFonts w:ascii="宋体" w:hAnsi="宋体" w:cs="宋体"/>
                <w:b/>
                <w:szCs w:val="21"/>
              </w:rPr>
            </w:pPr>
            <w:r>
              <w:rPr>
                <w:rFonts w:hint="eastAsia" w:ascii="宋体" w:hAnsi="宋体" w:cs="宋体"/>
                <w:b/>
                <w:szCs w:val="21"/>
              </w:rPr>
              <w:t>原料来源地</w:t>
            </w:r>
          </w:p>
        </w:tc>
        <w:tc>
          <w:tcPr>
            <w:tcW w:w="0" w:type="auto"/>
            <w:vAlign w:val="center"/>
          </w:tcPr>
          <w:p w14:paraId="3537C5D9">
            <w:pPr>
              <w:widowControl/>
              <w:snapToGrid w:val="0"/>
              <w:jc w:val="center"/>
              <w:rPr>
                <w:rFonts w:ascii="宋体" w:hAnsi="宋体" w:cs="宋体"/>
                <w:b/>
                <w:szCs w:val="21"/>
              </w:rPr>
            </w:pPr>
            <w:r>
              <w:rPr>
                <w:rFonts w:hint="eastAsia" w:ascii="宋体" w:hAnsi="宋体" w:cs="宋体"/>
                <w:b/>
                <w:szCs w:val="21"/>
              </w:rPr>
              <w:t>运输方式</w:t>
            </w:r>
          </w:p>
        </w:tc>
        <w:tc>
          <w:tcPr>
            <w:tcW w:w="0" w:type="auto"/>
            <w:vAlign w:val="center"/>
          </w:tcPr>
          <w:p w14:paraId="3537C5DA">
            <w:pPr>
              <w:widowControl/>
              <w:snapToGrid w:val="0"/>
              <w:jc w:val="center"/>
              <w:rPr>
                <w:rFonts w:ascii="宋体" w:hAnsi="宋体" w:cs="宋体"/>
                <w:b/>
                <w:szCs w:val="21"/>
              </w:rPr>
            </w:pPr>
            <w:r>
              <w:rPr>
                <w:rFonts w:hint="eastAsia" w:ascii="宋体" w:hAnsi="宋体" w:cs="宋体"/>
                <w:b/>
                <w:szCs w:val="21"/>
              </w:rPr>
              <w:t>运输距离</w:t>
            </w:r>
          </w:p>
          <w:p w14:paraId="3537C5DB">
            <w:pPr>
              <w:widowControl/>
              <w:snapToGrid w:val="0"/>
              <w:jc w:val="center"/>
              <w:rPr>
                <w:rFonts w:ascii="宋体" w:hAnsi="宋体" w:cs="宋体"/>
                <w:b/>
                <w:szCs w:val="21"/>
              </w:rPr>
            </w:pPr>
            <w:r>
              <w:rPr>
                <w:rFonts w:hint="eastAsia" w:ascii="宋体" w:hAnsi="宋体" w:cs="宋体"/>
                <w:b/>
                <w:szCs w:val="21"/>
              </w:rPr>
              <w:t>(km)</w:t>
            </w:r>
          </w:p>
        </w:tc>
        <w:tc>
          <w:tcPr>
            <w:tcW w:w="0" w:type="auto"/>
            <w:vAlign w:val="center"/>
          </w:tcPr>
          <w:p w14:paraId="3537C5DC">
            <w:pPr>
              <w:widowControl/>
              <w:snapToGrid w:val="0"/>
              <w:jc w:val="center"/>
              <w:rPr>
                <w:rFonts w:ascii="宋体" w:hAnsi="宋体" w:cs="宋体"/>
                <w:b/>
                <w:szCs w:val="21"/>
              </w:rPr>
            </w:pPr>
            <w:r>
              <w:rPr>
                <w:rFonts w:hint="eastAsia" w:ascii="宋体" w:hAnsi="宋体" w:cs="宋体"/>
                <w:b/>
                <w:szCs w:val="21"/>
              </w:rPr>
              <w:t>废弃物产生量</w:t>
            </w:r>
          </w:p>
          <w:p w14:paraId="3537C5DD">
            <w:pPr>
              <w:widowControl/>
              <w:snapToGrid w:val="0"/>
              <w:jc w:val="center"/>
              <w:rPr>
                <w:rFonts w:ascii="宋体" w:hAnsi="宋体" w:cs="宋体"/>
                <w:b/>
                <w:szCs w:val="21"/>
              </w:rPr>
            </w:pPr>
            <w:r>
              <w:rPr>
                <w:rFonts w:hint="eastAsia" w:ascii="宋体" w:hAnsi="宋体" w:cs="宋体"/>
                <w:b/>
                <w:szCs w:val="21"/>
              </w:rPr>
              <w:t>(kg/功能单位)</w:t>
            </w:r>
          </w:p>
        </w:tc>
        <w:tc>
          <w:tcPr>
            <w:tcW w:w="0" w:type="auto"/>
            <w:vAlign w:val="center"/>
          </w:tcPr>
          <w:p w14:paraId="3537C5DE">
            <w:pPr>
              <w:widowControl/>
              <w:snapToGrid w:val="0"/>
              <w:jc w:val="center"/>
              <w:rPr>
                <w:rFonts w:ascii="宋体" w:hAnsi="宋体" w:cs="宋体"/>
                <w:b/>
                <w:szCs w:val="21"/>
              </w:rPr>
            </w:pPr>
            <w:r>
              <w:rPr>
                <w:rFonts w:hint="eastAsia" w:ascii="宋体" w:hAnsi="宋体" w:cs="宋体"/>
                <w:b/>
                <w:szCs w:val="21"/>
              </w:rPr>
              <w:t>废弃物处理方式</w:t>
            </w:r>
          </w:p>
        </w:tc>
        <w:tc>
          <w:tcPr>
            <w:tcW w:w="0" w:type="auto"/>
            <w:vAlign w:val="center"/>
          </w:tcPr>
          <w:p w14:paraId="3537C5DF">
            <w:pPr>
              <w:widowControl/>
              <w:snapToGrid w:val="0"/>
              <w:jc w:val="center"/>
              <w:rPr>
                <w:rFonts w:ascii="宋体" w:hAnsi="宋体" w:cs="宋体"/>
                <w:b/>
                <w:szCs w:val="21"/>
              </w:rPr>
            </w:pPr>
            <w:r>
              <w:rPr>
                <w:rFonts w:hint="eastAsia" w:ascii="宋体" w:hAnsi="宋体" w:cs="宋体"/>
                <w:b/>
                <w:szCs w:val="21"/>
              </w:rPr>
              <w:t>水资源消耗</w:t>
            </w:r>
          </w:p>
          <w:p w14:paraId="3537C5E0">
            <w:pPr>
              <w:widowControl/>
              <w:snapToGrid w:val="0"/>
              <w:jc w:val="center"/>
              <w:rPr>
                <w:rFonts w:ascii="宋体" w:hAnsi="宋体" w:cs="宋体"/>
                <w:b/>
                <w:szCs w:val="21"/>
              </w:rPr>
            </w:pPr>
            <w:r>
              <w:rPr>
                <w:rFonts w:hint="eastAsia" w:ascii="宋体" w:hAnsi="宋体" w:cs="宋体"/>
                <w:b/>
                <w:szCs w:val="21"/>
              </w:rPr>
              <w:t>(m³/功能单位)</w:t>
            </w:r>
          </w:p>
        </w:tc>
        <w:tc>
          <w:tcPr>
            <w:tcW w:w="0" w:type="auto"/>
            <w:vAlign w:val="center"/>
          </w:tcPr>
          <w:p w14:paraId="3537C5E1">
            <w:pPr>
              <w:widowControl/>
              <w:snapToGrid w:val="0"/>
              <w:jc w:val="center"/>
              <w:rPr>
                <w:rFonts w:ascii="宋体" w:hAnsi="宋体" w:cs="宋体"/>
                <w:b/>
                <w:szCs w:val="21"/>
              </w:rPr>
            </w:pPr>
            <w:r>
              <w:rPr>
                <w:rFonts w:hint="eastAsia" w:ascii="宋体" w:hAnsi="宋体" w:cs="宋体"/>
                <w:b/>
                <w:szCs w:val="21"/>
              </w:rPr>
              <w:t>生物基碳含量(%)</w:t>
            </w:r>
          </w:p>
        </w:tc>
        <w:tc>
          <w:tcPr>
            <w:tcW w:w="0" w:type="auto"/>
            <w:vAlign w:val="center"/>
          </w:tcPr>
          <w:p w14:paraId="3537C5E2">
            <w:pPr>
              <w:widowControl/>
              <w:snapToGrid w:val="0"/>
              <w:jc w:val="center"/>
              <w:rPr>
                <w:rFonts w:ascii="宋体" w:hAnsi="宋体" w:cs="宋体"/>
                <w:b/>
                <w:szCs w:val="21"/>
              </w:rPr>
            </w:pPr>
            <w:r>
              <w:rPr>
                <w:rFonts w:hint="eastAsia" w:ascii="宋体" w:hAnsi="宋体" w:cs="宋体"/>
                <w:b/>
                <w:szCs w:val="21"/>
              </w:rPr>
              <w:t>认证情况</w:t>
            </w:r>
          </w:p>
        </w:tc>
        <w:tc>
          <w:tcPr>
            <w:tcW w:w="0" w:type="auto"/>
            <w:vAlign w:val="center"/>
          </w:tcPr>
          <w:p w14:paraId="3537C5E3">
            <w:pPr>
              <w:widowControl/>
              <w:snapToGrid w:val="0"/>
              <w:jc w:val="center"/>
              <w:rPr>
                <w:rFonts w:ascii="宋体" w:hAnsi="宋体" w:cs="宋体"/>
                <w:b/>
                <w:szCs w:val="21"/>
              </w:rPr>
            </w:pPr>
            <w:r>
              <w:rPr>
                <w:rFonts w:hint="eastAsia" w:ascii="宋体" w:hAnsi="宋体" w:cs="宋体"/>
                <w:b/>
                <w:szCs w:val="21"/>
              </w:rPr>
              <w:t>数据质量评分</w:t>
            </w:r>
          </w:p>
          <w:p w14:paraId="3537C5E4">
            <w:pPr>
              <w:widowControl/>
              <w:snapToGrid w:val="0"/>
              <w:jc w:val="center"/>
              <w:rPr>
                <w:rFonts w:ascii="宋体" w:hAnsi="宋体" w:cs="宋体"/>
                <w:b/>
                <w:szCs w:val="21"/>
              </w:rPr>
            </w:pPr>
            <w:r>
              <w:rPr>
                <w:rFonts w:hint="eastAsia" w:ascii="宋体" w:hAnsi="宋体" w:cs="宋体"/>
                <w:b/>
                <w:szCs w:val="21"/>
              </w:rPr>
              <w:t>（DQR）</w:t>
            </w:r>
          </w:p>
        </w:tc>
        <w:tc>
          <w:tcPr>
            <w:tcW w:w="0" w:type="auto"/>
            <w:vAlign w:val="center"/>
          </w:tcPr>
          <w:p w14:paraId="3537C5E5">
            <w:pPr>
              <w:widowControl/>
              <w:snapToGrid w:val="0"/>
              <w:jc w:val="center"/>
              <w:rPr>
                <w:rFonts w:ascii="宋体" w:hAnsi="宋体" w:cs="宋体"/>
                <w:b/>
                <w:szCs w:val="21"/>
              </w:rPr>
            </w:pPr>
            <w:r>
              <w:rPr>
                <w:rFonts w:hint="eastAsia" w:ascii="宋体" w:hAnsi="宋体" w:cs="宋体"/>
                <w:b/>
                <w:szCs w:val="21"/>
              </w:rPr>
              <w:t>数据来源</w:t>
            </w:r>
          </w:p>
          <w:p w14:paraId="3537C5E6">
            <w:pPr>
              <w:widowControl/>
              <w:snapToGrid w:val="0"/>
              <w:jc w:val="center"/>
              <w:rPr>
                <w:rFonts w:ascii="宋体" w:hAnsi="宋体" w:cs="宋体"/>
                <w:b/>
                <w:szCs w:val="21"/>
              </w:rPr>
            </w:pPr>
            <w:r>
              <w:rPr>
                <w:rFonts w:hint="eastAsia" w:ascii="宋体" w:hAnsi="宋体" w:cs="宋体"/>
                <w:b/>
                <w:szCs w:val="21"/>
              </w:rPr>
              <w:t>(初级/次级/混合)</w:t>
            </w:r>
          </w:p>
        </w:tc>
        <w:tc>
          <w:tcPr>
            <w:tcW w:w="338" w:type="dxa"/>
            <w:vAlign w:val="center"/>
          </w:tcPr>
          <w:p w14:paraId="3537C5E7">
            <w:pPr>
              <w:widowControl/>
              <w:snapToGrid w:val="0"/>
              <w:jc w:val="center"/>
              <w:rPr>
                <w:rFonts w:ascii="宋体" w:hAnsi="宋体" w:cs="宋体"/>
                <w:b/>
                <w:szCs w:val="21"/>
              </w:rPr>
            </w:pPr>
            <w:r>
              <w:rPr>
                <w:rFonts w:hint="eastAsia" w:ascii="宋体" w:hAnsi="宋体" w:cs="宋体"/>
                <w:b/>
                <w:szCs w:val="21"/>
              </w:rPr>
              <w:t>备注</w:t>
            </w:r>
          </w:p>
        </w:tc>
      </w:tr>
      <w:tr w14:paraId="3537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537C5E9">
            <w:pPr>
              <w:widowControl/>
              <w:snapToGrid w:val="0"/>
              <w:jc w:val="center"/>
              <w:rPr>
                <w:rFonts w:ascii="宋体" w:hAnsi="宋体" w:cs="宋体"/>
                <w:szCs w:val="21"/>
              </w:rPr>
            </w:pPr>
            <w:r>
              <w:rPr>
                <w:rFonts w:hint="eastAsia" w:ascii="宋体" w:hAnsi="宋体" w:cs="宋体"/>
                <w:szCs w:val="21"/>
              </w:rPr>
              <w:t>1</w:t>
            </w:r>
          </w:p>
        </w:tc>
        <w:tc>
          <w:tcPr>
            <w:tcW w:w="0" w:type="auto"/>
            <w:vAlign w:val="center"/>
          </w:tcPr>
          <w:p w14:paraId="3537C5EA">
            <w:pPr>
              <w:widowControl/>
              <w:snapToGrid w:val="0"/>
              <w:jc w:val="center"/>
              <w:rPr>
                <w:rFonts w:ascii="宋体" w:hAnsi="宋体" w:cs="宋体"/>
                <w:szCs w:val="21"/>
              </w:rPr>
            </w:pPr>
          </w:p>
        </w:tc>
        <w:tc>
          <w:tcPr>
            <w:tcW w:w="0" w:type="auto"/>
            <w:vAlign w:val="center"/>
          </w:tcPr>
          <w:p w14:paraId="3537C5EB">
            <w:pPr>
              <w:widowControl/>
              <w:snapToGrid w:val="0"/>
              <w:jc w:val="center"/>
              <w:rPr>
                <w:rFonts w:ascii="宋体" w:hAnsi="宋体" w:cs="宋体"/>
                <w:szCs w:val="21"/>
              </w:rPr>
            </w:pPr>
          </w:p>
        </w:tc>
        <w:tc>
          <w:tcPr>
            <w:tcW w:w="0" w:type="auto"/>
            <w:vAlign w:val="center"/>
          </w:tcPr>
          <w:p w14:paraId="3537C5EC">
            <w:pPr>
              <w:widowControl/>
              <w:snapToGrid w:val="0"/>
              <w:jc w:val="center"/>
              <w:rPr>
                <w:rFonts w:ascii="宋体" w:hAnsi="宋体" w:cs="宋体"/>
                <w:szCs w:val="21"/>
              </w:rPr>
            </w:pPr>
          </w:p>
        </w:tc>
        <w:tc>
          <w:tcPr>
            <w:tcW w:w="0" w:type="auto"/>
            <w:vAlign w:val="center"/>
          </w:tcPr>
          <w:p w14:paraId="3537C5ED">
            <w:pPr>
              <w:widowControl/>
              <w:snapToGrid w:val="0"/>
              <w:jc w:val="center"/>
              <w:rPr>
                <w:rFonts w:ascii="宋体" w:hAnsi="宋体" w:cs="宋体"/>
                <w:szCs w:val="21"/>
              </w:rPr>
            </w:pPr>
          </w:p>
        </w:tc>
        <w:tc>
          <w:tcPr>
            <w:tcW w:w="0" w:type="auto"/>
            <w:vAlign w:val="center"/>
          </w:tcPr>
          <w:p w14:paraId="3537C5EE">
            <w:pPr>
              <w:widowControl/>
              <w:snapToGrid w:val="0"/>
              <w:jc w:val="center"/>
              <w:rPr>
                <w:rFonts w:ascii="宋体" w:hAnsi="宋体" w:cs="宋体"/>
                <w:szCs w:val="21"/>
              </w:rPr>
            </w:pPr>
          </w:p>
        </w:tc>
        <w:tc>
          <w:tcPr>
            <w:tcW w:w="0" w:type="auto"/>
            <w:vAlign w:val="center"/>
          </w:tcPr>
          <w:p w14:paraId="3537C5EF">
            <w:pPr>
              <w:widowControl/>
              <w:snapToGrid w:val="0"/>
              <w:jc w:val="center"/>
              <w:rPr>
                <w:rFonts w:ascii="宋体" w:hAnsi="宋体" w:cs="宋体"/>
                <w:szCs w:val="21"/>
              </w:rPr>
            </w:pPr>
          </w:p>
        </w:tc>
        <w:tc>
          <w:tcPr>
            <w:tcW w:w="0" w:type="auto"/>
            <w:vAlign w:val="center"/>
          </w:tcPr>
          <w:p w14:paraId="3537C5F0">
            <w:pPr>
              <w:widowControl/>
              <w:snapToGrid w:val="0"/>
              <w:jc w:val="center"/>
              <w:rPr>
                <w:rFonts w:ascii="宋体" w:hAnsi="宋体" w:cs="宋体"/>
                <w:szCs w:val="21"/>
              </w:rPr>
            </w:pPr>
          </w:p>
        </w:tc>
        <w:tc>
          <w:tcPr>
            <w:tcW w:w="0" w:type="auto"/>
            <w:vAlign w:val="center"/>
          </w:tcPr>
          <w:p w14:paraId="3537C5F1">
            <w:pPr>
              <w:widowControl/>
              <w:snapToGrid w:val="0"/>
              <w:jc w:val="center"/>
              <w:rPr>
                <w:rFonts w:ascii="宋体" w:hAnsi="宋体" w:cs="宋体"/>
                <w:szCs w:val="21"/>
              </w:rPr>
            </w:pPr>
          </w:p>
        </w:tc>
        <w:tc>
          <w:tcPr>
            <w:tcW w:w="0" w:type="auto"/>
            <w:vAlign w:val="center"/>
          </w:tcPr>
          <w:p w14:paraId="3537C5F2">
            <w:pPr>
              <w:widowControl/>
              <w:snapToGrid w:val="0"/>
              <w:jc w:val="center"/>
              <w:rPr>
                <w:rFonts w:ascii="宋体" w:hAnsi="宋体" w:cs="宋体"/>
                <w:szCs w:val="21"/>
              </w:rPr>
            </w:pPr>
          </w:p>
        </w:tc>
        <w:tc>
          <w:tcPr>
            <w:tcW w:w="0" w:type="auto"/>
            <w:vAlign w:val="center"/>
          </w:tcPr>
          <w:p w14:paraId="3537C5F3">
            <w:pPr>
              <w:widowControl/>
              <w:snapToGrid w:val="0"/>
              <w:jc w:val="right"/>
              <w:rPr>
                <w:rFonts w:ascii="宋体" w:hAnsi="宋体" w:cs="宋体"/>
                <w:szCs w:val="21"/>
              </w:rPr>
            </w:pPr>
          </w:p>
        </w:tc>
        <w:tc>
          <w:tcPr>
            <w:tcW w:w="0" w:type="auto"/>
            <w:vAlign w:val="center"/>
          </w:tcPr>
          <w:p w14:paraId="3537C5F4">
            <w:pPr>
              <w:widowControl/>
              <w:snapToGrid w:val="0"/>
              <w:jc w:val="right"/>
              <w:rPr>
                <w:rFonts w:ascii="宋体" w:hAnsi="宋体" w:cs="宋体"/>
                <w:szCs w:val="21"/>
              </w:rPr>
            </w:pPr>
          </w:p>
        </w:tc>
        <w:tc>
          <w:tcPr>
            <w:tcW w:w="0" w:type="auto"/>
            <w:vAlign w:val="center"/>
          </w:tcPr>
          <w:p w14:paraId="3537C5F5">
            <w:pPr>
              <w:widowControl/>
              <w:snapToGrid w:val="0"/>
              <w:jc w:val="center"/>
              <w:rPr>
                <w:rFonts w:ascii="宋体" w:hAnsi="宋体" w:cs="宋体"/>
                <w:szCs w:val="21"/>
              </w:rPr>
            </w:pPr>
          </w:p>
        </w:tc>
        <w:tc>
          <w:tcPr>
            <w:tcW w:w="0" w:type="auto"/>
            <w:vAlign w:val="center"/>
          </w:tcPr>
          <w:p w14:paraId="3537C5F6">
            <w:pPr>
              <w:widowControl/>
              <w:snapToGrid w:val="0"/>
              <w:jc w:val="center"/>
              <w:rPr>
                <w:rFonts w:ascii="宋体" w:hAnsi="宋体" w:cs="宋体"/>
                <w:szCs w:val="21"/>
              </w:rPr>
            </w:pPr>
          </w:p>
        </w:tc>
        <w:tc>
          <w:tcPr>
            <w:tcW w:w="0" w:type="auto"/>
            <w:vAlign w:val="center"/>
          </w:tcPr>
          <w:p w14:paraId="3537C5F7">
            <w:pPr>
              <w:widowControl/>
              <w:snapToGrid w:val="0"/>
              <w:jc w:val="right"/>
              <w:rPr>
                <w:rFonts w:ascii="宋体" w:hAnsi="宋体" w:cs="宋体"/>
                <w:szCs w:val="21"/>
              </w:rPr>
            </w:pPr>
          </w:p>
        </w:tc>
        <w:tc>
          <w:tcPr>
            <w:tcW w:w="0" w:type="auto"/>
            <w:vAlign w:val="center"/>
          </w:tcPr>
          <w:p w14:paraId="3537C5F8">
            <w:pPr>
              <w:widowControl/>
              <w:snapToGrid w:val="0"/>
              <w:jc w:val="right"/>
              <w:rPr>
                <w:rFonts w:ascii="宋体" w:hAnsi="宋体" w:cs="宋体"/>
                <w:szCs w:val="21"/>
              </w:rPr>
            </w:pPr>
          </w:p>
        </w:tc>
        <w:tc>
          <w:tcPr>
            <w:tcW w:w="0" w:type="auto"/>
            <w:vAlign w:val="center"/>
          </w:tcPr>
          <w:p w14:paraId="3537C5F9">
            <w:pPr>
              <w:widowControl/>
              <w:snapToGrid w:val="0"/>
              <w:jc w:val="center"/>
              <w:rPr>
                <w:rFonts w:ascii="宋体" w:hAnsi="宋体" w:cs="宋体"/>
                <w:szCs w:val="21"/>
              </w:rPr>
            </w:pPr>
          </w:p>
        </w:tc>
        <w:tc>
          <w:tcPr>
            <w:tcW w:w="0" w:type="auto"/>
            <w:vAlign w:val="center"/>
          </w:tcPr>
          <w:p w14:paraId="3537C5FA">
            <w:pPr>
              <w:widowControl/>
              <w:snapToGrid w:val="0"/>
              <w:jc w:val="right"/>
              <w:rPr>
                <w:rFonts w:ascii="宋体" w:hAnsi="宋体" w:cs="宋体"/>
                <w:szCs w:val="21"/>
              </w:rPr>
            </w:pPr>
          </w:p>
        </w:tc>
        <w:tc>
          <w:tcPr>
            <w:tcW w:w="0" w:type="auto"/>
            <w:vAlign w:val="center"/>
          </w:tcPr>
          <w:p w14:paraId="3537C5FB">
            <w:pPr>
              <w:widowControl/>
              <w:snapToGrid w:val="0"/>
              <w:jc w:val="right"/>
              <w:rPr>
                <w:rFonts w:ascii="宋体" w:hAnsi="宋体" w:cs="宋体"/>
                <w:szCs w:val="21"/>
              </w:rPr>
            </w:pPr>
          </w:p>
        </w:tc>
        <w:tc>
          <w:tcPr>
            <w:tcW w:w="0" w:type="auto"/>
            <w:vAlign w:val="center"/>
          </w:tcPr>
          <w:p w14:paraId="3537C5FC">
            <w:pPr>
              <w:widowControl/>
              <w:snapToGrid w:val="0"/>
              <w:jc w:val="center"/>
              <w:rPr>
                <w:rFonts w:ascii="宋体" w:hAnsi="宋体" w:cs="宋体"/>
                <w:szCs w:val="21"/>
              </w:rPr>
            </w:pPr>
          </w:p>
        </w:tc>
        <w:tc>
          <w:tcPr>
            <w:tcW w:w="0" w:type="auto"/>
            <w:vAlign w:val="center"/>
          </w:tcPr>
          <w:p w14:paraId="3537C5FD">
            <w:pPr>
              <w:widowControl/>
              <w:snapToGrid w:val="0"/>
              <w:jc w:val="right"/>
              <w:rPr>
                <w:rFonts w:ascii="宋体" w:hAnsi="宋体" w:cs="宋体"/>
                <w:szCs w:val="21"/>
              </w:rPr>
            </w:pPr>
          </w:p>
        </w:tc>
        <w:tc>
          <w:tcPr>
            <w:tcW w:w="0" w:type="auto"/>
            <w:vAlign w:val="center"/>
          </w:tcPr>
          <w:p w14:paraId="3537C5FE">
            <w:pPr>
              <w:widowControl/>
              <w:snapToGrid w:val="0"/>
              <w:jc w:val="center"/>
              <w:rPr>
                <w:rFonts w:ascii="宋体" w:hAnsi="宋体" w:cs="宋体"/>
                <w:szCs w:val="21"/>
              </w:rPr>
            </w:pPr>
          </w:p>
        </w:tc>
        <w:tc>
          <w:tcPr>
            <w:tcW w:w="338" w:type="dxa"/>
            <w:vAlign w:val="center"/>
          </w:tcPr>
          <w:p w14:paraId="3537C5FF">
            <w:pPr>
              <w:widowControl/>
              <w:snapToGrid w:val="0"/>
              <w:jc w:val="center"/>
              <w:rPr>
                <w:rFonts w:ascii="宋体" w:hAnsi="宋体" w:cs="宋体"/>
                <w:szCs w:val="21"/>
              </w:rPr>
            </w:pPr>
          </w:p>
        </w:tc>
      </w:tr>
      <w:tr w14:paraId="3537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537C601">
            <w:pPr>
              <w:widowControl/>
              <w:snapToGrid w:val="0"/>
              <w:jc w:val="center"/>
              <w:rPr>
                <w:rFonts w:ascii="宋体" w:hAnsi="宋体" w:cs="宋体"/>
                <w:szCs w:val="21"/>
              </w:rPr>
            </w:pPr>
            <w:r>
              <w:rPr>
                <w:rFonts w:hint="eastAsia" w:ascii="宋体" w:hAnsi="宋体" w:cs="宋体"/>
                <w:szCs w:val="21"/>
              </w:rPr>
              <w:t>2</w:t>
            </w:r>
          </w:p>
        </w:tc>
        <w:tc>
          <w:tcPr>
            <w:tcW w:w="0" w:type="auto"/>
            <w:vAlign w:val="center"/>
          </w:tcPr>
          <w:p w14:paraId="3537C602">
            <w:pPr>
              <w:widowControl/>
              <w:snapToGrid w:val="0"/>
              <w:jc w:val="center"/>
              <w:rPr>
                <w:rFonts w:ascii="宋体" w:hAnsi="宋体" w:cs="宋体"/>
                <w:szCs w:val="21"/>
              </w:rPr>
            </w:pPr>
          </w:p>
        </w:tc>
        <w:tc>
          <w:tcPr>
            <w:tcW w:w="0" w:type="auto"/>
            <w:vAlign w:val="center"/>
          </w:tcPr>
          <w:p w14:paraId="3537C603">
            <w:pPr>
              <w:widowControl/>
              <w:snapToGrid w:val="0"/>
              <w:jc w:val="center"/>
              <w:rPr>
                <w:rFonts w:ascii="宋体" w:hAnsi="宋体" w:cs="宋体"/>
                <w:szCs w:val="21"/>
              </w:rPr>
            </w:pPr>
          </w:p>
        </w:tc>
        <w:tc>
          <w:tcPr>
            <w:tcW w:w="0" w:type="auto"/>
            <w:vAlign w:val="center"/>
          </w:tcPr>
          <w:p w14:paraId="3537C604">
            <w:pPr>
              <w:widowControl/>
              <w:snapToGrid w:val="0"/>
              <w:jc w:val="center"/>
              <w:rPr>
                <w:rFonts w:ascii="宋体" w:hAnsi="宋体" w:cs="宋体"/>
                <w:szCs w:val="21"/>
              </w:rPr>
            </w:pPr>
          </w:p>
        </w:tc>
        <w:tc>
          <w:tcPr>
            <w:tcW w:w="0" w:type="auto"/>
            <w:vAlign w:val="center"/>
          </w:tcPr>
          <w:p w14:paraId="3537C605">
            <w:pPr>
              <w:widowControl/>
              <w:snapToGrid w:val="0"/>
              <w:jc w:val="center"/>
              <w:rPr>
                <w:rFonts w:ascii="宋体" w:hAnsi="宋体" w:cs="宋体"/>
                <w:szCs w:val="21"/>
              </w:rPr>
            </w:pPr>
          </w:p>
        </w:tc>
        <w:tc>
          <w:tcPr>
            <w:tcW w:w="0" w:type="auto"/>
            <w:vAlign w:val="center"/>
          </w:tcPr>
          <w:p w14:paraId="3537C606">
            <w:pPr>
              <w:widowControl/>
              <w:snapToGrid w:val="0"/>
              <w:jc w:val="center"/>
              <w:rPr>
                <w:rFonts w:ascii="宋体" w:hAnsi="宋体" w:cs="宋体"/>
                <w:szCs w:val="21"/>
              </w:rPr>
            </w:pPr>
          </w:p>
        </w:tc>
        <w:tc>
          <w:tcPr>
            <w:tcW w:w="0" w:type="auto"/>
            <w:vAlign w:val="center"/>
          </w:tcPr>
          <w:p w14:paraId="3537C607">
            <w:pPr>
              <w:widowControl/>
              <w:snapToGrid w:val="0"/>
              <w:jc w:val="center"/>
              <w:rPr>
                <w:rFonts w:ascii="宋体" w:hAnsi="宋体" w:cs="宋体"/>
                <w:szCs w:val="21"/>
              </w:rPr>
            </w:pPr>
          </w:p>
        </w:tc>
        <w:tc>
          <w:tcPr>
            <w:tcW w:w="0" w:type="auto"/>
            <w:vAlign w:val="center"/>
          </w:tcPr>
          <w:p w14:paraId="3537C608">
            <w:pPr>
              <w:widowControl/>
              <w:snapToGrid w:val="0"/>
              <w:jc w:val="center"/>
              <w:rPr>
                <w:rFonts w:ascii="宋体" w:hAnsi="宋体" w:cs="宋体"/>
                <w:szCs w:val="21"/>
              </w:rPr>
            </w:pPr>
          </w:p>
        </w:tc>
        <w:tc>
          <w:tcPr>
            <w:tcW w:w="0" w:type="auto"/>
            <w:vAlign w:val="center"/>
          </w:tcPr>
          <w:p w14:paraId="3537C609">
            <w:pPr>
              <w:widowControl/>
              <w:snapToGrid w:val="0"/>
              <w:jc w:val="center"/>
              <w:rPr>
                <w:rFonts w:ascii="宋体" w:hAnsi="宋体" w:cs="宋体"/>
                <w:szCs w:val="21"/>
              </w:rPr>
            </w:pPr>
          </w:p>
        </w:tc>
        <w:tc>
          <w:tcPr>
            <w:tcW w:w="0" w:type="auto"/>
            <w:vAlign w:val="center"/>
          </w:tcPr>
          <w:p w14:paraId="3537C60A">
            <w:pPr>
              <w:widowControl/>
              <w:snapToGrid w:val="0"/>
              <w:jc w:val="center"/>
              <w:rPr>
                <w:rFonts w:ascii="宋体" w:hAnsi="宋体" w:cs="宋体"/>
                <w:szCs w:val="21"/>
              </w:rPr>
            </w:pPr>
          </w:p>
        </w:tc>
        <w:tc>
          <w:tcPr>
            <w:tcW w:w="0" w:type="auto"/>
            <w:vAlign w:val="center"/>
          </w:tcPr>
          <w:p w14:paraId="3537C60B">
            <w:pPr>
              <w:widowControl/>
              <w:snapToGrid w:val="0"/>
              <w:jc w:val="right"/>
              <w:rPr>
                <w:rFonts w:ascii="宋体" w:hAnsi="宋体" w:cs="宋体"/>
                <w:szCs w:val="21"/>
              </w:rPr>
            </w:pPr>
          </w:p>
        </w:tc>
        <w:tc>
          <w:tcPr>
            <w:tcW w:w="0" w:type="auto"/>
            <w:vAlign w:val="center"/>
          </w:tcPr>
          <w:p w14:paraId="3537C60C">
            <w:pPr>
              <w:widowControl/>
              <w:snapToGrid w:val="0"/>
              <w:jc w:val="right"/>
              <w:rPr>
                <w:rFonts w:ascii="宋体" w:hAnsi="宋体" w:cs="宋体"/>
                <w:szCs w:val="21"/>
              </w:rPr>
            </w:pPr>
          </w:p>
        </w:tc>
        <w:tc>
          <w:tcPr>
            <w:tcW w:w="0" w:type="auto"/>
            <w:vAlign w:val="center"/>
          </w:tcPr>
          <w:p w14:paraId="3537C60D">
            <w:pPr>
              <w:widowControl/>
              <w:snapToGrid w:val="0"/>
              <w:jc w:val="center"/>
              <w:rPr>
                <w:rFonts w:ascii="宋体" w:hAnsi="宋体" w:cs="宋体"/>
                <w:szCs w:val="21"/>
              </w:rPr>
            </w:pPr>
          </w:p>
        </w:tc>
        <w:tc>
          <w:tcPr>
            <w:tcW w:w="0" w:type="auto"/>
            <w:vAlign w:val="center"/>
          </w:tcPr>
          <w:p w14:paraId="3537C60E">
            <w:pPr>
              <w:widowControl/>
              <w:snapToGrid w:val="0"/>
              <w:jc w:val="center"/>
              <w:rPr>
                <w:rFonts w:ascii="宋体" w:hAnsi="宋体" w:cs="宋体"/>
                <w:szCs w:val="21"/>
              </w:rPr>
            </w:pPr>
          </w:p>
        </w:tc>
        <w:tc>
          <w:tcPr>
            <w:tcW w:w="0" w:type="auto"/>
            <w:vAlign w:val="center"/>
          </w:tcPr>
          <w:p w14:paraId="3537C60F">
            <w:pPr>
              <w:widowControl/>
              <w:snapToGrid w:val="0"/>
              <w:jc w:val="right"/>
              <w:rPr>
                <w:rFonts w:ascii="宋体" w:hAnsi="宋体" w:cs="宋体"/>
                <w:szCs w:val="21"/>
              </w:rPr>
            </w:pPr>
          </w:p>
        </w:tc>
        <w:tc>
          <w:tcPr>
            <w:tcW w:w="0" w:type="auto"/>
            <w:vAlign w:val="center"/>
          </w:tcPr>
          <w:p w14:paraId="3537C610">
            <w:pPr>
              <w:widowControl/>
              <w:snapToGrid w:val="0"/>
              <w:jc w:val="right"/>
              <w:rPr>
                <w:rFonts w:ascii="宋体" w:hAnsi="宋体" w:cs="宋体"/>
                <w:szCs w:val="21"/>
              </w:rPr>
            </w:pPr>
          </w:p>
        </w:tc>
        <w:tc>
          <w:tcPr>
            <w:tcW w:w="0" w:type="auto"/>
            <w:vAlign w:val="center"/>
          </w:tcPr>
          <w:p w14:paraId="3537C611">
            <w:pPr>
              <w:widowControl/>
              <w:snapToGrid w:val="0"/>
              <w:jc w:val="center"/>
              <w:rPr>
                <w:rFonts w:ascii="宋体" w:hAnsi="宋体" w:cs="宋体"/>
                <w:szCs w:val="21"/>
              </w:rPr>
            </w:pPr>
          </w:p>
        </w:tc>
        <w:tc>
          <w:tcPr>
            <w:tcW w:w="0" w:type="auto"/>
            <w:vAlign w:val="center"/>
          </w:tcPr>
          <w:p w14:paraId="3537C612">
            <w:pPr>
              <w:widowControl/>
              <w:snapToGrid w:val="0"/>
              <w:jc w:val="right"/>
              <w:rPr>
                <w:rFonts w:ascii="宋体" w:hAnsi="宋体" w:cs="宋体"/>
                <w:szCs w:val="21"/>
              </w:rPr>
            </w:pPr>
          </w:p>
        </w:tc>
        <w:tc>
          <w:tcPr>
            <w:tcW w:w="0" w:type="auto"/>
            <w:vAlign w:val="center"/>
          </w:tcPr>
          <w:p w14:paraId="3537C613">
            <w:pPr>
              <w:widowControl/>
              <w:snapToGrid w:val="0"/>
              <w:jc w:val="right"/>
              <w:rPr>
                <w:rFonts w:ascii="宋体" w:hAnsi="宋体" w:cs="宋体"/>
                <w:szCs w:val="21"/>
              </w:rPr>
            </w:pPr>
          </w:p>
        </w:tc>
        <w:tc>
          <w:tcPr>
            <w:tcW w:w="0" w:type="auto"/>
            <w:vAlign w:val="center"/>
          </w:tcPr>
          <w:p w14:paraId="3537C614">
            <w:pPr>
              <w:widowControl/>
              <w:snapToGrid w:val="0"/>
              <w:jc w:val="center"/>
              <w:rPr>
                <w:rFonts w:ascii="宋体" w:hAnsi="宋体" w:cs="宋体"/>
                <w:szCs w:val="21"/>
              </w:rPr>
            </w:pPr>
          </w:p>
        </w:tc>
        <w:tc>
          <w:tcPr>
            <w:tcW w:w="0" w:type="auto"/>
            <w:vAlign w:val="center"/>
          </w:tcPr>
          <w:p w14:paraId="3537C615">
            <w:pPr>
              <w:widowControl/>
              <w:snapToGrid w:val="0"/>
              <w:jc w:val="right"/>
              <w:rPr>
                <w:rFonts w:ascii="宋体" w:hAnsi="宋体" w:cs="宋体"/>
                <w:szCs w:val="21"/>
              </w:rPr>
            </w:pPr>
          </w:p>
        </w:tc>
        <w:tc>
          <w:tcPr>
            <w:tcW w:w="0" w:type="auto"/>
            <w:vAlign w:val="center"/>
          </w:tcPr>
          <w:p w14:paraId="3537C616">
            <w:pPr>
              <w:widowControl/>
              <w:snapToGrid w:val="0"/>
              <w:jc w:val="center"/>
              <w:rPr>
                <w:rFonts w:ascii="宋体" w:hAnsi="宋体" w:cs="宋体"/>
                <w:szCs w:val="21"/>
              </w:rPr>
            </w:pPr>
          </w:p>
        </w:tc>
        <w:tc>
          <w:tcPr>
            <w:tcW w:w="338" w:type="dxa"/>
            <w:vAlign w:val="center"/>
          </w:tcPr>
          <w:p w14:paraId="3537C617">
            <w:pPr>
              <w:widowControl/>
              <w:snapToGrid w:val="0"/>
              <w:jc w:val="center"/>
              <w:rPr>
                <w:rFonts w:ascii="宋体" w:hAnsi="宋体" w:cs="宋体"/>
                <w:szCs w:val="21"/>
              </w:rPr>
            </w:pPr>
          </w:p>
        </w:tc>
      </w:tr>
      <w:tr w14:paraId="3537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dxa"/>
            <w:vAlign w:val="center"/>
          </w:tcPr>
          <w:p w14:paraId="3537C619">
            <w:pPr>
              <w:widowControl/>
              <w:snapToGrid w:val="0"/>
              <w:jc w:val="center"/>
              <w:rPr>
                <w:rFonts w:ascii="宋体" w:hAnsi="宋体" w:cs="宋体"/>
                <w:szCs w:val="21"/>
              </w:rPr>
            </w:pPr>
            <w:r>
              <w:rPr>
                <w:rFonts w:hint="eastAsia" w:ascii="宋体" w:hAnsi="宋体" w:cs="宋体"/>
                <w:szCs w:val="21"/>
              </w:rPr>
              <w:t>3</w:t>
            </w:r>
          </w:p>
        </w:tc>
        <w:tc>
          <w:tcPr>
            <w:tcW w:w="338" w:type="dxa"/>
            <w:vAlign w:val="center"/>
          </w:tcPr>
          <w:p w14:paraId="3537C61A">
            <w:pPr>
              <w:widowControl/>
              <w:snapToGrid w:val="0"/>
              <w:jc w:val="center"/>
              <w:rPr>
                <w:rFonts w:ascii="宋体" w:hAnsi="宋体" w:cs="宋体"/>
                <w:szCs w:val="21"/>
              </w:rPr>
            </w:pPr>
          </w:p>
        </w:tc>
        <w:tc>
          <w:tcPr>
            <w:tcW w:w="338" w:type="dxa"/>
            <w:vAlign w:val="center"/>
          </w:tcPr>
          <w:p w14:paraId="3537C61B">
            <w:pPr>
              <w:widowControl/>
              <w:snapToGrid w:val="0"/>
              <w:jc w:val="center"/>
              <w:rPr>
                <w:rFonts w:ascii="宋体" w:hAnsi="宋体" w:cs="宋体"/>
                <w:szCs w:val="21"/>
              </w:rPr>
            </w:pPr>
          </w:p>
        </w:tc>
        <w:tc>
          <w:tcPr>
            <w:tcW w:w="522" w:type="dxa"/>
            <w:vAlign w:val="center"/>
          </w:tcPr>
          <w:p w14:paraId="3537C61C">
            <w:pPr>
              <w:widowControl/>
              <w:snapToGrid w:val="0"/>
              <w:jc w:val="center"/>
              <w:rPr>
                <w:rFonts w:ascii="宋体" w:hAnsi="宋体" w:cs="宋体"/>
                <w:szCs w:val="21"/>
              </w:rPr>
            </w:pPr>
          </w:p>
        </w:tc>
        <w:tc>
          <w:tcPr>
            <w:tcW w:w="338" w:type="dxa"/>
            <w:vAlign w:val="center"/>
          </w:tcPr>
          <w:p w14:paraId="3537C61D">
            <w:pPr>
              <w:widowControl/>
              <w:snapToGrid w:val="0"/>
              <w:jc w:val="center"/>
              <w:rPr>
                <w:rFonts w:ascii="宋体" w:hAnsi="宋体" w:cs="宋体"/>
                <w:szCs w:val="21"/>
              </w:rPr>
            </w:pPr>
          </w:p>
        </w:tc>
        <w:tc>
          <w:tcPr>
            <w:tcW w:w="460" w:type="dxa"/>
            <w:vAlign w:val="center"/>
          </w:tcPr>
          <w:p w14:paraId="3537C61E">
            <w:pPr>
              <w:widowControl/>
              <w:snapToGrid w:val="0"/>
              <w:jc w:val="center"/>
              <w:rPr>
                <w:rFonts w:ascii="宋体" w:hAnsi="宋体" w:cs="宋体"/>
                <w:szCs w:val="21"/>
              </w:rPr>
            </w:pPr>
          </w:p>
        </w:tc>
        <w:tc>
          <w:tcPr>
            <w:tcW w:w="338" w:type="dxa"/>
            <w:vAlign w:val="center"/>
          </w:tcPr>
          <w:p w14:paraId="3537C61F">
            <w:pPr>
              <w:widowControl/>
              <w:snapToGrid w:val="0"/>
              <w:jc w:val="center"/>
              <w:rPr>
                <w:rFonts w:ascii="宋体" w:hAnsi="宋体" w:cs="宋体"/>
                <w:szCs w:val="21"/>
              </w:rPr>
            </w:pPr>
          </w:p>
        </w:tc>
        <w:tc>
          <w:tcPr>
            <w:tcW w:w="338" w:type="dxa"/>
            <w:vAlign w:val="center"/>
          </w:tcPr>
          <w:p w14:paraId="3537C620">
            <w:pPr>
              <w:widowControl/>
              <w:snapToGrid w:val="0"/>
              <w:jc w:val="center"/>
              <w:rPr>
                <w:rFonts w:ascii="宋体" w:hAnsi="宋体" w:cs="宋体"/>
                <w:szCs w:val="21"/>
              </w:rPr>
            </w:pPr>
          </w:p>
        </w:tc>
        <w:tc>
          <w:tcPr>
            <w:tcW w:w="522" w:type="dxa"/>
            <w:vAlign w:val="center"/>
          </w:tcPr>
          <w:p w14:paraId="3537C621">
            <w:pPr>
              <w:widowControl/>
              <w:snapToGrid w:val="0"/>
              <w:jc w:val="center"/>
              <w:rPr>
                <w:rFonts w:ascii="宋体" w:hAnsi="宋体" w:cs="宋体"/>
                <w:szCs w:val="21"/>
              </w:rPr>
            </w:pPr>
          </w:p>
        </w:tc>
        <w:tc>
          <w:tcPr>
            <w:tcW w:w="461" w:type="dxa"/>
            <w:vAlign w:val="center"/>
          </w:tcPr>
          <w:p w14:paraId="3537C622">
            <w:pPr>
              <w:widowControl/>
              <w:snapToGrid w:val="0"/>
              <w:jc w:val="center"/>
              <w:rPr>
                <w:rFonts w:ascii="宋体" w:hAnsi="宋体" w:cs="宋体"/>
                <w:szCs w:val="21"/>
              </w:rPr>
            </w:pPr>
          </w:p>
        </w:tc>
        <w:tc>
          <w:tcPr>
            <w:tcW w:w="766" w:type="dxa"/>
            <w:vAlign w:val="center"/>
          </w:tcPr>
          <w:p w14:paraId="3537C623">
            <w:pPr>
              <w:widowControl/>
              <w:snapToGrid w:val="0"/>
              <w:jc w:val="right"/>
              <w:rPr>
                <w:rFonts w:ascii="宋体" w:hAnsi="宋体" w:cs="宋体"/>
                <w:szCs w:val="21"/>
              </w:rPr>
            </w:pPr>
          </w:p>
        </w:tc>
        <w:tc>
          <w:tcPr>
            <w:tcW w:w="461" w:type="dxa"/>
            <w:vAlign w:val="center"/>
          </w:tcPr>
          <w:p w14:paraId="3537C624">
            <w:pPr>
              <w:widowControl/>
              <w:snapToGrid w:val="0"/>
              <w:jc w:val="right"/>
              <w:rPr>
                <w:rFonts w:ascii="宋体" w:hAnsi="宋体" w:cs="宋体"/>
                <w:szCs w:val="21"/>
              </w:rPr>
            </w:pPr>
          </w:p>
        </w:tc>
        <w:tc>
          <w:tcPr>
            <w:tcW w:w="338" w:type="dxa"/>
            <w:vAlign w:val="center"/>
          </w:tcPr>
          <w:p w14:paraId="3537C625">
            <w:pPr>
              <w:widowControl/>
              <w:snapToGrid w:val="0"/>
              <w:jc w:val="center"/>
              <w:rPr>
                <w:rFonts w:ascii="宋体" w:hAnsi="宋体" w:cs="宋体"/>
                <w:szCs w:val="21"/>
              </w:rPr>
            </w:pPr>
          </w:p>
        </w:tc>
        <w:tc>
          <w:tcPr>
            <w:tcW w:w="338" w:type="dxa"/>
            <w:vAlign w:val="center"/>
          </w:tcPr>
          <w:p w14:paraId="3537C626">
            <w:pPr>
              <w:widowControl/>
              <w:snapToGrid w:val="0"/>
              <w:jc w:val="center"/>
              <w:rPr>
                <w:rFonts w:ascii="宋体" w:hAnsi="宋体" w:cs="宋体"/>
                <w:szCs w:val="21"/>
              </w:rPr>
            </w:pPr>
          </w:p>
        </w:tc>
        <w:tc>
          <w:tcPr>
            <w:tcW w:w="461" w:type="dxa"/>
            <w:vAlign w:val="center"/>
          </w:tcPr>
          <w:p w14:paraId="3537C627">
            <w:pPr>
              <w:widowControl/>
              <w:snapToGrid w:val="0"/>
              <w:jc w:val="right"/>
              <w:rPr>
                <w:rFonts w:ascii="宋体" w:hAnsi="宋体" w:cs="宋体"/>
                <w:szCs w:val="21"/>
              </w:rPr>
            </w:pPr>
          </w:p>
        </w:tc>
        <w:tc>
          <w:tcPr>
            <w:tcW w:w="461" w:type="dxa"/>
            <w:vAlign w:val="center"/>
          </w:tcPr>
          <w:p w14:paraId="3537C628">
            <w:pPr>
              <w:widowControl/>
              <w:snapToGrid w:val="0"/>
              <w:jc w:val="right"/>
              <w:rPr>
                <w:rFonts w:ascii="宋体" w:hAnsi="宋体" w:cs="宋体"/>
                <w:szCs w:val="21"/>
              </w:rPr>
            </w:pPr>
          </w:p>
        </w:tc>
        <w:tc>
          <w:tcPr>
            <w:tcW w:w="338" w:type="dxa"/>
            <w:vAlign w:val="center"/>
          </w:tcPr>
          <w:p w14:paraId="3537C629">
            <w:pPr>
              <w:widowControl/>
              <w:snapToGrid w:val="0"/>
              <w:jc w:val="center"/>
              <w:rPr>
                <w:rFonts w:ascii="宋体" w:hAnsi="宋体" w:cs="宋体"/>
                <w:szCs w:val="21"/>
              </w:rPr>
            </w:pPr>
          </w:p>
        </w:tc>
        <w:tc>
          <w:tcPr>
            <w:tcW w:w="461" w:type="dxa"/>
            <w:vAlign w:val="center"/>
          </w:tcPr>
          <w:p w14:paraId="3537C62A">
            <w:pPr>
              <w:widowControl/>
              <w:snapToGrid w:val="0"/>
              <w:jc w:val="right"/>
              <w:rPr>
                <w:rFonts w:ascii="宋体" w:hAnsi="宋体" w:cs="宋体"/>
                <w:szCs w:val="21"/>
              </w:rPr>
            </w:pPr>
          </w:p>
        </w:tc>
        <w:tc>
          <w:tcPr>
            <w:tcW w:w="400" w:type="dxa"/>
            <w:vAlign w:val="center"/>
          </w:tcPr>
          <w:p w14:paraId="3537C62B">
            <w:pPr>
              <w:widowControl/>
              <w:snapToGrid w:val="0"/>
              <w:jc w:val="right"/>
              <w:rPr>
                <w:rFonts w:ascii="宋体" w:hAnsi="宋体" w:cs="宋体"/>
                <w:szCs w:val="21"/>
              </w:rPr>
            </w:pPr>
          </w:p>
        </w:tc>
        <w:tc>
          <w:tcPr>
            <w:tcW w:w="338" w:type="dxa"/>
            <w:vAlign w:val="center"/>
          </w:tcPr>
          <w:p w14:paraId="3537C62C">
            <w:pPr>
              <w:widowControl/>
              <w:snapToGrid w:val="0"/>
              <w:jc w:val="center"/>
              <w:rPr>
                <w:rFonts w:ascii="宋体" w:hAnsi="宋体" w:cs="宋体"/>
                <w:szCs w:val="21"/>
              </w:rPr>
            </w:pPr>
          </w:p>
        </w:tc>
        <w:tc>
          <w:tcPr>
            <w:tcW w:w="644" w:type="dxa"/>
            <w:vAlign w:val="center"/>
          </w:tcPr>
          <w:p w14:paraId="3537C62D">
            <w:pPr>
              <w:widowControl/>
              <w:snapToGrid w:val="0"/>
              <w:jc w:val="right"/>
              <w:rPr>
                <w:rFonts w:ascii="宋体" w:hAnsi="宋体" w:cs="宋体"/>
                <w:szCs w:val="21"/>
              </w:rPr>
            </w:pPr>
          </w:p>
        </w:tc>
        <w:tc>
          <w:tcPr>
            <w:tcW w:w="399" w:type="dxa"/>
            <w:vAlign w:val="center"/>
          </w:tcPr>
          <w:p w14:paraId="3537C62E">
            <w:pPr>
              <w:widowControl/>
              <w:snapToGrid w:val="0"/>
              <w:jc w:val="center"/>
              <w:rPr>
                <w:rFonts w:ascii="宋体" w:hAnsi="宋体" w:cs="宋体"/>
                <w:szCs w:val="21"/>
              </w:rPr>
            </w:pPr>
          </w:p>
        </w:tc>
        <w:tc>
          <w:tcPr>
            <w:tcW w:w="338" w:type="dxa"/>
            <w:vAlign w:val="center"/>
          </w:tcPr>
          <w:p w14:paraId="3537C62F">
            <w:pPr>
              <w:widowControl/>
              <w:snapToGrid w:val="0"/>
              <w:jc w:val="center"/>
              <w:rPr>
                <w:rFonts w:ascii="宋体" w:hAnsi="宋体" w:cs="宋体"/>
                <w:szCs w:val="21"/>
              </w:rPr>
            </w:pPr>
          </w:p>
        </w:tc>
      </w:tr>
    </w:tbl>
    <w:p w14:paraId="3537C631">
      <w:pPr>
        <w:widowControl/>
        <w:spacing w:line="400" w:lineRule="exact"/>
        <w:rPr>
          <w:rFonts w:ascii="宋体" w:hAnsi="宋体" w:cs="宋体"/>
          <w:szCs w:val="21"/>
        </w:rPr>
      </w:pPr>
      <w:r>
        <w:rPr>
          <w:rFonts w:hint="eastAsia" w:ascii="宋体" w:hAnsi="宋体" w:cs="宋体"/>
          <w:szCs w:val="21"/>
        </w:rPr>
        <w:t>填写说明：</w:t>
      </w:r>
    </w:p>
    <w:p w14:paraId="3537C632">
      <w:pPr>
        <w:widowControl/>
        <w:spacing w:line="400" w:lineRule="exact"/>
        <w:ind w:left="283"/>
        <w:rPr>
          <w:rFonts w:ascii="宋体" w:hAnsi="宋体" w:cs="宋体"/>
          <w:szCs w:val="21"/>
        </w:rPr>
      </w:pPr>
      <w:r>
        <w:rPr>
          <w:rFonts w:hint="eastAsia" w:ascii="宋体" w:hAnsi="宋体" w:cs="宋体"/>
          <w:szCs w:val="21"/>
        </w:rPr>
        <w:t>a）“功能单位/声明单位”可填写1 kg原料、1 L原料或1件包装组件等，并应与供应商所提供数据的归一化口径一致。</w:t>
      </w:r>
    </w:p>
    <w:p w14:paraId="3537C633">
      <w:pPr>
        <w:widowControl/>
        <w:spacing w:line="400" w:lineRule="exact"/>
        <w:ind w:left="283"/>
        <w:rPr>
          <w:rFonts w:ascii="宋体" w:hAnsi="宋体" w:cs="宋体"/>
          <w:szCs w:val="21"/>
        </w:rPr>
      </w:pPr>
      <w:r>
        <w:rPr>
          <w:rFonts w:hint="eastAsia" w:ascii="宋体" w:hAnsi="宋体" w:cs="宋体"/>
          <w:szCs w:val="21"/>
        </w:rPr>
        <w:t>b）“系统边界”默认可填写“摇篮到大门（Cradle-to-Gate）”；如包含运输、包装或其他扩展阶段，应在备注中说明。</w:t>
      </w:r>
    </w:p>
    <w:p w14:paraId="3537C634">
      <w:pPr>
        <w:widowControl/>
        <w:spacing w:line="400" w:lineRule="exact"/>
        <w:ind w:left="283"/>
        <w:rPr>
          <w:rFonts w:ascii="宋体" w:hAnsi="宋体" w:cs="宋体"/>
          <w:szCs w:val="21"/>
        </w:rPr>
      </w:pPr>
      <w:r>
        <w:rPr>
          <w:rFonts w:hint="eastAsia" w:ascii="宋体" w:hAnsi="宋体" w:cs="宋体"/>
          <w:szCs w:val="21"/>
        </w:rPr>
        <w:t>c）“认证情况”可填写有机认证、RSPO、ISCC、GRS、ISO 14001等与原料来源、再生属性或管理体系相关的信息。</w:t>
      </w:r>
    </w:p>
    <w:p w14:paraId="3537C635">
      <w:pPr>
        <w:widowControl/>
        <w:spacing w:line="400" w:lineRule="exact"/>
        <w:ind w:left="283"/>
        <w:rPr>
          <w:rFonts w:ascii="宋体" w:hAnsi="宋体" w:cs="宋体"/>
          <w:szCs w:val="21"/>
        </w:rPr>
      </w:pPr>
      <w:r>
        <w:rPr>
          <w:rFonts w:hint="eastAsia" w:ascii="宋体" w:hAnsi="宋体" w:cs="宋体"/>
          <w:szCs w:val="21"/>
        </w:rPr>
        <w:t>d）“数据来源”宜区分初级数据、次级数据或混合数据；如采用估算值或代理数据，宜在备注中说明依据。</w:t>
      </w:r>
    </w:p>
    <w:p w14:paraId="3537C636">
      <w:pPr>
        <w:widowControl/>
        <w:spacing w:line="400" w:lineRule="exact"/>
        <w:ind w:firstLine="422" w:firstLineChars="200"/>
        <w:rPr>
          <w:rFonts w:ascii="宋体" w:hAnsi="宋体" w:cs="宋体"/>
          <w:szCs w:val="21"/>
        </w:rPr>
      </w:pPr>
      <w:r>
        <w:rPr>
          <w:rFonts w:hint="eastAsia" w:ascii="宋体" w:hAnsi="宋体" w:cs="宋体"/>
          <w:b/>
          <w:szCs w:val="21"/>
        </w:rPr>
        <w:t>B.2 企业生产过程数据采集表</w:t>
      </w:r>
    </w:p>
    <w:p w14:paraId="3537C637">
      <w:pPr>
        <w:widowControl/>
        <w:spacing w:line="400" w:lineRule="exact"/>
        <w:ind w:firstLine="420" w:firstLineChars="200"/>
        <w:rPr>
          <w:rFonts w:ascii="宋体" w:hAnsi="宋体" w:cs="宋体"/>
          <w:szCs w:val="21"/>
        </w:rPr>
      </w:pPr>
      <w:r>
        <w:rPr>
          <w:rFonts w:hint="eastAsia" w:ascii="宋体" w:hAnsi="宋体" w:cs="宋体"/>
          <w:szCs w:val="21"/>
        </w:rPr>
        <w:t>表B.2适用于企业在工厂、车间或单元过程层级收集生产活动数据，可用于支撑原材料处理、混配、反应、提取、灌装、包装等过程的核算。</w:t>
      </w:r>
    </w:p>
    <w:tbl>
      <w:tblPr>
        <w:tblStyle w:val="39"/>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
        <w:gridCol w:w="420"/>
        <w:gridCol w:w="420"/>
        <w:gridCol w:w="420"/>
        <w:gridCol w:w="421"/>
        <w:gridCol w:w="421"/>
        <w:gridCol w:w="523"/>
        <w:gridCol w:w="523"/>
        <w:gridCol w:w="523"/>
        <w:gridCol w:w="730"/>
        <w:gridCol w:w="524"/>
        <w:gridCol w:w="523"/>
        <w:gridCol w:w="1138"/>
        <w:gridCol w:w="523"/>
        <w:gridCol w:w="523"/>
        <w:gridCol w:w="421"/>
        <w:gridCol w:w="421"/>
        <w:gridCol w:w="421"/>
        <w:gridCol w:w="421"/>
      </w:tblGrid>
      <w:tr w14:paraId="3537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14:paraId="3537C638">
            <w:pPr>
              <w:widowControl/>
              <w:snapToGrid w:val="0"/>
              <w:jc w:val="center"/>
              <w:rPr>
                <w:rFonts w:ascii="宋体" w:hAnsi="宋体" w:cs="宋体"/>
                <w:b/>
                <w:szCs w:val="21"/>
              </w:rPr>
            </w:pPr>
            <w:r>
              <w:rPr>
                <w:rFonts w:hint="eastAsia" w:ascii="宋体" w:hAnsi="宋体" w:cs="宋体"/>
                <w:b/>
                <w:szCs w:val="21"/>
              </w:rPr>
              <w:t>序号</w:t>
            </w:r>
          </w:p>
        </w:tc>
        <w:tc>
          <w:tcPr>
            <w:tcW w:w="0" w:type="auto"/>
            <w:vAlign w:val="center"/>
          </w:tcPr>
          <w:p w14:paraId="3537C639">
            <w:pPr>
              <w:widowControl/>
              <w:snapToGrid w:val="0"/>
              <w:jc w:val="center"/>
              <w:rPr>
                <w:rFonts w:ascii="宋体" w:hAnsi="宋体" w:cs="宋体"/>
                <w:b/>
                <w:szCs w:val="21"/>
              </w:rPr>
            </w:pPr>
            <w:r>
              <w:rPr>
                <w:rFonts w:hint="eastAsia" w:ascii="宋体" w:hAnsi="宋体" w:cs="宋体"/>
                <w:b/>
                <w:szCs w:val="21"/>
              </w:rPr>
              <w:t>工厂/车间/过程名称</w:t>
            </w:r>
          </w:p>
        </w:tc>
        <w:tc>
          <w:tcPr>
            <w:tcW w:w="0" w:type="auto"/>
            <w:vAlign w:val="center"/>
          </w:tcPr>
          <w:p w14:paraId="3537C63A">
            <w:pPr>
              <w:widowControl/>
              <w:snapToGrid w:val="0"/>
              <w:jc w:val="center"/>
              <w:rPr>
                <w:rFonts w:ascii="宋体" w:hAnsi="宋体" w:cs="宋体"/>
                <w:b/>
                <w:szCs w:val="21"/>
              </w:rPr>
            </w:pPr>
            <w:r>
              <w:rPr>
                <w:rFonts w:hint="eastAsia" w:ascii="宋体" w:hAnsi="宋体" w:cs="宋体"/>
                <w:b/>
                <w:szCs w:val="21"/>
              </w:rPr>
              <w:t>产品名称</w:t>
            </w:r>
          </w:p>
        </w:tc>
        <w:tc>
          <w:tcPr>
            <w:tcW w:w="0" w:type="auto"/>
            <w:vAlign w:val="center"/>
          </w:tcPr>
          <w:p w14:paraId="3537C63B">
            <w:pPr>
              <w:widowControl/>
              <w:snapToGrid w:val="0"/>
              <w:jc w:val="center"/>
              <w:rPr>
                <w:rFonts w:ascii="宋体" w:hAnsi="宋体" w:cs="宋体"/>
                <w:b/>
                <w:szCs w:val="21"/>
              </w:rPr>
            </w:pPr>
            <w:r>
              <w:rPr>
                <w:rFonts w:hint="eastAsia" w:ascii="宋体" w:hAnsi="宋体" w:cs="宋体"/>
                <w:b/>
                <w:szCs w:val="21"/>
              </w:rPr>
              <w:t>功能单位/声明单位</w:t>
            </w:r>
          </w:p>
        </w:tc>
        <w:tc>
          <w:tcPr>
            <w:tcW w:w="0" w:type="auto"/>
            <w:vAlign w:val="center"/>
          </w:tcPr>
          <w:p w14:paraId="3537C63C">
            <w:pPr>
              <w:widowControl/>
              <w:snapToGrid w:val="0"/>
              <w:jc w:val="center"/>
              <w:rPr>
                <w:rFonts w:ascii="宋体" w:hAnsi="宋体" w:cs="宋体"/>
                <w:b/>
                <w:szCs w:val="21"/>
              </w:rPr>
            </w:pPr>
            <w:r>
              <w:rPr>
                <w:rFonts w:hint="eastAsia" w:ascii="宋体" w:hAnsi="宋体" w:cs="宋体"/>
                <w:b/>
                <w:szCs w:val="21"/>
              </w:rPr>
              <w:t>核算期/时间范围</w:t>
            </w:r>
          </w:p>
        </w:tc>
        <w:tc>
          <w:tcPr>
            <w:tcW w:w="0" w:type="auto"/>
            <w:vAlign w:val="center"/>
          </w:tcPr>
          <w:p w14:paraId="3537C63D">
            <w:pPr>
              <w:widowControl/>
              <w:snapToGrid w:val="0"/>
              <w:jc w:val="center"/>
              <w:rPr>
                <w:rFonts w:ascii="宋体" w:hAnsi="宋体" w:cs="宋体"/>
                <w:b/>
                <w:szCs w:val="21"/>
              </w:rPr>
            </w:pPr>
            <w:r>
              <w:rPr>
                <w:rFonts w:hint="eastAsia" w:ascii="宋体" w:hAnsi="宋体" w:cs="宋体"/>
                <w:b/>
                <w:szCs w:val="21"/>
              </w:rPr>
              <w:t>生产工艺说明</w:t>
            </w:r>
          </w:p>
        </w:tc>
        <w:tc>
          <w:tcPr>
            <w:tcW w:w="0" w:type="auto"/>
            <w:vAlign w:val="center"/>
          </w:tcPr>
          <w:p w14:paraId="3537C63E">
            <w:pPr>
              <w:widowControl/>
              <w:snapToGrid w:val="0"/>
              <w:jc w:val="center"/>
              <w:rPr>
                <w:rFonts w:ascii="宋体" w:hAnsi="宋体" w:cs="宋体"/>
                <w:b/>
                <w:szCs w:val="21"/>
              </w:rPr>
            </w:pPr>
            <w:r>
              <w:rPr>
                <w:rFonts w:hint="eastAsia" w:ascii="宋体" w:hAnsi="宋体" w:cs="宋体"/>
                <w:b/>
                <w:szCs w:val="21"/>
              </w:rPr>
              <w:t>产量(功能单位数量)</w:t>
            </w:r>
          </w:p>
        </w:tc>
        <w:tc>
          <w:tcPr>
            <w:tcW w:w="0" w:type="auto"/>
            <w:vAlign w:val="center"/>
          </w:tcPr>
          <w:p w14:paraId="3537C63F">
            <w:pPr>
              <w:widowControl/>
              <w:snapToGrid w:val="0"/>
              <w:jc w:val="center"/>
              <w:rPr>
                <w:rFonts w:ascii="宋体" w:hAnsi="宋体" w:cs="宋体"/>
                <w:b/>
                <w:szCs w:val="21"/>
              </w:rPr>
            </w:pPr>
            <w:r>
              <w:rPr>
                <w:rFonts w:hint="eastAsia" w:ascii="宋体" w:hAnsi="宋体" w:cs="宋体"/>
                <w:b/>
                <w:szCs w:val="21"/>
              </w:rPr>
              <w:t>原材料消耗</w:t>
            </w:r>
          </w:p>
          <w:p w14:paraId="3537C640">
            <w:pPr>
              <w:widowControl/>
              <w:snapToGrid w:val="0"/>
              <w:jc w:val="center"/>
              <w:rPr>
                <w:rFonts w:ascii="宋体" w:hAnsi="宋体" w:cs="宋体"/>
                <w:b/>
                <w:szCs w:val="21"/>
              </w:rPr>
            </w:pPr>
            <w:r>
              <w:rPr>
                <w:rFonts w:hint="eastAsia" w:ascii="宋体" w:hAnsi="宋体" w:cs="宋体"/>
                <w:b/>
                <w:szCs w:val="21"/>
              </w:rPr>
              <w:t>(名称/数量/单位)</w:t>
            </w:r>
          </w:p>
        </w:tc>
        <w:tc>
          <w:tcPr>
            <w:tcW w:w="0" w:type="auto"/>
            <w:vAlign w:val="center"/>
          </w:tcPr>
          <w:p w14:paraId="3537C641">
            <w:pPr>
              <w:widowControl/>
              <w:snapToGrid w:val="0"/>
              <w:jc w:val="center"/>
              <w:rPr>
                <w:rFonts w:ascii="宋体" w:hAnsi="宋体" w:cs="宋体"/>
                <w:b/>
                <w:szCs w:val="21"/>
              </w:rPr>
            </w:pPr>
            <w:r>
              <w:rPr>
                <w:rFonts w:hint="eastAsia" w:ascii="宋体" w:hAnsi="宋体" w:cs="宋体"/>
                <w:b/>
                <w:szCs w:val="21"/>
              </w:rPr>
              <w:t>包装材料消耗</w:t>
            </w:r>
          </w:p>
          <w:p w14:paraId="3537C642">
            <w:pPr>
              <w:widowControl/>
              <w:snapToGrid w:val="0"/>
              <w:jc w:val="center"/>
              <w:rPr>
                <w:rFonts w:ascii="宋体" w:hAnsi="宋体" w:cs="宋体"/>
                <w:b/>
                <w:szCs w:val="21"/>
              </w:rPr>
            </w:pPr>
            <w:r>
              <w:rPr>
                <w:rFonts w:hint="eastAsia" w:ascii="宋体" w:hAnsi="宋体" w:cs="宋体"/>
                <w:b/>
                <w:szCs w:val="21"/>
              </w:rPr>
              <w:t>(名称/数量/单位)</w:t>
            </w:r>
          </w:p>
        </w:tc>
        <w:tc>
          <w:tcPr>
            <w:tcW w:w="0" w:type="auto"/>
            <w:vAlign w:val="center"/>
          </w:tcPr>
          <w:p w14:paraId="3537C643">
            <w:pPr>
              <w:widowControl/>
              <w:snapToGrid w:val="0"/>
              <w:jc w:val="center"/>
              <w:rPr>
                <w:rFonts w:ascii="宋体" w:hAnsi="宋体" w:cs="宋体"/>
                <w:b/>
                <w:szCs w:val="21"/>
              </w:rPr>
            </w:pPr>
            <w:r>
              <w:rPr>
                <w:rFonts w:hint="eastAsia" w:ascii="宋体" w:hAnsi="宋体" w:cs="宋体"/>
                <w:b/>
                <w:szCs w:val="21"/>
              </w:rPr>
              <w:t>电力消耗</w:t>
            </w:r>
          </w:p>
          <w:p w14:paraId="3537C644">
            <w:pPr>
              <w:widowControl/>
              <w:snapToGrid w:val="0"/>
              <w:jc w:val="center"/>
              <w:rPr>
                <w:rFonts w:ascii="宋体" w:hAnsi="宋体" w:cs="宋体"/>
                <w:b/>
                <w:szCs w:val="21"/>
              </w:rPr>
            </w:pPr>
            <w:r>
              <w:rPr>
                <w:rFonts w:hint="eastAsia" w:ascii="宋体" w:hAnsi="宋体" w:cs="宋体"/>
                <w:b/>
                <w:szCs w:val="21"/>
              </w:rPr>
              <w:t>(kWh)</w:t>
            </w:r>
          </w:p>
        </w:tc>
        <w:tc>
          <w:tcPr>
            <w:tcW w:w="0" w:type="auto"/>
            <w:vAlign w:val="center"/>
          </w:tcPr>
          <w:p w14:paraId="3537C645">
            <w:pPr>
              <w:widowControl/>
              <w:snapToGrid w:val="0"/>
              <w:jc w:val="center"/>
              <w:rPr>
                <w:rFonts w:ascii="宋体" w:hAnsi="宋体" w:cs="宋体"/>
                <w:b/>
                <w:szCs w:val="21"/>
              </w:rPr>
            </w:pPr>
            <w:r>
              <w:rPr>
                <w:rFonts w:hint="eastAsia" w:ascii="宋体" w:hAnsi="宋体" w:cs="宋体"/>
                <w:b/>
                <w:szCs w:val="21"/>
              </w:rPr>
              <w:t>蒸汽/热力消耗</w:t>
            </w:r>
          </w:p>
          <w:p w14:paraId="3537C646">
            <w:pPr>
              <w:widowControl/>
              <w:snapToGrid w:val="0"/>
              <w:jc w:val="center"/>
              <w:rPr>
                <w:rFonts w:ascii="宋体" w:hAnsi="宋体" w:cs="宋体"/>
                <w:b/>
                <w:szCs w:val="21"/>
              </w:rPr>
            </w:pPr>
            <w:r>
              <w:rPr>
                <w:rFonts w:hint="eastAsia" w:ascii="宋体" w:hAnsi="宋体" w:cs="宋体"/>
                <w:b/>
                <w:szCs w:val="21"/>
              </w:rPr>
              <w:t>(MJ或t)</w:t>
            </w:r>
          </w:p>
        </w:tc>
        <w:tc>
          <w:tcPr>
            <w:tcW w:w="0" w:type="auto"/>
            <w:vAlign w:val="center"/>
          </w:tcPr>
          <w:p w14:paraId="3537C647">
            <w:pPr>
              <w:widowControl/>
              <w:snapToGrid w:val="0"/>
              <w:jc w:val="center"/>
              <w:rPr>
                <w:rFonts w:ascii="宋体" w:hAnsi="宋体" w:cs="宋体"/>
                <w:b/>
                <w:szCs w:val="21"/>
              </w:rPr>
            </w:pPr>
            <w:r>
              <w:rPr>
                <w:rFonts w:hint="eastAsia" w:ascii="宋体" w:hAnsi="宋体" w:cs="宋体"/>
                <w:b/>
                <w:szCs w:val="21"/>
              </w:rPr>
              <w:t>燃料消耗</w:t>
            </w:r>
          </w:p>
          <w:p w14:paraId="3537C648">
            <w:pPr>
              <w:widowControl/>
              <w:snapToGrid w:val="0"/>
              <w:jc w:val="center"/>
              <w:rPr>
                <w:rFonts w:ascii="宋体" w:hAnsi="宋体" w:cs="宋体"/>
                <w:b/>
                <w:szCs w:val="21"/>
              </w:rPr>
            </w:pPr>
            <w:r>
              <w:rPr>
                <w:rFonts w:hint="eastAsia" w:ascii="宋体" w:hAnsi="宋体" w:cs="宋体"/>
                <w:b/>
                <w:szCs w:val="21"/>
              </w:rPr>
              <w:t>(名称/数量/单位)</w:t>
            </w:r>
          </w:p>
        </w:tc>
        <w:tc>
          <w:tcPr>
            <w:tcW w:w="0" w:type="auto"/>
            <w:vAlign w:val="center"/>
          </w:tcPr>
          <w:p w14:paraId="3537C649">
            <w:pPr>
              <w:widowControl/>
              <w:snapToGrid w:val="0"/>
              <w:jc w:val="center"/>
              <w:rPr>
                <w:rFonts w:ascii="宋体" w:hAnsi="宋体" w:cs="宋体"/>
                <w:b/>
                <w:szCs w:val="21"/>
              </w:rPr>
            </w:pPr>
            <w:r>
              <w:rPr>
                <w:rFonts w:hint="eastAsia" w:ascii="宋体" w:hAnsi="宋体" w:cs="宋体"/>
                <w:b/>
                <w:szCs w:val="21"/>
              </w:rPr>
              <w:t>工艺直接排放</w:t>
            </w:r>
          </w:p>
          <w:p w14:paraId="3537C64A">
            <w:pPr>
              <w:widowControl/>
              <w:snapToGrid w:val="0"/>
              <w:jc w:val="center"/>
              <w:rPr>
                <w:rFonts w:ascii="宋体" w:hAnsi="宋体" w:cs="宋体"/>
                <w:b/>
                <w:szCs w:val="21"/>
              </w:rPr>
            </w:pPr>
            <w:r>
              <w:rPr>
                <w:rFonts w:hint="eastAsia" w:ascii="宋体" w:hAnsi="宋体" w:cs="宋体"/>
                <w:b/>
                <w:szCs w:val="21"/>
              </w:rPr>
              <w:t>(kgCO₂e)</w:t>
            </w:r>
          </w:p>
        </w:tc>
        <w:tc>
          <w:tcPr>
            <w:tcW w:w="0" w:type="auto"/>
            <w:vAlign w:val="center"/>
          </w:tcPr>
          <w:p w14:paraId="3537C64B">
            <w:pPr>
              <w:widowControl/>
              <w:snapToGrid w:val="0"/>
              <w:jc w:val="center"/>
              <w:rPr>
                <w:rFonts w:ascii="宋体" w:hAnsi="宋体" w:cs="宋体"/>
                <w:b/>
                <w:szCs w:val="21"/>
              </w:rPr>
            </w:pPr>
            <w:r>
              <w:rPr>
                <w:rFonts w:hint="eastAsia" w:ascii="宋体" w:hAnsi="宋体" w:cs="宋体"/>
                <w:b/>
                <w:szCs w:val="21"/>
              </w:rPr>
              <w:t>厂内运输</w:t>
            </w:r>
          </w:p>
          <w:p w14:paraId="3537C64C">
            <w:pPr>
              <w:widowControl/>
              <w:snapToGrid w:val="0"/>
              <w:jc w:val="center"/>
              <w:rPr>
                <w:rFonts w:ascii="宋体" w:hAnsi="宋体" w:cs="宋体"/>
                <w:b/>
                <w:szCs w:val="21"/>
              </w:rPr>
            </w:pPr>
            <w:r>
              <w:rPr>
                <w:rFonts w:hint="eastAsia" w:ascii="宋体" w:hAnsi="宋体" w:cs="宋体"/>
                <w:b/>
                <w:szCs w:val="21"/>
              </w:rPr>
              <w:t>(方式/距离/能耗)</w:t>
            </w:r>
          </w:p>
        </w:tc>
        <w:tc>
          <w:tcPr>
            <w:tcW w:w="0" w:type="auto"/>
            <w:vAlign w:val="center"/>
          </w:tcPr>
          <w:p w14:paraId="3537C64D">
            <w:pPr>
              <w:widowControl/>
              <w:snapToGrid w:val="0"/>
              <w:jc w:val="center"/>
              <w:rPr>
                <w:rFonts w:ascii="宋体" w:hAnsi="宋体" w:cs="宋体"/>
                <w:b/>
                <w:szCs w:val="21"/>
              </w:rPr>
            </w:pPr>
            <w:r>
              <w:rPr>
                <w:rFonts w:hint="eastAsia" w:ascii="宋体" w:hAnsi="宋体" w:cs="宋体"/>
                <w:b/>
                <w:szCs w:val="21"/>
              </w:rPr>
              <w:t>废水/废气/固废</w:t>
            </w:r>
          </w:p>
          <w:p w14:paraId="3537C64E">
            <w:pPr>
              <w:widowControl/>
              <w:snapToGrid w:val="0"/>
              <w:jc w:val="center"/>
              <w:rPr>
                <w:rFonts w:ascii="宋体" w:hAnsi="宋体" w:cs="宋体"/>
                <w:b/>
                <w:szCs w:val="21"/>
              </w:rPr>
            </w:pPr>
            <w:r>
              <w:rPr>
                <w:rFonts w:hint="eastAsia" w:ascii="宋体" w:hAnsi="宋体" w:cs="宋体"/>
                <w:b/>
                <w:szCs w:val="21"/>
              </w:rPr>
              <w:t>(种类/数量)</w:t>
            </w:r>
          </w:p>
        </w:tc>
        <w:tc>
          <w:tcPr>
            <w:tcW w:w="0" w:type="auto"/>
            <w:vAlign w:val="center"/>
          </w:tcPr>
          <w:p w14:paraId="3537C64F">
            <w:pPr>
              <w:widowControl/>
              <w:snapToGrid w:val="0"/>
              <w:jc w:val="center"/>
              <w:rPr>
                <w:rFonts w:ascii="宋体" w:hAnsi="宋体" w:cs="宋体"/>
                <w:b/>
                <w:szCs w:val="21"/>
              </w:rPr>
            </w:pPr>
            <w:r>
              <w:rPr>
                <w:rFonts w:hint="eastAsia" w:ascii="宋体" w:hAnsi="宋体" w:cs="宋体"/>
                <w:b/>
                <w:szCs w:val="21"/>
              </w:rPr>
              <w:t>回收或再利用情况</w:t>
            </w:r>
          </w:p>
        </w:tc>
        <w:tc>
          <w:tcPr>
            <w:tcW w:w="0" w:type="auto"/>
            <w:vAlign w:val="center"/>
          </w:tcPr>
          <w:p w14:paraId="3537C650">
            <w:pPr>
              <w:widowControl/>
              <w:snapToGrid w:val="0"/>
              <w:jc w:val="center"/>
              <w:rPr>
                <w:rFonts w:ascii="宋体" w:hAnsi="宋体" w:cs="宋体"/>
                <w:b/>
                <w:szCs w:val="21"/>
              </w:rPr>
            </w:pPr>
            <w:r>
              <w:rPr>
                <w:rFonts w:hint="eastAsia" w:ascii="宋体" w:hAnsi="宋体" w:cs="宋体"/>
                <w:b/>
                <w:szCs w:val="21"/>
              </w:rPr>
              <w:t>分配方法/分摊依据</w:t>
            </w:r>
          </w:p>
        </w:tc>
        <w:tc>
          <w:tcPr>
            <w:tcW w:w="0" w:type="auto"/>
            <w:vAlign w:val="center"/>
          </w:tcPr>
          <w:p w14:paraId="3537C651">
            <w:pPr>
              <w:widowControl/>
              <w:snapToGrid w:val="0"/>
              <w:jc w:val="center"/>
              <w:rPr>
                <w:rFonts w:ascii="宋体" w:hAnsi="宋体" w:cs="宋体"/>
                <w:b/>
                <w:szCs w:val="21"/>
              </w:rPr>
            </w:pPr>
            <w:r>
              <w:rPr>
                <w:rFonts w:hint="eastAsia" w:ascii="宋体" w:hAnsi="宋体" w:cs="宋体"/>
                <w:b/>
                <w:szCs w:val="21"/>
              </w:rPr>
              <w:t>数据来源</w:t>
            </w:r>
          </w:p>
        </w:tc>
        <w:tc>
          <w:tcPr>
            <w:tcW w:w="421" w:type="dxa"/>
            <w:vAlign w:val="center"/>
          </w:tcPr>
          <w:p w14:paraId="3537C652">
            <w:pPr>
              <w:widowControl/>
              <w:snapToGrid w:val="0"/>
              <w:jc w:val="center"/>
              <w:rPr>
                <w:rFonts w:ascii="宋体" w:hAnsi="宋体" w:cs="宋体"/>
                <w:b/>
                <w:szCs w:val="21"/>
              </w:rPr>
            </w:pPr>
            <w:r>
              <w:rPr>
                <w:rFonts w:hint="eastAsia" w:ascii="宋体" w:hAnsi="宋体" w:cs="宋体"/>
                <w:b/>
                <w:szCs w:val="21"/>
              </w:rPr>
              <w:t>备注</w:t>
            </w:r>
          </w:p>
        </w:tc>
      </w:tr>
      <w:tr w14:paraId="3537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537C654">
            <w:pPr>
              <w:widowControl/>
              <w:snapToGrid w:val="0"/>
              <w:jc w:val="center"/>
              <w:rPr>
                <w:rFonts w:ascii="宋体" w:hAnsi="宋体" w:cs="宋体"/>
                <w:szCs w:val="21"/>
              </w:rPr>
            </w:pPr>
            <w:r>
              <w:rPr>
                <w:rFonts w:hint="eastAsia" w:ascii="宋体" w:hAnsi="宋体" w:cs="宋体"/>
                <w:szCs w:val="21"/>
              </w:rPr>
              <w:t>1</w:t>
            </w:r>
          </w:p>
        </w:tc>
        <w:tc>
          <w:tcPr>
            <w:tcW w:w="0" w:type="auto"/>
            <w:vAlign w:val="center"/>
          </w:tcPr>
          <w:p w14:paraId="3537C655">
            <w:pPr>
              <w:widowControl/>
              <w:snapToGrid w:val="0"/>
              <w:jc w:val="center"/>
              <w:rPr>
                <w:rFonts w:ascii="宋体" w:hAnsi="宋体" w:cs="宋体"/>
                <w:szCs w:val="21"/>
              </w:rPr>
            </w:pPr>
          </w:p>
        </w:tc>
        <w:tc>
          <w:tcPr>
            <w:tcW w:w="0" w:type="auto"/>
            <w:vAlign w:val="center"/>
          </w:tcPr>
          <w:p w14:paraId="3537C656">
            <w:pPr>
              <w:widowControl/>
              <w:snapToGrid w:val="0"/>
              <w:jc w:val="center"/>
              <w:rPr>
                <w:rFonts w:ascii="宋体" w:hAnsi="宋体" w:cs="宋体"/>
                <w:szCs w:val="21"/>
              </w:rPr>
            </w:pPr>
          </w:p>
        </w:tc>
        <w:tc>
          <w:tcPr>
            <w:tcW w:w="0" w:type="auto"/>
            <w:vAlign w:val="center"/>
          </w:tcPr>
          <w:p w14:paraId="3537C657">
            <w:pPr>
              <w:widowControl/>
              <w:snapToGrid w:val="0"/>
              <w:jc w:val="center"/>
              <w:rPr>
                <w:rFonts w:ascii="宋体" w:hAnsi="宋体" w:cs="宋体"/>
                <w:szCs w:val="21"/>
              </w:rPr>
            </w:pPr>
          </w:p>
        </w:tc>
        <w:tc>
          <w:tcPr>
            <w:tcW w:w="0" w:type="auto"/>
            <w:vAlign w:val="center"/>
          </w:tcPr>
          <w:p w14:paraId="3537C658">
            <w:pPr>
              <w:widowControl/>
              <w:snapToGrid w:val="0"/>
              <w:jc w:val="center"/>
              <w:rPr>
                <w:rFonts w:ascii="宋体" w:hAnsi="宋体" w:cs="宋体"/>
                <w:szCs w:val="21"/>
              </w:rPr>
            </w:pPr>
          </w:p>
        </w:tc>
        <w:tc>
          <w:tcPr>
            <w:tcW w:w="0" w:type="auto"/>
            <w:vAlign w:val="center"/>
          </w:tcPr>
          <w:p w14:paraId="3537C659">
            <w:pPr>
              <w:widowControl/>
              <w:snapToGrid w:val="0"/>
              <w:jc w:val="center"/>
              <w:rPr>
                <w:rFonts w:ascii="宋体" w:hAnsi="宋体" w:cs="宋体"/>
                <w:szCs w:val="21"/>
              </w:rPr>
            </w:pPr>
          </w:p>
        </w:tc>
        <w:tc>
          <w:tcPr>
            <w:tcW w:w="0" w:type="auto"/>
            <w:vAlign w:val="center"/>
          </w:tcPr>
          <w:p w14:paraId="3537C65A">
            <w:pPr>
              <w:widowControl/>
              <w:snapToGrid w:val="0"/>
              <w:jc w:val="center"/>
              <w:rPr>
                <w:rFonts w:ascii="宋体" w:hAnsi="宋体" w:cs="宋体"/>
                <w:szCs w:val="21"/>
              </w:rPr>
            </w:pPr>
          </w:p>
        </w:tc>
        <w:tc>
          <w:tcPr>
            <w:tcW w:w="0" w:type="auto"/>
            <w:vAlign w:val="center"/>
          </w:tcPr>
          <w:p w14:paraId="3537C65B">
            <w:pPr>
              <w:widowControl/>
              <w:snapToGrid w:val="0"/>
              <w:jc w:val="center"/>
              <w:rPr>
                <w:rFonts w:ascii="宋体" w:hAnsi="宋体" w:cs="宋体"/>
                <w:szCs w:val="21"/>
              </w:rPr>
            </w:pPr>
          </w:p>
        </w:tc>
        <w:tc>
          <w:tcPr>
            <w:tcW w:w="0" w:type="auto"/>
            <w:vAlign w:val="center"/>
          </w:tcPr>
          <w:p w14:paraId="3537C65C">
            <w:pPr>
              <w:widowControl/>
              <w:snapToGrid w:val="0"/>
              <w:jc w:val="center"/>
              <w:rPr>
                <w:rFonts w:ascii="宋体" w:hAnsi="宋体" w:cs="宋体"/>
                <w:szCs w:val="21"/>
              </w:rPr>
            </w:pPr>
          </w:p>
        </w:tc>
        <w:tc>
          <w:tcPr>
            <w:tcW w:w="0" w:type="auto"/>
            <w:vAlign w:val="center"/>
          </w:tcPr>
          <w:p w14:paraId="3537C65D">
            <w:pPr>
              <w:widowControl/>
              <w:snapToGrid w:val="0"/>
              <w:jc w:val="right"/>
              <w:rPr>
                <w:rFonts w:ascii="宋体" w:hAnsi="宋体" w:cs="宋体"/>
                <w:szCs w:val="21"/>
              </w:rPr>
            </w:pPr>
          </w:p>
        </w:tc>
        <w:tc>
          <w:tcPr>
            <w:tcW w:w="0" w:type="auto"/>
            <w:vAlign w:val="center"/>
          </w:tcPr>
          <w:p w14:paraId="3537C65E">
            <w:pPr>
              <w:widowControl/>
              <w:snapToGrid w:val="0"/>
              <w:jc w:val="right"/>
              <w:rPr>
                <w:rFonts w:ascii="宋体" w:hAnsi="宋体" w:cs="宋体"/>
                <w:szCs w:val="21"/>
              </w:rPr>
            </w:pPr>
          </w:p>
        </w:tc>
        <w:tc>
          <w:tcPr>
            <w:tcW w:w="0" w:type="auto"/>
            <w:vAlign w:val="center"/>
          </w:tcPr>
          <w:p w14:paraId="3537C65F">
            <w:pPr>
              <w:widowControl/>
              <w:snapToGrid w:val="0"/>
              <w:jc w:val="center"/>
              <w:rPr>
                <w:rFonts w:ascii="宋体" w:hAnsi="宋体" w:cs="宋体"/>
                <w:szCs w:val="21"/>
              </w:rPr>
            </w:pPr>
          </w:p>
        </w:tc>
        <w:tc>
          <w:tcPr>
            <w:tcW w:w="0" w:type="auto"/>
            <w:vAlign w:val="center"/>
          </w:tcPr>
          <w:p w14:paraId="3537C660">
            <w:pPr>
              <w:widowControl/>
              <w:snapToGrid w:val="0"/>
              <w:jc w:val="right"/>
              <w:rPr>
                <w:rFonts w:ascii="宋体" w:hAnsi="宋体" w:cs="宋体"/>
                <w:szCs w:val="21"/>
              </w:rPr>
            </w:pPr>
          </w:p>
        </w:tc>
        <w:tc>
          <w:tcPr>
            <w:tcW w:w="0" w:type="auto"/>
            <w:vAlign w:val="center"/>
          </w:tcPr>
          <w:p w14:paraId="3537C661">
            <w:pPr>
              <w:widowControl/>
              <w:snapToGrid w:val="0"/>
              <w:jc w:val="center"/>
              <w:rPr>
                <w:rFonts w:ascii="宋体" w:hAnsi="宋体" w:cs="宋体"/>
                <w:szCs w:val="21"/>
              </w:rPr>
            </w:pPr>
          </w:p>
        </w:tc>
        <w:tc>
          <w:tcPr>
            <w:tcW w:w="0" w:type="auto"/>
            <w:vAlign w:val="center"/>
          </w:tcPr>
          <w:p w14:paraId="3537C662">
            <w:pPr>
              <w:widowControl/>
              <w:snapToGrid w:val="0"/>
              <w:jc w:val="center"/>
              <w:rPr>
                <w:rFonts w:ascii="宋体" w:hAnsi="宋体" w:cs="宋体"/>
                <w:szCs w:val="21"/>
              </w:rPr>
            </w:pPr>
          </w:p>
        </w:tc>
        <w:tc>
          <w:tcPr>
            <w:tcW w:w="0" w:type="auto"/>
            <w:vAlign w:val="center"/>
          </w:tcPr>
          <w:p w14:paraId="3537C663">
            <w:pPr>
              <w:widowControl/>
              <w:snapToGrid w:val="0"/>
              <w:jc w:val="center"/>
              <w:rPr>
                <w:rFonts w:ascii="宋体" w:hAnsi="宋体" w:cs="宋体"/>
                <w:szCs w:val="21"/>
              </w:rPr>
            </w:pPr>
          </w:p>
        </w:tc>
        <w:tc>
          <w:tcPr>
            <w:tcW w:w="0" w:type="auto"/>
            <w:vAlign w:val="center"/>
          </w:tcPr>
          <w:p w14:paraId="3537C664">
            <w:pPr>
              <w:widowControl/>
              <w:snapToGrid w:val="0"/>
              <w:jc w:val="center"/>
              <w:rPr>
                <w:rFonts w:ascii="宋体" w:hAnsi="宋体" w:cs="宋体"/>
                <w:szCs w:val="21"/>
              </w:rPr>
            </w:pPr>
          </w:p>
        </w:tc>
        <w:tc>
          <w:tcPr>
            <w:tcW w:w="0" w:type="auto"/>
            <w:vAlign w:val="center"/>
          </w:tcPr>
          <w:p w14:paraId="3537C665">
            <w:pPr>
              <w:widowControl/>
              <w:snapToGrid w:val="0"/>
              <w:jc w:val="center"/>
              <w:rPr>
                <w:rFonts w:ascii="宋体" w:hAnsi="宋体" w:cs="宋体"/>
                <w:szCs w:val="21"/>
              </w:rPr>
            </w:pPr>
          </w:p>
        </w:tc>
        <w:tc>
          <w:tcPr>
            <w:tcW w:w="421" w:type="dxa"/>
            <w:vAlign w:val="center"/>
          </w:tcPr>
          <w:p w14:paraId="3537C666">
            <w:pPr>
              <w:widowControl/>
              <w:snapToGrid w:val="0"/>
              <w:jc w:val="center"/>
              <w:rPr>
                <w:rFonts w:ascii="宋体" w:hAnsi="宋体" w:cs="宋体"/>
                <w:szCs w:val="21"/>
              </w:rPr>
            </w:pPr>
          </w:p>
        </w:tc>
      </w:tr>
      <w:tr w14:paraId="3537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537C668">
            <w:pPr>
              <w:widowControl/>
              <w:snapToGrid w:val="0"/>
              <w:jc w:val="center"/>
              <w:rPr>
                <w:rFonts w:ascii="宋体" w:hAnsi="宋体" w:cs="宋体"/>
                <w:szCs w:val="21"/>
              </w:rPr>
            </w:pPr>
            <w:r>
              <w:rPr>
                <w:rFonts w:hint="eastAsia" w:ascii="宋体" w:hAnsi="宋体" w:cs="宋体"/>
                <w:szCs w:val="21"/>
              </w:rPr>
              <w:t>2</w:t>
            </w:r>
          </w:p>
        </w:tc>
        <w:tc>
          <w:tcPr>
            <w:tcW w:w="0" w:type="auto"/>
            <w:vAlign w:val="center"/>
          </w:tcPr>
          <w:p w14:paraId="3537C669">
            <w:pPr>
              <w:widowControl/>
              <w:snapToGrid w:val="0"/>
              <w:jc w:val="center"/>
              <w:rPr>
                <w:rFonts w:ascii="宋体" w:hAnsi="宋体" w:cs="宋体"/>
                <w:szCs w:val="21"/>
              </w:rPr>
            </w:pPr>
          </w:p>
        </w:tc>
        <w:tc>
          <w:tcPr>
            <w:tcW w:w="0" w:type="auto"/>
            <w:vAlign w:val="center"/>
          </w:tcPr>
          <w:p w14:paraId="3537C66A">
            <w:pPr>
              <w:widowControl/>
              <w:snapToGrid w:val="0"/>
              <w:jc w:val="center"/>
              <w:rPr>
                <w:rFonts w:ascii="宋体" w:hAnsi="宋体" w:cs="宋体"/>
                <w:szCs w:val="21"/>
              </w:rPr>
            </w:pPr>
          </w:p>
        </w:tc>
        <w:tc>
          <w:tcPr>
            <w:tcW w:w="0" w:type="auto"/>
            <w:vAlign w:val="center"/>
          </w:tcPr>
          <w:p w14:paraId="3537C66B">
            <w:pPr>
              <w:widowControl/>
              <w:snapToGrid w:val="0"/>
              <w:jc w:val="center"/>
              <w:rPr>
                <w:rFonts w:ascii="宋体" w:hAnsi="宋体" w:cs="宋体"/>
                <w:szCs w:val="21"/>
              </w:rPr>
            </w:pPr>
          </w:p>
        </w:tc>
        <w:tc>
          <w:tcPr>
            <w:tcW w:w="0" w:type="auto"/>
            <w:vAlign w:val="center"/>
          </w:tcPr>
          <w:p w14:paraId="3537C66C">
            <w:pPr>
              <w:widowControl/>
              <w:snapToGrid w:val="0"/>
              <w:jc w:val="center"/>
              <w:rPr>
                <w:rFonts w:ascii="宋体" w:hAnsi="宋体" w:cs="宋体"/>
                <w:szCs w:val="21"/>
              </w:rPr>
            </w:pPr>
          </w:p>
        </w:tc>
        <w:tc>
          <w:tcPr>
            <w:tcW w:w="0" w:type="auto"/>
            <w:vAlign w:val="center"/>
          </w:tcPr>
          <w:p w14:paraId="3537C66D">
            <w:pPr>
              <w:widowControl/>
              <w:snapToGrid w:val="0"/>
              <w:jc w:val="center"/>
              <w:rPr>
                <w:rFonts w:ascii="宋体" w:hAnsi="宋体" w:cs="宋体"/>
                <w:szCs w:val="21"/>
              </w:rPr>
            </w:pPr>
          </w:p>
        </w:tc>
        <w:tc>
          <w:tcPr>
            <w:tcW w:w="0" w:type="auto"/>
            <w:vAlign w:val="center"/>
          </w:tcPr>
          <w:p w14:paraId="3537C66E">
            <w:pPr>
              <w:widowControl/>
              <w:snapToGrid w:val="0"/>
              <w:jc w:val="center"/>
              <w:rPr>
                <w:rFonts w:ascii="宋体" w:hAnsi="宋体" w:cs="宋体"/>
                <w:szCs w:val="21"/>
              </w:rPr>
            </w:pPr>
          </w:p>
        </w:tc>
        <w:tc>
          <w:tcPr>
            <w:tcW w:w="0" w:type="auto"/>
            <w:vAlign w:val="center"/>
          </w:tcPr>
          <w:p w14:paraId="3537C66F">
            <w:pPr>
              <w:widowControl/>
              <w:snapToGrid w:val="0"/>
              <w:jc w:val="center"/>
              <w:rPr>
                <w:rFonts w:ascii="宋体" w:hAnsi="宋体" w:cs="宋体"/>
                <w:szCs w:val="21"/>
              </w:rPr>
            </w:pPr>
          </w:p>
        </w:tc>
        <w:tc>
          <w:tcPr>
            <w:tcW w:w="0" w:type="auto"/>
            <w:vAlign w:val="center"/>
          </w:tcPr>
          <w:p w14:paraId="3537C670">
            <w:pPr>
              <w:widowControl/>
              <w:snapToGrid w:val="0"/>
              <w:jc w:val="center"/>
              <w:rPr>
                <w:rFonts w:ascii="宋体" w:hAnsi="宋体" w:cs="宋体"/>
                <w:szCs w:val="21"/>
              </w:rPr>
            </w:pPr>
          </w:p>
        </w:tc>
        <w:tc>
          <w:tcPr>
            <w:tcW w:w="0" w:type="auto"/>
            <w:vAlign w:val="center"/>
          </w:tcPr>
          <w:p w14:paraId="3537C671">
            <w:pPr>
              <w:widowControl/>
              <w:snapToGrid w:val="0"/>
              <w:jc w:val="right"/>
              <w:rPr>
                <w:rFonts w:ascii="宋体" w:hAnsi="宋体" w:cs="宋体"/>
                <w:szCs w:val="21"/>
              </w:rPr>
            </w:pPr>
          </w:p>
        </w:tc>
        <w:tc>
          <w:tcPr>
            <w:tcW w:w="0" w:type="auto"/>
            <w:vAlign w:val="center"/>
          </w:tcPr>
          <w:p w14:paraId="3537C672">
            <w:pPr>
              <w:widowControl/>
              <w:snapToGrid w:val="0"/>
              <w:jc w:val="right"/>
              <w:rPr>
                <w:rFonts w:ascii="宋体" w:hAnsi="宋体" w:cs="宋体"/>
                <w:szCs w:val="21"/>
              </w:rPr>
            </w:pPr>
          </w:p>
        </w:tc>
        <w:tc>
          <w:tcPr>
            <w:tcW w:w="0" w:type="auto"/>
            <w:vAlign w:val="center"/>
          </w:tcPr>
          <w:p w14:paraId="3537C673">
            <w:pPr>
              <w:widowControl/>
              <w:snapToGrid w:val="0"/>
              <w:jc w:val="center"/>
              <w:rPr>
                <w:rFonts w:ascii="宋体" w:hAnsi="宋体" w:cs="宋体"/>
                <w:szCs w:val="21"/>
              </w:rPr>
            </w:pPr>
          </w:p>
        </w:tc>
        <w:tc>
          <w:tcPr>
            <w:tcW w:w="0" w:type="auto"/>
            <w:vAlign w:val="center"/>
          </w:tcPr>
          <w:p w14:paraId="3537C674">
            <w:pPr>
              <w:widowControl/>
              <w:snapToGrid w:val="0"/>
              <w:jc w:val="right"/>
              <w:rPr>
                <w:rFonts w:ascii="宋体" w:hAnsi="宋体" w:cs="宋体"/>
                <w:szCs w:val="21"/>
              </w:rPr>
            </w:pPr>
          </w:p>
        </w:tc>
        <w:tc>
          <w:tcPr>
            <w:tcW w:w="0" w:type="auto"/>
            <w:vAlign w:val="center"/>
          </w:tcPr>
          <w:p w14:paraId="3537C675">
            <w:pPr>
              <w:widowControl/>
              <w:snapToGrid w:val="0"/>
              <w:jc w:val="center"/>
              <w:rPr>
                <w:rFonts w:ascii="宋体" w:hAnsi="宋体" w:cs="宋体"/>
                <w:szCs w:val="21"/>
              </w:rPr>
            </w:pPr>
          </w:p>
        </w:tc>
        <w:tc>
          <w:tcPr>
            <w:tcW w:w="0" w:type="auto"/>
            <w:vAlign w:val="center"/>
          </w:tcPr>
          <w:p w14:paraId="3537C676">
            <w:pPr>
              <w:widowControl/>
              <w:snapToGrid w:val="0"/>
              <w:jc w:val="center"/>
              <w:rPr>
                <w:rFonts w:ascii="宋体" w:hAnsi="宋体" w:cs="宋体"/>
                <w:szCs w:val="21"/>
              </w:rPr>
            </w:pPr>
          </w:p>
        </w:tc>
        <w:tc>
          <w:tcPr>
            <w:tcW w:w="0" w:type="auto"/>
            <w:vAlign w:val="center"/>
          </w:tcPr>
          <w:p w14:paraId="3537C677">
            <w:pPr>
              <w:widowControl/>
              <w:snapToGrid w:val="0"/>
              <w:jc w:val="center"/>
              <w:rPr>
                <w:rFonts w:ascii="宋体" w:hAnsi="宋体" w:cs="宋体"/>
                <w:szCs w:val="21"/>
              </w:rPr>
            </w:pPr>
          </w:p>
        </w:tc>
        <w:tc>
          <w:tcPr>
            <w:tcW w:w="0" w:type="auto"/>
            <w:vAlign w:val="center"/>
          </w:tcPr>
          <w:p w14:paraId="3537C678">
            <w:pPr>
              <w:widowControl/>
              <w:snapToGrid w:val="0"/>
              <w:jc w:val="center"/>
              <w:rPr>
                <w:rFonts w:ascii="宋体" w:hAnsi="宋体" w:cs="宋体"/>
                <w:szCs w:val="21"/>
              </w:rPr>
            </w:pPr>
          </w:p>
        </w:tc>
        <w:tc>
          <w:tcPr>
            <w:tcW w:w="0" w:type="auto"/>
            <w:vAlign w:val="center"/>
          </w:tcPr>
          <w:p w14:paraId="3537C679">
            <w:pPr>
              <w:widowControl/>
              <w:snapToGrid w:val="0"/>
              <w:jc w:val="center"/>
              <w:rPr>
                <w:rFonts w:ascii="宋体" w:hAnsi="宋体" w:cs="宋体"/>
                <w:szCs w:val="21"/>
              </w:rPr>
            </w:pPr>
          </w:p>
        </w:tc>
        <w:tc>
          <w:tcPr>
            <w:tcW w:w="421" w:type="dxa"/>
            <w:vAlign w:val="center"/>
          </w:tcPr>
          <w:p w14:paraId="3537C67A">
            <w:pPr>
              <w:widowControl/>
              <w:snapToGrid w:val="0"/>
              <w:jc w:val="center"/>
              <w:rPr>
                <w:rFonts w:ascii="宋体" w:hAnsi="宋体" w:cs="宋体"/>
                <w:szCs w:val="21"/>
              </w:rPr>
            </w:pPr>
          </w:p>
        </w:tc>
      </w:tr>
      <w:tr w14:paraId="3537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3537C67C">
            <w:pPr>
              <w:widowControl/>
              <w:snapToGrid w:val="0"/>
              <w:jc w:val="center"/>
              <w:rPr>
                <w:rFonts w:ascii="宋体" w:hAnsi="宋体" w:cs="宋体"/>
                <w:szCs w:val="21"/>
              </w:rPr>
            </w:pPr>
            <w:r>
              <w:rPr>
                <w:rFonts w:hint="eastAsia" w:ascii="宋体" w:hAnsi="宋体" w:cs="宋体"/>
                <w:szCs w:val="21"/>
              </w:rPr>
              <w:t>3</w:t>
            </w:r>
          </w:p>
        </w:tc>
        <w:tc>
          <w:tcPr>
            <w:tcW w:w="420" w:type="dxa"/>
            <w:vAlign w:val="center"/>
          </w:tcPr>
          <w:p w14:paraId="3537C67D">
            <w:pPr>
              <w:widowControl/>
              <w:snapToGrid w:val="0"/>
              <w:jc w:val="center"/>
              <w:rPr>
                <w:rFonts w:ascii="宋体" w:hAnsi="宋体" w:cs="宋体"/>
                <w:szCs w:val="21"/>
              </w:rPr>
            </w:pPr>
          </w:p>
        </w:tc>
        <w:tc>
          <w:tcPr>
            <w:tcW w:w="420" w:type="dxa"/>
            <w:vAlign w:val="center"/>
          </w:tcPr>
          <w:p w14:paraId="3537C67E">
            <w:pPr>
              <w:widowControl/>
              <w:snapToGrid w:val="0"/>
              <w:jc w:val="center"/>
              <w:rPr>
                <w:rFonts w:ascii="宋体" w:hAnsi="宋体" w:cs="宋体"/>
                <w:szCs w:val="21"/>
              </w:rPr>
            </w:pPr>
          </w:p>
        </w:tc>
        <w:tc>
          <w:tcPr>
            <w:tcW w:w="421" w:type="dxa"/>
            <w:vAlign w:val="center"/>
          </w:tcPr>
          <w:p w14:paraId="3537C67F">
            <w:pPr>
              <w:widowControl/>
              <w:snapToGrid w:val="0"/>
              <w:jc w:val="center"/>
              <w:rPr>
                <w:rFonts w:ascii="宋体" w:hAnsi="宋体" w:cs="宋体"/>
                <w:szCs w:val="21"/>
              </w:rPr>
            </w:pPr>
          </w:p>
        </w:tc>
        <w:tc>
          <w:tcPr>
            <w:tcW w:w="421" w:type="dxa"/>
            <w:vAlign w:val="center"/>
          </w:tcPr>
          <w:p w14:paraId="3537C680">
            <w:pPr>
              <w:widowControl/>
              <w:snapToGrid w:val="0"/>
              <w:jc w:val="center"/>
              <w:rPr>
                <w:rFonts w:ascii="宋体" w:hAnsi="宋体" w:cs="宋体"/>
                <w:szCs w:val="21"/>
              </w:rPr>
            </w:pPr>
          </w:p>
        </w:tc>
        <w:tc>
          <w:tcPr>
            <w:tcW w:w="421" w:type="dxa"/>
            <w:vAlign w:val="center"/>
          </w:tcPr>
          <w:p w14:paraId="3537C681">
            <w:pPr>
              <w:widowControl/>
              <w:snapToGrid w:val="0"/>
              <w:jc w:val="center"/>
              <w:rPr>
                <w:rFonts w:ascii="宋体" w:hAnsi="宋体" w:cs="宋体"/>
                <w:szCs w:val="21"/>
              </w:rPr>
            </w:pPr>
          </w:p>
        </w:tc>
        <w:tc>
          <w:tcPr>
            <w:tcW w:w="523" w:type="dxa"/>
            <w:vAlign w:val="center"/>
          </w:tcPr>
          <w:p w14:paraId="3537C682">
            <w:pPr>
              <w:widowControl/>
              <w:snapToGrid w:val="0"/>
              <w:jc w:val="center"/>
              <w:rPr>
                <w:rFonts w:ascii="宋体" w:hAnsi="宋体" w:cs="宋体"/>
                <w:szCs w:val="21"/>
              </w:rPr>
            </w:pPr>
          </w:p>
        </w:tc>
        <w:tc>
          <w:tcPr>
            <w:tcW w:w="523" w:type="dxa"/>
            <w:vAlign w:val="center"/>
          </w:tcPr>
          <w:p w14:paraId="3537C683">
            <w:pPr>
              <w:widowControl/>
              <w:snapToGrid w:val="0"/>
              <w:jc w:val="center"/>
              <w:rPr>
                <w:rFonts w:ascii="宋体" w:hAnsi="宋体" w:cs="宋体"/>
                <w:szCs w:val="21"/>
              </w:rPr>
            </w:pPr>
          </w:p>
        </w:tc>
        <w:tc>
          <w:tcPr>
            <w:tcW w:w="523" w:type="dxa"/>
            <w:vAlign w:val="center"/>
          </w:tcPr>
          <w:p w14:paraId="3537C684">
            <w:pPr>
              <w:widowControl/>
              <w:snapToGrid w:val="0"/>
              <w:jc w:val="center"/>
              <w:rPr>
                <w:rFonts w:ascii="宋体" w:hAnsi="宋体" w:cs="宋体"/>
                <w:szCs w:val="21"/>
              </w:rPr>
            </w:pPr>
          </w:p>
        </w:tc>
        <w:tc>
          <w:tcPr>
            <w:tcW w:w="729" w:type="dxa"/>
            <w:vAlign w:val="center"/>
          </w:tcPr>
          <w:p w14:paraId="3537C685">
            <w:pPr>
              <w:widowControl/>
              <w:snapToGrid w:val="0"/>
              <w:jc w:val="right"/>
              <w:rPr>
                <w:rFonts w:ascii="宋体" w:hAnsi="宋体" w:cs="宋体"/>
                <w:szCs w:val="21"/>
              </w:rPr>
            </w:pPr>
          </w:p>
        </w:tc>
        <w:tc>
          <w:tcPr>
            <w:tcW w:w="524" w:type="dxa"/>
            <w:vAlign w:val="center"/>
          </w:tcPr>
          <w:p w14:paraId="3537C686">
            <w:pPr>
              <w:widowControl/>
              <w:snapToGrid w:val="0"/>
              <w:jc w:val="right"/>
              <w:rPr>
                <w:rFonts w:ascii="宋体" w:hAnsi="宋体" w:cs="宋体"/>
                <w:szCs w:val="21"/>
              </w:rPr>
            </w:pPr>
          </w:p>
        </w:tc>
        <w:tc>
          <w:tcPr>
            <w:tcW w:w="523" w:type="dxa"/>
            <w:vAlign w:val="center"/>
          </w:tcPr>
          <w:p w14:paraId="3537C687">
            <w:pPr>
              <w:widowControl/>
              <w:snapToGrid w:val="0"/>
              <w:jc w:val="center"/>
              <w:rPr>
                <w:rFonts w:ascii="宋体" w:hAnsi="宋体" w:cs="宋体"/>
                <w:szCs w:val="21"/>
              </w:rPr>
            </w:pPr>
          </w:p>
        </w:tc>
        <w:tc>
          <w:tcPr>
            <w:tcW w:w="1138" w:type="dxa"/>
            <w:vAlign w:val="center"/>
          </w:tcPr>
          <w:p w14:paraId="3537C688">
            <w:pPr>
              <w:widowControl/>
              <w:snapToGrid w:val="0"/>
              <w:jc w:val="right"/>
              <w:rPr>
                <w:rFonts w:ascii="宋体" w:hAnsi="宋体" w:cs="宋体"/>
                <w:szCs w:val="21"/>
              </w:rPr>
            </w:pPr>
          </w:p>
        </w:tc>
        <w:tc>
          <w:tcPr>
            <w:tcW w:w="523" w:type="dxa"/>
            <w:vAlign w:val="center"/>
          </w:tcPr>
          <w:p w14:paraId="3537C689">
            <w:pPr>
              <w:widowControl/>
              <w:snapToGrid w:val="0"/>
              <w:jc w:val="center"/>
              <w:rPr>
                <w:rFonts w:ascii="宋体" w:hAnsi="宋体" w:cs="宋体"/>
                <w:szCs w:val="21"/>
              </w:rPr>
            </w:pPr>
          </w:p>
        </w:tc>
        <w:tc>
          <w:tcPr>
            <w:tcW w:w="523" w:type="dxa"/>
            <w:vAlign w:val="center"/>
          </w:tcPr>
          <w:p w14:paraId="3537C68A">
            <w:pPr>
              <w:widowControl/>
              <w:snapToGrid w:val="0"/>
              <w:jc w:val="center"/>
              <w:rPr>
                <w:rFonts w:ascii="宋体" w:hAnsi="宋体" w:cs="宋体"/>
                <w:szCs w:val="21"/>
              </w:rPr>
            </w:pPr>
          </w:p>
        </w:tc>
        <w:tc>
          <w:tcPr>
            <w:tcW w:w="421" w:type="dxa"/>
            <w:vAlign w:val="center"/>
          </w:tcPr>
          <w:p w14:paraId="3537C68B">
            <w:pPr>
              <w:widowControl/>
              <w:snapToGrid w:val="0"/>
              <w:jc w:val="center"/>
              <w:rPr>
                <w:rFonts w:ascii="宋体" w:hAnsi="宋体" w:cs="宋体"/>
                <w:szCs w:val="21"/>
              </w:rPr>
            </w:pPr>
          </w:p>
        </w:tc>
        <w:tc>
          <w:tcPr>
            <w:tcW w:w="421" w:type="dxa"/>
            <w:vAlign w:val="center"/>
          </w:tcPr>
          <w:p w14:paraId="3537C68C">
            <w:pPr>
              <w:widowControl/>
              <w:snapToGrid w:val="0"/>
              <w:jc w:val="center"/>
              <w:rPr>
                <w:rFonts w:ascii="宋体" w:hAnsi="宋体" w:cs="宋体"/>
                <w:szCs w:val="21"/>
              </w:rPr>
            </w:pPr>
          </w:p>
        </w:tc>
        <w:tc>
          <w:tcPr>
            <w:tcW w:w="421" w:type="dxa"/>
            <w:vAlign w:val="center"/>
          </w:tcPr>
          <w:p w14:paraId="3537C68D">
            <w:pPr>
              <w:widowControl/>
              <w:snapToGrid w:val="0"/>
              <w:jc w:val="center"/>
              <w:rPr>
                <w:rFonts w:ascii="宋体" w:hAnsi="宋体" w:cs="宋体"/>
                <w:szCs w:val="21"/>
              </w:rPr>
            </w:pPr>
          </w:p>
        </w:tc>
        <w:tc>
          <w:tcPr>
            <w:tcW w:w="421" w:type="dxa"/>
            <w:vAlign w:val="center"/>
          </w:tcPr>
          <w:p w14:paraId="3537C68E">
            <w:pPr>
              <w:widowControl/>
              <w:snapToGrid w:val="0"/>
              <w:jc w:val="center"/>
              <w:rPr>
                <w:rFonts w:ascii="宋体" w:hAnsi="宋体" w:cs="宋体"/>
                <w:szCs w:val="21"/>
              </w:rPr>
            </w:pPr>
          </w:p>
        </w:tc>
      </w:tr>
    </w:tbl>
    <w:p w14:paraId="3537C690">
      <w:pPr>
        <w:widowControl/>
        <w:spacing w:line="400" w:lineRule="exact"/>
        <w:ind w:firstLine="420" w:firstLineChars="200"/>
        <w:rPr>
          <w:rFonts w:ascii="宋体" w:hAnsi="宋体" w:cs="宋体"/>
          <w:szCs w:val="21"/>
        </w:rPr>
      </w:pPr>
      <w:r>
        <w:rPr>
          <w:rFonts w:hint="eastAsia" w:ascii="宋体" w:hAnsi="宋体" w:cs="宋体"/>
          <w:szCs w:val="21"/>
        </w:rPr>
        <w:t>填写说明：</w:t>
      </w:r>
    </w:p>
    <w:p w14:paraId="3537C691">
      <w:pPr>
        <w:widowControl/>
        <w:spacing w:line="400" w:lineRule="exact"/>
        <w:ind w:left="283"/>
        <w:rPr>
          <w:rFonts w:ascii="宋体" w:hAnsi="宋体" w:cs="宋体"/>
          <w:szCs w:val="21"/>
        </w:rPr>
      </w:pPr>
      <w:r>
        <w:rPr>
          <w:rFonts w:hint="eastAsia" w:ascii="宋体" w:hAnsi="宋体" w:cs="宋体"/>
          <w:szCs w:val="21"/>
        </w:rPr>
        <w:t>a）“分配方法/分摊依据”可填写质量、体积、能耗、标准工时、批次、经济分配等，并应与正文分配原则保持一致。</w:t>
      </w:r>
    </w:p>
    <w:p w14:paraId="3537C692">
      <w:pPr>
        <w:widowControl/>
        <w:spacing w:line="400" w:lineRule="exact"/>
        <w:ind w:left="283"/>
        <w:rPr>
          <w:rFonts w:ascii="宋体" w:hAnsi="宋体" w:cs="宋体"/>
          <w:szCs w:val="21"/>
        </w:rPr>
      </w:pPr>
      <w:r>
        <w:rPr>
          <w:rFonts w:hint="eastAsia" w:ascii="宋体" w:hAnsi="宋体" w:cs="宋体"/>
          <w:szCs w:val="21"/>
        </w:rPr>
        <w:t>b）如存在溶剂回收、包装回收、内部循环或副产物流，宜在“回收或再利用情况”及“备注”中说明处理原则。</w:t>
      </w:r>
    </w:p>
    <w:p w14:paraId="3537C693">
      <w:pPr>
        <w:widowControl/>
        <w:spacing w:line="400" w:lineRule="exact"/>
        <w:ind w:left="283"/>
        <w:rPr>
          <w:rFonts w:ascii="宋体" w:hAnsi="宋体" w:cs="宋体"/>
          <w:szCs w:val="21"/>
        </w:rPr>
      </w:pPr>
      <w:r>
        <w:rPr>
          <w:rFonts w:hint="eastAsia" w:ascii="宋体" w:hAnsi="宋体" w:cs="宋体"/>
          <w:szCs w:val="21"/>
        </w:rPr>
        <w:t>c）若企业仅能获得工厂级数据，宜说明其与产品级数据之间的归集或分摊逻辑。</w:t>
      </w:r>
    </w:p>
    <w:p w14:paraId="3537C694">
      <w:pPr>
        <w:widowControl/>
        <w:spacing w:line="400" w:lineRule="exact"/>
        <w:ind w:firstLine="422" w:firstLineChars="200"/>
        <w:rPr>
          <w:rFonts w:ascii="宋体" w:hAnsi="宋体" w:cs="宋体"/>
          <w:szCs w:val="21"/>
        </w:rPr>
      </w:pPr>
      <w:r>
        <w:rPr>
          <w:rFonts w:hint="eastAsia" w:ascii="宋体" w:hAnsi="宋体" w:cs="宋体"/>
          <w:b/>
          <w:szCs w:val="21"/>
        </w:rPr>
        <w:t>B.3 产品级汇总数据表</w:t>
      </w:r>
    </w:p>
    <w:p w14:paraId="3537C695">
      <w:pPr>
        <w:widowControl/>
        <w:spacing w:line="400" w:lineRule="exact"/>
        <w:ind w:firstLine="420" w:firstLineChars="200"/>
        <w:rPr>
          <w:rFonts w:ascii="宋体" w:hAnsi="宋体" w:cs="宋体"/>
          <w:szCs w:val="21"/>
        </w:rPr>
      </w:pPr>
      <w:r>
        <w:rPr>
          <w:rFonts w:hint="eastAsia" w:ascii="宋体" w:hAnsi="宋体" w:cs="宋体"/>
          <w:szCs w:val="21"/>
        </w:rPr>
        <w:t>表B.3用于对产品碳足迹结果进行生命周期阶段汇总，可直接支撑产品碳足迹报告和对外信息传递。</w:t>
      </w:r>
    </w:p>
    <w:tbl>
      <w:tblPr>
        <w:tblStyle w:val="39"/>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1483"/>
        <w:gridCol w:w="1136"/>
        <w:gridCol w:w="2310"/>
        <w:gridCol w:w="841"/>
        <w:gridCol w:w="1513"/>
        <w:gridCol w:w="583"/>
      </w:tblGrid>
      <w:tr w14:paraId="3537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14:paraId="3537C696">
            <w:pPr>
              <w:widowControl/>
              <w:snapToGrid w:val="0"/>
              <w:jc w:val="center"/>
              <w:rPr>
                <w:rFonts w:ascii="宋体" w:hAnsi="宋体" w:cs="宋体"/>
                <w:b/>
                <w:szCs w:val="21"/>
              </w:rPr>
            </w:pPr>
            <w:r>
              <w:rPr>
                <w:rFonts w:hint="eastAsia" w:ascii="宋体" w:hAnsi="宋体" w:cs="宋体"/>
                <w:b/>
                <w:szCs w:val="21"/>
              </w:rPr>
              <w:t>生命周期阶段</w:t>
            </w:r>
          </w:p>
        </w:tc>
        <w:tc>
          <w:tcPr>
            <w:tcW w:w="0" w:type="auto"/>
            <w:vAlign w:val="center"/>
          </w:tcPr>
          <w:p w14:paraId="3537C697">
            <w:pPr>
              <w:widowControl/>
              <w:snapToGrid w:val="0"/>
              <w:jc w:val="center"/>
              <w:rPr>
                <w:rFonts w:ascii="宋体" w:hAnsi="宋体" w:cs="宋体"/>
                <w:b/>
                <w:szCs w:val="21"/>
              </w:rPr>
            </w:pPr>
            <w:r>
              <w:rPr>
                <w:rFonts w:hint="eastAsia" w:ascii="宋体" w:hAnsi="宋体" w:cs="宋体"/>
                <w:b/>
                <w:szCs w:val="21"/>
              </w:rPr>
              <w:t>活动数据/关键要素</w:t>
            </w:r>
          </w:p>
        </w:tc>
        <w:tc>
          <w:tcPr>
            <w:tcW w:w="0" w:type="auto"/>
            <w:vAlign w:val="center"/>
          </w:tcPr>
          <w:p w14:paraId="3537C698">
            <w:pPr>
              <w:widowControl/>
              <w:snapToGrid w:val="0"/>
              <w:jc w:val="center"/>
              <w:rPr>
                <w:rFonts w:ascii="宋体" w:hAnsi="宋体" w:cs="宋体"/>
                <w:b/>
                <w:szCs w:val="21"/>
              </w:rPr>
            </w:pPr>
            <w:r>
              <w:rPr>
                <w:rFonts w:hint="eastAsia" w:ascii="宋体" w:hAnsi="宋体" w:cs="宋体"/>
                <w:b/>
                <w:szCs w:val="21"/>
              </w:rPr>
              <w:t>排放因子来源</w:t>
            </w:r>
          </w:p>
        </w:tc>
        <w:tc>
          <w:tcPr>
            <w:tcW w:w="0" w:type="auto"/>
            <w:vAlign w:val="center"/>
          </w:tcPr>
          <w:p w14:paraId="3537C699">
            <w:pPr>
              <w:widowControl/>
              <w:snapToGrid w:val="0"/>
              <w:jc w:val="center"/>
              <w:rPr>
                <w:rFonts w:ascii="宋体" w:hAnsi="宋体" w:cs="宋体"/>
                <w:b/>
                <w:szCs w:val="21"/>
              </w:rPr>
            </w:pPr>
            <w:r>
              <w:rPr>
                <w:rFonts w:hint="eastAsia" w:ascii="宋体" w:hAnsi="宋体" w:cs="宋体"/>
                <w:b/>
                <w:szCs w:val="21"/>
              </w:rPr>
              <w:t>碳足迹</w:t>
            </w:r>
          </w:p>
          <w:p w14:paraId="3537C69A">
            <w:pPr>
              <w:widowControl/>
              <w:snapToGrid w:val="0"/>
              <w:jc w:val="center"/>
              <w:rPr>
                <w:rFonts w:ascii="宋体" w:hAnsi="宋体" w:cs="宋体"/>
                <w:b/>
                <w:szCs w:val="21"/>
              </w:rPr>
            </w:pPr>
            <w:r>
              <w:rPr>
                <w:rFonts w:hint="eastAsia" w:ascii="宋体" w:hAnsi="宋体" w:cs="宋体"/>
                <w:b/>
                <w:szCs w:val="21"/>
              </w:rPr>
              <w:t>(kgCO₂e/功能单位)</w:t>
            </w:r>
          </w:p>
        </w:tc>
        <w:tc>
          <w:tcPr>
            <w:tcW w:w="0" w:type="auto"/>
            <w:vAlign w:val="center"/>
          </w:tcPr>
          <w:p w14:paraId="3537C69B">
            <w:pPr>
              <w:widowControl/>
              <w:snapToGrid w:val="0"/>
              <w:jc w:val="center"/>
              <w:rPr>
                <w:rFonts w:ascii="宋体" w:hAnsi="宋体" w:cs="宋体"/>
                <w:b/>
                <w:szCs w:val="21"/>
              </w:rPr>
            </w:pPr>
            <w:r>
              <w:rPr>
                <w:rFonts w:hint="eastAsia" w:ascii="宋体" w:hAnsi="宋体" w:cs="宋体"/>
                <w:b/>
                <w:szCs w:val="21"/>
              </w:rPr>
              <w:t>占比</w:t>
            </w:r>
          </w:p>
          <w:p w14:paraId="3537C69C">
            <w:pPr>
              <w:widowControl/>
              <w:snapToGrid w:val="0"/>
              <w:jc w:val="center"/>
              <w:rPr>
                <w:rFonts w:ascii="宋体" w:hAnsi="宋体" w:cs="宋体"/>
                <w:b/>
                <w:szCs w:val="21"/>
              </w:rPr>
            </w:pPr>
            <w:r>
              <w:rPr>
                <w:rFonts w:hint="eastAsia" w:ascii="宋体" w:hAnsi="宋体" w:cs="宋体"/>
                <w:b/>
                <w:szCs w:val="21"/>
              </w:rPr>
              <w:t>(%)</w:t>
            </w:r>
          </w:p>
        </w:tc>
        <w:tc>
          <w:tcPr>
            <w:tcW w:w="0" w:type="auto"/>
            <w:vAlign w:val="center"/>
          </w:tcPr>
          <w:p w14:paraId="3537C69D">
            <w:pPr>
              <w:widowControl/>
              <w:snapToGrid w:val="0"/>
              <w:jc w:val="center"/>
              <w:rPr>
                <w:rFonts w:ascii="宋体" w:hAnsi="宋体" w:cs="宋体"/>
                <w:b/>
                <w:szCs w:val="21"/>
              </w:rPr>
            </w:pPr>
            <w:r>
              <w:rPr>
                <w:rFonts w:hint="eastAsia" w:ascii="宋体" w:hAnsi="宋体" w:cs="宋体"/>
                <w:b/>
                <w:szCs w:val="21"/>
              </w:rPr>
              <w:t>数据质量等级/DQR</w:t>
            </w:r>
          </w:p>
        </w:tc>
        <w:tc>
          <w:tcPr>
            <w:tcW w:w="583" w:type="dxa"/>
            <w:vAlign w:val="center"/>
          </w:tcPr>
          <w:p w14:paraId="3537C69E">
            <w:pPr>
              <w:widowControl/>
              <w:snapToGrid w:val="0"/>
              <w:jc w:val="center"/>
              <w:rPr>
                <w:rFonts w:ascii="宋体" w:hAnsi="宋体" w:cs="宋体"/>
                <w:b/>
                <w:szCs w:val="21"/>
              </w:rPr>
            </w:pPr>
            <w:r>
              <w:rPr>
                <w:rFonts w:hint="eastAsia" w:ascii="宋体" w:hAnsi="宋体" w:cs="宋体"/>
                <w:b/>
                <w:szCs w:val="21"/>
              </w:rPr>
              <w:t>说明</w:t>
            </w:r>
          </w:p>
        </w:tc>
      </w:tr>
      <w:tr w14:paraId="3537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537C6A0">
            <w:pPr>
              <w:widowControl/>
              <w:snapToGrid w:val="0"/>
              <w:jc w:val="left"/>
              <w:rPr>
                <w:rFonts w:ascii="宋体" w:hAnsi="宋体" w:cs="宋体"/>
                <w:szCs w:val="21"/>
              </w:rPr>
            </w:pPr>
            <w:r>
              <w:rPr>
                <w:rFonts w:hint="eastAsia" w:ascii="宋体" w:hAnsi="宋体" w:cs="宋体"/>
                <w:szCs w:val="21"/>
              </w:rPr>
              <w:t>原材料获取</w:t>
            </w:r>
          </w:p>
        </w:tc>
        <w:tc>
          <w:tcPr>
            <w:tcW w:w="0" w:type="auto"/>
            <w:vAlign w:val="center"/>
          </w:tcPr>
          <w:p w14:paraId="3537C6A1">
            <w:pPr>
              <w:widowControl/>
              <w:snapToGrid w:val="0"/>
              <w:jc w:val="center"/>
              <w:rPr>
                <w:rFonts w:ascii="宋体" w:hAnsi="宋体" w:cs="宋体"/>
                <w:szCs w:val="21"/>
              </w:rPr>
            </w:pPr>
          </w:p>
        </w:tc>
        <w:tc>
          <w:tcPr>
            <w:tcW w:w="0" w:type="auto"/>
            <w:vAlign w:val="center"/>
          </w:tcPr>
          <w:p w14:paraId="3537C6A2">
            <w:pPr>
              <w:widowControl/>
              <w:snapToGrid w:val="0"/>
              <w:jc w:val="center"/>
              <w:rPr>
                <w:rFonts w:ascii="宋体" w:hAnsi="宋体" w:cs="宋体"/>
                <w:szCs w:val="21"/>
              </w:rPr>
            </w:pPr>
          </w:p>
        </w:tc>
        <w:tc>
          <w:tcPr>
            <w:tcW w:w="0" w:type="auto"/>
            <w:vAlign w:val="center"/>
          </w:tcPr>
          <w:p w14:paraId="3537C6A3">
            <w:pPr>
              <w:widowControl/>
              <w:snapToGrid w:val="0"/>
              <w:jc w:val="right"/>
              <w:rPr>
                <w:rFonts w:ascii="宋体" w:hAnsi="宋体" w:cs="宋体"/>
                <w:szCs w:val="21"/>
              </w:rPr>
            </w:pPr>
          </w:p>
        </w:tc>
        <w:tc>
          <w:tcPr>
            <w:tcW w:w="0" w:type="auto"/>
            <w:vAlign w:val="center"/>
          </w:tcPr>
          <w:p w14:paraId="3537C6A4">
            <w:pPr>
              <w:widowControl/>
              <w:snapToGrid w:val="0"/>
              <w:jc w:val="right"/>
              <w:rPr>
                <w:rFonts w:ascii="宋体" w:hAnsi="宋体" w:cs="宋体"/>
                <w:szCs w:val="21"/>
              </w:rPr>
            </w:pPr>
          </w:p>
        </w:tc>
        <w:tc>
          <w:tcPr>
            <w:tcW w:w="0" w:type="auto"/>
            <w:vAlign w:val="center"/>
          </w:tcPr>
          <w:p w14:paraId="3537C6A5">
            <w:pPr>
              <w:widowControl/>
              <w:snapToGrid w:val="0"/>
              <w:jc w:val="center"/>
              <w:rPr>
                <w:rFonts w:ascii="宋体" w:hAnsi="宋体" w:cs="宋体"/>
                <w:szCs w:val="21"/>
              </w:rPr>
            </w:pPr>
          </w:p>
        </w:tc>
        <w:tc>
          <w:tcPr>
            <w:tcW w:w="583" w:type="dxa"/>
            <w:vAlign w:val="center"/>
          </w:tcPr>
          <w:p w14:paraId="3537C6A6">
            <w:pPr>
              <w:widowControl/>
              <w:snapToGrid w:val="0"/>
              <w:jc w:val="center"/>
              <w:rPr>
                <w:rFonts w:ascii="宋体" w:hAnsi="宋体" w:cs="宋体"/>
                <w:szCs w:val="21"/>
              </w:rPr>
            </w:pPr>
          </w:p>
        </w:tc>
      </w:tr>
      <w:tr w14:paraId="3537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537C6A8">
            <w:pPr>
              <w:widowControl/>
              <w:snapToGrid w:val="0"/>
              <w:jc w:val="left"/>
              <w:rPr>
                <w:rFonts w:ascii="宋体" w:hAnsi="宋体" w:cs="宋体"/>
                <w:szCs w:val="21"/>
              </w:rPr>
            </w:pPr>
            <w:r>
              <w:rPr>
                <w:rFonts w:hint="eastAsia" w:ascii="宋体" w:hAnsi="宋体" w:cs="宋体"/>
                <w:szCs w:val="21"/>
              </w:rPr>
              <w:t>原材料运输</w:t>
            </w:r>
          </w:p>
        </w:tc>
        <w:tc>
          <w:tcPr>
            <w:tcW w:w="0" w:type="auto"/>
            <w:vAlign w:val="center"/>
          </w:tcPr>
          <w:p w14:paraId="3537C6A9">
            <w:pPr>
              <w:widowControl/>
              <w:snapToGrid w:val="0"/>
              <w:jc w:val="center"/>
              <w:rPr>
                <w:rFonts w:ascii="宋体" w:hAnsi="宋体" w:cs="宋体"/>
                <w:szCs w:val="21"/>
              </w:rPr>
            </w:pPr>
          </w:p>
        </w:tc>
        <w:tc>
          <w:tcPr>
            <w:tcW w:w="0" w:type="auto"/>
            <w:vAlign w:val="center"/>
          </w:tcPr>
          <w:p w14:paraId="3537C6AA">
            <w:pPr>
              <w:widowControl/>
              <w:snapToGrid w:val="0"/>
              <w:jc w:val="center"/>
              <w:rPr>
                <w:rFonts w:ascii="宋体" w:hAnsi="宋体" w:cs="宋体"/>
                <w:szCs w:val="21"/>
              </w:rPr>
            </w:pPr>
          </w:p>
        </w:tc>
        <w:tc>
          <w:tcPr>
            <w:tcW w:w="0" w:type="auto"/>
            <w:vAlign w:val="center"/>
          </w:tcPr>
          <w:p w14:paraId="3537C6AB">
            <w:pPr>
              <w:widowControl/>
              <w:snapToGrid w:val="0"/>
              <w:jc w:val="right"/>
              <w:rPr>
                <w:rFonts w:ascii="宋体" w:hAnsi="宋体" w:cs="宋体"/>
                <w:szCs w:val="21"/>
              </w:rPr>
            </w:pPr>
          </w:p>
        </w:tc>
        <w:tc>
          <w:tcPr>
            <w:tcW w:w="0" w:type="auto"/>
            <w:vAlign w:val="center"/>
          </w:tcPr>
          <w:p w14:paraId="3537C6AC">
            <w:pPr>
              <w:widowControl/>
              <w:snapToGrid w:val="0"/>
              <w:jc w:val="right"/>
              <w:rPr>
                <w:rFonts w:ascii="宋体" w:hAnsi="宋体" w:cs="宋体"/>
                <w:szCs w:val="21"/>
              </w:rPr>
            </w:pPr>
          </w:p>
        </w:tc>
        <w:tc>
          <w:tcPr>
            <w:tcW w:w="0" w:type="auto"/>
            <w:vAlign w:val="center"/>
          </w:tcPr>
          <w:p w14:paraId="3537C6AD">
            <w:pPr>
              <w:widowControl/>
              <w:snapToGrid w:val="0"/>
              <w:jc w:val="center"/>
              <w:rPr>
                <w:rFonts w:ascii="宋体" w:hAnsi="宋体" w:cs="宋体"/>
                <w:szCs w:val="21"/>
              </w:rPr>
            </w:pPr>
          </w:p>
        </w:tc>
        <w:tc>
          <w:tcPr>
            <w:tcW w:w="583" w:type="dxa"/>
            <w:vAlign w:val="center"/>
          </w:tcPr>
          <w:p w14:paraId="3537C6AE">
            <w:pPr>
              <w:widowControl/>
              <w:snapToGrid w:val="0"/>
              <w:jc w:val="center"/>
              <w:rPr>
                <w:rFonts w:ascii="宋体" w:hAnsi="宋体" w:cs="宋体"/>
                <w:szCs w:val="21"/>
              </w:rPr>
            </w:pPr>
          </w:p>
        </w:tc>
      </w:tr>
      <w:tr w14:paraId="3537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537C6B0">
            <w:pPr>
              <w:widowControl/>
              <w:snapToGrid w:val="0"/>
              <w:jc w:val="left"/>
              <w:rPr>
                <w:rFonts w:ascii="宋体" w:hAnsi="宋体" w:cs="宋体"/>
                <w:szCs w:val="21"/>
              </w:rPr>
            </w:pPr>
            <w:r>
              <w:rPr>
                <w:rFonts w:hint="eastAsia" w:ascii="宋体" w:hAnsi="宋体" w:cs="宋体"/>
                <w:szCs w:val="21"/>
              </w:rPr>
              <w:t>生产制造</w:t>
            </w:r>
          </w:p>
        </w:tc>
        <w:tc>
          <w:tcPr>
            <w:tcW w:w="0" w:type="auto"/>
            <w:vAlign w:val="center"/>
          </w:tcPr>
          <w:p w14:paraId="3537C6B1">
            <w:pPr>
              <w:widowControl/>
              <w:snapToGrid w:val="0"/>
              <w:jc w:val="center"/>
              <w:rPr>
                <w:rFonts w:ascii="宋体" w:hAnsi="宋体" w:cs="宋体"/>
                <w:szCs w:val="21"/>
              </w:rPr>
            </w:pPr>
          </w:p>
        </w:tc>
        <w:tc>
          <w:tcPr>
            <w:tcW w:w="0" w:type="auto"/>
            <w:vAlign w:val="center"/>
          </w:tcPr>
          <w:p w14:paraId="3537C6B2">
            <w:pPr>
              <w:widowControl/>
              <w:snapToGrid w:val="0"/>
              <w:jc w:val="center"/>
              <w:rPr>
                <w:rFonts w:ascii="宋体" w:hAnsi="宋体" w:cs="宋体"/>
                <w:szCs w:val="21"/>
              </w:rPr>
            </w:pPr>
          </w:p>
        </w:tc>
        <w:tc>
          <w:tcPr>
            <w:tcW w:w="0" w:type="auto"/>
            <w:vAlign w:val="center"/>
          </w:tcPr>
          <w:p w14:paraId="3537C6B3">
            <w:pPr>
              <w:widowControl/>
              <w:snapToGrid w:val="0"/>
              <w:jc w:val="right"/>
              <w:rPr>
                <w:rFonts w:ascii="宋体" w:hAnsi="宋体" w:cs="宋体"/>
                <w:szCs w:val="21"/>
              </w:rPr>
            </w:pPr>
          </w:p>
        </w:tc>
        <w:tc>
          <w:tcPr>
            <w:tcW w:w="0" w:type="auto"/>
            <w:vAlign w:val="center"/>
          </w:tcPr>
          <w:p w14:paraId="3537C6B4">
            <w:pPr>
              <w:widowControl/>
              <w:snapToGrid w:val="0"/>
              <w:jc w:val="right"/>
              <w:rPr>
                <w:rFonts w:ascii="宋体" w:hAnsi="宋体" w:cs="宋体"/>
                <w:szCs w:val="21"/>
              </w:rPr>
            </w:pPr>
          </w:p>
        </w:tc>
        <w:tc>
          <w:tcPr>
            <w:tcW w:w="0" w:type="auto"/>
            <w:vAlign w:val="center"/>
          </w:tcPr>
          <w:p w14:paraId="3537C6B5">
            <w:pPr>
              <w:widowControl/>
              <w:snapToGrid w:val="0"/>
              <w:jc w:val="center"/>
              <w:rPr>
                <w:rFonts w:ascii="宋体" w:hAnsi="宋体" w:cs="宋体"/>
                <w:szCs w:val="21"/>
              </w:rPr>
            </w:pPr>
          </w:p>
        </w:tc>
        <w:tc>
          <w:tcPr>
            <w:tcW w:w="583" w:type="dxa"/>
            <w:vAlign w:val="center"/>
          </w:tcPr>
          <w:p w14:paraId="3537C6B6">
            <w:pPr>
              <w:widowControl/>
              <w:snapToGrid w:val="0"/>
              <w:jc w:val="center"/>
              <w:rPr>
                <w:rFonts w:ascii="宋体" w:hAnsi="宋体" w:cs="宋体"/>
                <w:szCs w:val="21"/>
              </w:rPr>
            </w:pPr>
          </w:p>
        </w:tc>
      </w:tr>
      <w:tr w14:paraId="3537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537C6B8">
            <w:pPr>
              <w:widowControl/>
              <w:snapToGrid w:val="0"/>
              <w:jc w:val="left"/>
              <w:rPr>
                <w:rFonts w:ascii="宋体" w:hAnsi="宋体" w:cs="宋体"/>
                <w:szCs w:val="21"/>
              </w:rPr>
            </w:pPr>
            <w:r>
              <w:rPr>
                <w:rFonts w:hint="eastAsia" w:ascii="宋体" w:hAnsi="宋体" w:cs="宋体"/>
                <w:szCs w:val="21"/>
              </w:rPr>
              <w:t>包装过程</w:t>
            </w:r>
          </w:p>
        </w:tc>
        <w:tc>
          <w:tcPr>
            <w:tcW w:w="0" w:type="auto"/>
            <w:vAlign w:val="center"/>
          </w:tcPr>
          <w:p w14:paraId="3537C6B9">
            <w:pPr>
              <w:widowControl/>
              <w:snapToGrid w:val="0"/>
              <w:jc w:val="center"/>
              <w:rPr>
                <w:rFonts w:ascii="宋体" w:hAnsi="宋体" w:cs="宋体"/>
                <w:szCs w:val="21"/>
              </w:rPr>
            </w:pPr>
          </w:p>
        </w:tc>
        <w:tc>
          <w:tcPr>
            <w:tcW w:w="0" w:type="auto"/>
            <w:vAlign w:val="center"/>
          </w:tcPr>
          <w:p w14:paraId="3537C6BA">
            <w:pPr>
              <w:widowControl/>
              <w:snapToGrid w:val="0"/>
              <w:jc w:val="center"/>
              <w:rPr>
                <w:rFonts w:ascii="宋体" w:hAnsi="宋体" w:cs="宋体"/>
                <w:szCs w:val="21"/>
              </w:rPr>
            </w:pPr>
          </w:p>
        </w:tc>
        <w:tc>
          <w:tcPr>
            <w:tcW w:w="0" w:type="auto"/>
            <w:vAlign w:val="center"/>
          </w:tcPr>
          <w:p w14:paraId="3537C6BB">
            <w:pPr>
              <w:widowControl/>
              <w:snapToGrid w:val="0"/>
              <w:jc w:val="right"/>
              <w:rPr>
                <w:rFonts w:ascii="宋体" w:hAnsi="宋体" w:cs="宋体"/>
                <w:szCs w:val="21"/>
              </w:rPr>
            </w:pPr>
          </w:p>
        </w:tc>
        <w:tc>
          <w:tcPr>
            <w:tcW w:w="0" w:type="auto"/>
            <w:vAlign w:val="center"/>
          </w:tcPr>
          <w:p w14:paraId="3537C6BC">
            <w:pPr>
              <w:widowControl/>
              <w:snapToGrid w:val="0"/>
              <w:jc w:val="right"/>
              <w:rPr>
                <w:rFonts w:ascii="宋体" w:hAnsi="宋体" w:cs="宋体"/>
                <w:szCs w:val="21"/>
              </w:rPr>
            </w:pPr>
          </w:p>
        </w:tc>
        <w:tc>
          <w:tcPr>
            <w:tcW w:w="0" w:type="auto"/>
            <w:vAlign w:val="center"/>
          </w:tcPr>
          <w:p w14:paraId="3537C6BD">
            <w:pPr>
              <w:widowControl/>
              <w:snapToGrid w:val="0"/>
              <w:jc w:val="center"/>
              <w:rPr>
                <w:rFonts w:ascii="宋体" w:hAnsi="宋体" w:cs="宋体"/>
                <w:szCs w:val="21"/>
              </w:rPr>
            </w:pPr>
          </w:p>
        </w:tc>
        <w:tc>
          <w:tcPr>
            <w:tcW w:w="583" w:type="dxa"/>
            <w:vAlign w:val="center"/>
          </w:tcPr>
          <w:p w14:paraId="3537C6BE">
            <w:pPr>
              <w:widowControl/>
              <w:snapToGrid w:val="0"/>
              <w:jc w:val="center"/>
              <w:rPr>
                <w:rFonts w:ascii="宋体" w:hAnsi="宋体" w:cs="宋体"/>
                <w:szCs w:val="21"/>
              </w:rPr>
            </w:pPr>
          </w:p>
        </w:tc>
      </w:tr>
      <w:tr w14:paraId="3537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537C6C0">
            <w:pPr>
              <w:widowControl/>
              <w:snapToGrid w:val="0"/>
              <w:jc w:val="left"/>
              <w:rPr>
                <w:rFonts w:ascii="宋体" w:hAnsi="宋体" w:cs="宋体"/>
                <w:szCs w:val="21"/>
              </w:rPr>
            </w:pPr>
            <w:r>
              <w:rPr>
                <w:rFonts w:hint="eastAsia" w:ascii="宋体" w:hAnsi="宋体" w:cs="宋体"/>
                <w:szCs w:val="21"/>
              </w:rPr>
              <w:t>分销运输（如适用）</w:t>
            </w:r>
          </w:p>
        </w:tc>
        <w:tc>
          <w:tcPr>
            <w:tcW w:w="0" w:type="auto"/>
            <w:vAlign w:val="center"/>
          </w:tcPr>
          <w:p w14:paraId="3537C6C1">
            <w:pPr>
              <w:widowControl/>
              <w:snapToGrid w:val="0"/>
              <w:jc w:val="center"/>
              <w:rPr>
                <w:rFonts w:ascii="宋体" w:hAnsi="宋体" w:cs="宋体"/>
                <w:szCs w:val="21"/>
              </w:rPr>
            </w:pPr>
          </w:p>
        </w:tc>
        <w:tc>
          <w:tcPr>
            <w:tcW w:w="0" w:type="auto"/>
            <w:vAlign w:val="center"/>
          </w:tcPr>
          <w:p w14:paraId="3537C6C2">
            <w:pPr>
              <w:widowControl/>
              <w:snapToGrid w:val="0"/>
              <w:jc w:val="center"/>
              <w:rPr>
                <w:rFonts w:ascii="宋体" w:hAnsi="宋体" w:cs="宋体"/>
                <w:szCs w:val="21"/>
              </w:rPr>
            </w:pPr>
          </w:p>
        </w:tc>
        <w:tc>
          <w:tcPr>
            <w:tcW w:w="0" w:type="auto"/>
            <w:vAlign w:val="center"/>
          </w:tcPr>
          <w:p w14:paraId="3537C6C3">
            <w:pPr>
              <w:widowControl/>
              <w:snapToGrid w:val="0"/>
              <w:jc w:val="right"/>
              <w:rPr>
                <w:rFonts w:ascii="宋体" w:hAnsi="宋体" w:cs="宋体"/>
                <w:szCs w:val="21"/>
              </w:rPr>
            </w:pPr>
          </w:p>
        </w:tc>
        <w:tc>
          <w:tcPr>
            <w:tcW w:w="0" w:type="auto"/>
            <w:vAlign w:val="center"/>
          </w:tcPr>
          <w:p w14:paraId="3537C6C4">
            <w:pPr>
              <w:widowControl/>
              <w:snapToGrid w:val="0"/>
              <w:jc w:val="right"/>
              <w:rPr>
                <w:rFonts w:ascii="宋体" w:hAnsi="宋体" w:cs="宋体"/>
                <w:szCs w:val="21"/>
              </w:rPr>
            </w:pPr>
          </w:p>
        </w:tc>
        <w:tc>
          <w:tcPr>
            <w:tcW w:w="0" w:type="auto"/>
            <w:vAlign w:val="center"/>
          </w:tcPr>
          <w:p w14:paraId="3537C6C5">
            <w:pPr>
              <w:widowControl/>
              <w:snapToGrid w:val="0"/>
              <w:jc w:val="center"/>
              <w:rPr>
                <w:rFonts w:ascii="宋体" w:hAnsi="宋体" w:cs="宋体"/>
                <w:szCs w:val="21"/>
              </w:rPr>
            </w:pPr>
          </w:p>
        </w:tc>
        <w:tc>
          <w:tcPr>
            <w:tcW w:w="583" w:type="dxa"/>
            <w:vAlign w:val="center"/>
          </w:tcPr>
          <w:p w14:paraId="3537C6C6">
            <w:pPr>
              <w:widowControl/>
              <w:snapToGrid w:val="0"/>
              <w:jc w:val="center"/>
              <w:rPr>
                <w:rFonts w:ascii="宋体" w:hAnsi="宋体" w:cs="宋体"/>
                <w:szCs w:val="21"/>
              </w:rPr>
            </w:pPr>
          </w:p>
        </w:tc>
      </w:tr>
      <w:tr w14:paraId="3537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537C6C8">
            <w:pPr>
              <w:widowControl/>
              <w:snapToGrid w:val="0"/>
              <w:jc w:val="left"/>
              <w:rPr>
                <w:rFonts w:ascii="宋体" w:hAnsi="宋体" w:cs="宋体"/>
                <w:szCs w:val="21"/>
              </w:rPr>
            </w:pPr>
            <w:r>
              <w:rPr>
                <w:rFonts w:hint="eastAsia" w:ascii="宋体" w:hAnsi="宋体" w:cs="宋体"/>
                <w:szCs w:val="21"/>
              </w:rPr>
              <w:t>使用阶段（如适用）</w:t>
            </w:r>
          </w:p>
        </w:tc>
        <w:tc>
          <w:tcPr>
            <w:tcW w:w="0" w:type="auto"/>
            <w:vAlign w:val="center"/>
          </w:tcPr>
          <w:p w14:paraId="3537C6C9">
            <w:pPr>
              <w:widowControl/>
              <w:snapToGrid w:val="0"/>
              <w:jc w:val="center"/>
              <w:rPr>
                <w:rFonts w:ascii="宋体" w:hAnsi="宋体" w:cs="宋体"/>
                <w:szCs w:val="21"/>
              </w:rPr>
            </w:pPr>
          </w:p>
        </w:tc>
        <w:tc>
          <w:tcPr>
            <w:tcW w:w="0" w:type="auto"/>
            <w:vAlign w:val="center"/>
          </w:tcPr>
          <w:p w14:paraId="3537C6CA">
            <w:pPr>
              <w:widowControl/>
              <w:snapToGrid w:val="0"/>
              <w:jc w:val="center"/>
              <w:rPr>
                <w:rFonts w:ascii="宋体" w:hAnsi="宋体" w:cs="宋体"/>
                <w:szCs w:val="21"/>
              </w:rPr>
            </w:pPr>
          </w:p>
        </w:tc>
        <w:tc>
          <w:tcPr>
            <w:tcW w:w="0" w:type="auto"/>
            <w:vAlign w:val="center"/>
          </w:tcPr>
          <w:p w14:paraId="3537C6CB">
            <w:pPr>
              <w:widowControl/>
              <w:snapToGrid w:val="0"/>
              <w:jc w:val="right"/>
              <w:rPr>
                <w:rFonts w:ascii="宋体" w:hAnsi="宋体" w:cs="宋体"/>
                <w:szCs w:val="21"/>
              </w:rPr>
            </w:pPr>
          </w:p>
        </w:tc>
        <w:tc>
          <w:tcPr>
            <w:tcW w:w="0" w:type="auto"/>
            <w:vAlign w:val="center"/>
          </w:tcPr>
          <w:p w14:paraId="3537C6CC">
            <w:pPr>
              <w:widowControl/>
              <w:snapToGrid w:val="0"/>
              <w:jc w:val="right"/>
              <w:rPr>
                <w:rFonts w:ascii="宋体" w:hAnsi="宋体" w:cs="宋体"/>
                <w:szCs w:val="21"/>
              </w:rPr>
            </w:pPr>
          </w:p>
        </w:tc>
        <w:tc>
          <w:tcPr>
            <w:tcW w:w="0" w:type="auto"/>
            <w:vAlign w:val="center"/>
          </w:tcPr>
          <w:p w14:paraId="3537C6CD">
            <w:pPr>
              <w:widowControl/>
              <w:snapToGrid w:val="0"/>
              <w:jc w:val="center"/>
              <w:rPr>
                <w:rFonts w:ascii="宋体" w:hAnsi="宋体" w:cs="宋体"/>
                <w:szCs w:val="21"/>
              </w:rPr>
            </w:pPr>
          </w:p>
        </w:tc>
        <w:tc>
          <w:tcPr>
            <w:tcW w:w="583" w:type="dxa"/>
            <w:vAlign w:val="center"/>
          </w:tcPr>
          <w:p w14:paraId="3537C6CE">
            <w:pPr>
              <w:widowControl/>
              <w:snapToGrid w:val="0"/>
              <w:jc w:val="center"/>
              <w:rPr>
                <w:rFonts w:ascii="宋体" w:hAnsi="宋体" w:cs="宋体"/>
                <w:szCs w:val="21"/>
              </w:rPr>
            </w:pPr>
          </w:p>
        </w:tc>
      </w:tr>
      <w:tr w14:paraId="3537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537C6D0">
            <w:pPr>
              <w:widowControl/>
              <w:snapToGrid w:val="0"/>
              <w:jc w:val="left"/>
              <w:rPr>
                <w:rFonts w:ascii="宋体" w:hAnsi="宋体" w:cs="宋体"/>
                <w:szCs w:val="21"/>
              </w:rPr>
            </w:pPr>
            <w:r>
              <w:rPr>
                <w:rFonts w:hint="eastAsia" w:ascii="宋体" w:hAnsi="宋体" w:cs="宋体"/>
                <w:szCs w:val="21"/>
              </w:rPr>
              <w:t>生命末期（如适用）</w:t>
            </w:r>
          </w:p>
        </w:tc>
        <w:tc>
          <w:tcPr>
            <w:tcW w:w="0" w:type="auto"/>
            <w:vAlign w:val="center"/>
          </w:tcPr>
          <w:p w14:paraId="3537C6D1">
            <w:pPr>
              <w:widowControl/>
              <w:snapToGrid w:val="0"/>
              <w:jc w:val="center"/>
              <w:rPr>
                <w:rFonts w:ascii="宋体" w:hAnsi="宋体" w:cs="宋体"/>
                <w:szCs w:val="21"/>
              </w:rPr>
            </w:pPr>
          </w:p>
        </w:tc>
        <w:tc>
          <w:tcPr>
            <w:tcW w:w="0" w:type="auto"/>
            <w:vAlign w:val="center"/>
          </w:tcPr>
          <w:p w14:paraId="3537C6D2">
            <w:pPr>
              <w:widowControl/>
              <w:snapToGrid w:val="0"/>
              <w:jc w:val="center"/>
              <w:rPr>
                <w:rFonts w:ascii="宋体" w:hAnsi="宋体" w:cs="宋体"/>
                <w:szCs w:val="21"/>
              </w:rPr>
            </w:pPr>
          </w:p>
        </w:tc>
        <w:tc>
          <w:tcPr>
            <w:tcW w:w="0" w:type="auto"/>
            <w:vAlign w:val="center"/>
          </w:tcPr>
          <w:p w14:paraId="3537C6D3">
            <w:pPr>
              <w:widowControl/>
              <w:snapToGrid w:val="0"/>
              <w:jc w:val="right"/>
              <w:rPr>
                <w:rFonts w:ascii="宋体" w:hAnsi="宋体" w:cs="宋体"/>
                <w:szCs w:val="21"/>
              </w:rPr>
            </w:pPr>
          </w:p>
        </w:tc>
        <w:tc>
          <w:tcPr>
            <w:tcW w:w="0" w:type="auto"/>
            <w:vAlign w:val="center"/>
          </w:tcPr>
          <w:p w14:paraId="3537C6D4">
            <w:pPr>
              <w:widowControl/>
              <w:snapToGrid w:val="0"/>
              <w:jc w:val="right"/>
              <w:rPr>
                <w:rFonts w:ascii="宋体" w:hAnsi="宋体" w:cs="宋体"/>
                <w:szCs w:val="21"/>
              </w:rPr>
            </w:pPr>
          </w:p>
        </w:tc>
        <w:tc>
          <w:tcPr>
            <w:tcW w:w="0" w:type="auto"/>
            <w:vAlign w:val="center"/>
          </w:tcPr>
          <w:p w14:paraId="3537C6D5">
            <w:pPr>
              <w:widowControl/>
              <w:snapToGrid w:val="0"/>
              <w:jc w:val="center"/>
              <w:rPr>
                <w:rFonts w:ascii="宋体" w:hAnsi="宋体" w:cs="宋体"/>
                <w:szCs w:val="21"/>
              </w:rPr>
            </w:pPr>
          </w:p>
        </w:tc>
        <w:tc>
          <w:tcPr>
            <w:tcW w:w="583" w:type="dxa"/>
            <w:vAlign w:val="center"/>
          </w:tcPr>
          <w:p w14:paraId="3537C6D6">
            <w:pPr>
              <w:widowControl/>
              <w:snapToGrid w:val="0"/>
              <w:jc w:val="center"/>
              <w:rPr>
                <w:rFonts w:ascii="宋体" w:hAnsi="宋体" w:cs="宋体"/>
                <w:szCs w:val="21"/>
              </w:rPr>
            </w:pPr>
          </w:p>
        </w:tc>
      </w:tr>
      <w:tr w14:paraId="3537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3537C6D8">
            <w:pPr>
              <w:widowControl/>
              <w:snapToGrid w:val="0"/>
              <w:jc w:val="left"/>
              <w:rPr>
                <w:rFonts w:ascii="宋体" w:hAnsi="宋体" w:cs="宋体"/>
                <w:szCs w:val="21"/>
              </w:rPr>
            </w:pPr>
            <w:r>
              <w:rPr>
                <w:rFonts w:hint="eastAsia" w:ascii="宋体" w:hAnsi="宋体" w:cs="宋体"/>
                <w:szCs w:val="21"/>
              </w:rPr>
              <w:t>产品总碳足迹</w:t>
            </w:r>
          </w:p>
        </w:tc>
        <w:tc>
          <w:tcPr>
            <w:tcW w:w="1483" w:type="dxa"/>
            <w:vAlign w:val="center"/>
          </w:tcPr>
          <w:p w14:paraId="3537C6D9">
            <w:pPr>
              <w:widowControl/>
              <w:snapToGrid w:val="0"/>
              <w:jc w:val="center"/>
              <w:rPr>
                <w:rFonts w:ascii="宋体" w:hAnsi="宋体" w:cs="宋体"/>
                <w:szCs w:val="21"/>
              </w:rPr>
            </w:pPr>
          </w:p>
        </w:tc>
        <w:tc>
          <w:tcPr>
            <w:tcW w:w="1136" w:type="dxa"/>
            <w:vAlign w:val="center"/>
          </w:tcPr>
          <w:p w14:paraId="3537C6DA">
            <w:pPr>
              <w:widowControl/>
              <w:snapToGrid w:val="0"/>
              <w:jc w:val="center"/>
              <w:rPr>
                <w:rFonts w:ascii="宋体" w:hAnsi="宋体" w:cs="宋体"/>
                <w:szCs w:val="21"/>
              </w:rPr>
            </w:pPr>
          </w:p>
        </w:tc>
        <w:tc>
          <w:tcPr>
            <w:tcW w:w="2310" w:type="dxa"/>
            <w:vAlign w:val="center"/>
          </w:tcPr>
          <w:p w14:paraId="3537C6DB">
            <w:pPr>
              <w:widowControl/>
              <w:snapToGrid w:val="0"/>
              <w:jc w:val="right"/>
              <w:rPr>
                <w:rFonts w:ascii="宋体" w:hAnsi="宋体" w:cs="宋体"/>
                <w:szCs w:val="21"/>
              </w:rPr>
            </w:pPr>
          </w:p>
        </w:tc>
        <w:tc>
          <w:tcPr>
            <w:tcW w:w="841" w:type="dxa"/>
            <w:vAlign w:val="center"/>
          </w:tcPr>
          <w:p w14:paraId="3537C6DC">
            <w:pPr>
              <w:widowControl/>
              <w:snapToGrid w:val="0"/>
              <w:jc w:val="right"/>
              <w:rPr>
                <w:rFonts w:ascii="宋体" w:hAnsi="宋体" w:cs="宋体"/>
                <w:szCs w:val="21"/>
              </w:rPr>
            </w:pPr>
          </w:p>
        </w:tc>
        <w:tc>
          <w:tcPr>
            <w:tcW w:w="1513" w:type="dxa"/>
            <w:vAlign w:val="center"/>
          </w:tcPr>
          <w:p w14:paraId="3537C6DD">
            <w:pPr>
              <w:widowControl/>
              <w:snapToGrid w:val="0"/>
              <w:jc w:val="center"/>
              <w:rPr>
                <w:rFonts w:ascii="宋体" w:hAnsi="宋体" w:cs="宋体"/>
                <w:szCs w:val="21"/>
              </w:rPr>
            </w:pPr>
          </w:p>
        </w:tc>
        <w:tc>
          <w:tcPr>
            <w:tcW w:w="583" w:type="dxa"/>
            <w:vAlign w:val="center"/>
          </w:tcPr>
          <w:p w14:paraId="3537C6DE">
            <w:pPr>
              <w:widowControl/>
              <w:snapToGrid w:val="0"/>
              <w:jc w:val="center"/>
              <w:rPr>
                <w:rFonts w:ascii="宋体" w:hAnsi="宋体" w:cs="宋体"/>
                <w:szCs w:val="21"/>
              </w:rPr>
            </w:pPr>
          </w:p>
        </w:tc>
      </w:tr>
    </w:tbl>
    <w:p w14:paraId="3537C6E0">
      <w:pPr>
        <w:widowControl/>
        <w:spacing w:line="400" w:lineRule="exact"/>
        <w:ind w:firstLine="420" w:firstLineChars="200"/>
        <w:rPr>
          <w:rFonts w:ascii="宋体" w:hAnsi="宋体" w:cs="宋体"/>
          <w:szCs w:val="21"/>
        </w:rPr>
      </w:pPr>
      <w:r>
        <w:rPr>
          <w:rFonts w:hint="eastAsia" w:ascii="宋体" w:hAnsi="宋体" w:cs="宋体"/>
          <w:szCs w:val="21"/>
        </w:rPr>
        <w:t>说明：企业可根据产品类型、系统边界和披露需要，对上述字段进行增删；如需与PACT或其他平台对接，可在不改变字段含义的前提下增加映射字段。</w:t>
      </w:r>
    </w:p>
    <w:p w14:paraId="3537C6E1">
      <w:pPr>
        <w:rPr>
          <w:rFonts w:ascii="宋体" w:hAnsi="宋体" w:cs="宋体"/>
          <w:szCs w:val="21"/>
        </w:rPr>
        <w:sectPr>
          <w:pgSz w:w="12240" w:h="15840"/>
          <w:pgMar w:top="1134" w:right="1247" w:bottom="1134" w:left="1247" w:header="720" w:footer="720" w:gutter="0"/>
          <w:cols w:space="720" w:num="1"/>
          <w:docGrid w:linePitch="360" w:charSpace="0"/>
        </w:sectPr>
      </w:pPr>
    </w:p>
    <w:p w14:paraId="3537C6E2">
      <w:pPr>
        <w:pStyle w:val="2"/>
        <w:jc w:val="center"/>
        <w:rPr>
          <w:rFonts w:ascii="宋体" w:hAnsi="宋体" w:eastAsia="宋体" w:cs="宋体"/>
          <w:sz w:val="21"/>
          <w:szCs w:val="21"/>
        </w:rPr>
      </w:pPr>
      <w:bookmarkStart w:id="88" w:name="_Toc7978"/>
      <w:r>
        <w:rPr>
          <w:rFonts w:hint="eastAsia" w:ascii="宋体" w:hAnsi="宋体" w:eastAsia="宋体" w:cs="宋体"/>
          <w:sz w:val="21"/>
          <w:szCs w:val="21"/>
        </w:rPr>
        <w:t>附录C 全球变暖潜势（GWP）</w:t>
      </w:r>
      <w:bookmarkEnd w:id="88"/>
    </w:p>
    <w:p w14:paraId="3537C6E3">
      <w:pPr>
        <w:pStyle w:val="4"/>
        <w:widowControl/>
        <w:spacing w:beforeAutospacing="0" w:afterAutospacing="0" w:line="400" w:lineRule="exact"/>
        <w:ind w:firstLine="422" w:firstLineChars="200"/>
        <w:jc w:val="both"/>
        <w:rPr>
          <w:rFonts w:hint="default" w:cs="宋体"/>
          <w:bCs w:val="0"/>
          <w:sz w:val="21"/>
          <w:szCs w:val="21"/>
          <w:lang w:eastAsia="en-US"/>
        </w:rPr>
      </w:pPr>
      <w:r>
        <w:rPr>
          <w:rFonts w:cs="宋体"/>
          <w:bCs w:val="0"/>
          <w:sz w:val="21"/>
          <w:szCs w:val="21"/>
          <w:lang w:eastAsia="en-US"/>
        </w:rPr>
        <w:t>C.1 概述</w:t>
      </w:r>
    </w:p>
    <w:p w14:paraId="3537C6E4">
      <w:pPr>
        <w:pStyle w:val="35"/>
        <w:widowControl/>
        <w:spacing w:beforeAutospacing="0" w:afterAutospacing="0" w:line="400" w:lineRule="exact"/>
        <w:ind w:firstLine="420" w:firstLineChars="200"/>
        <w:jc w:val="both"/>
        <w:rPr>
          <w:rFonts w:ascii="宋体" w:hAnsi="宋体" w:cs="宋体"/>
          <w:sz w:val="21"/>
          <w:szCs w:val="21"/>
        </w:rPr>
      </w:pPr>
      <w:r>
        <w:rPr>
          <w:rFonts w:hint="eastAsia" w:ascii="宋体" w:hAnsi="宋体" w:cs="宋体"/>
          <w:sz w:val="21"/>
          <w:szCs w:val="21"/>
        </w:rPr>
        <w:t>本附录提供常见温室气体的全球变暖潜势（Global Warming Potential，GWP）参考值，用于将产品碳足迹核算中不同温室气体排放量或清除量统一换算为二氧化碳当量（CO₂e）。</w:t>
      </w:r>
    </w:p>
    <w:p w14:paraId="3537C6E5">
      <w:pPr>
        <w:pStyle w:val="35"/>
        <w:widowControl/>
        <w:spacing w:beforeAutospacing="0" w:afterAutospacing="0" w:line="400" w:lineRule="exact"/>
        <w:ind w:firstLine="420" w:firstLineChars="200"/>
        <w:jc w:val="both"/>
        <w:rPr>
          <w:rFonts w:ascii="宋体" w:hAnsi="宋体" w:cs="宋体"/>
          <w:sz w:val="21"/>
          <w:szCs w:val="21"/>
        </w:rPr>
      </w:pPr>
      <w:r>
        <w:rPr>
          <w:rFonts w:hint="eastAsia" w:ascii="宋体" w:hAnsi="宋体" w:cs="宋体"/>
          <w:sz w:val="21"/>
          <w:szCs w:val="21"/>
        </w:rPr>
        <w:t>正文中涉及温室气体排放量与清除量换算时，应按本附录所列GWP系数执行。</w:t>
      </w:r>
    </w:p>
    <w:p w14:paraId="3537C6E6">
      <w:pPr>
        <w:pStyle w:val="35"/>
        <w:widowControl/>
        <w:spacing w:beforeAutospacing="0" w:afterAutospacing="0" w:line="400" w:lineRule="exact"/>
        <w:ind w:firstLine="420" w:firstLineChars="200"/>
        <w:jc w:val="both"/>
        <w:rPr>
          <w:rFonts w:ascii="宋体" w:hAnsi="宋体" w:cs="宋体"/>
          <w:sz w:val="21"/>
          <w:szCs w:val="21"/>
        </w:rPr>
      </w:pPr>
      <w:r>
        <w:rPr>
          <w:rFonts w:hint="eastAsia" w:ascii="宋体" w:hAnsi="宋体" w:cs="宋体"/>
          <w:sz w:val="21"/>
          <w:szCs w:val="21"/>
        </w:rPr>
        <w:t>除非另有说明，本标准建议采用政府间气候变化专门委员会（IPCC）第六次评估报告（AR6）发布的100年时间尺度全球变暖潜势（GWP100）。</w:t>
      </w:r>
    </w:p>
    <w:p w14:paraId="3537C6E7">
      <w:pPr>
        <w:pStyle w:val="4"/>
        <w:widowControl/>
        <w:spacing w:beforeAutospacing="0" w:afterAutospacing="0" w:line="400" w:lineRule="exact"/>
        <w:ind w:firstLine="422" w:firstLineChars="200"/>
        <w:jc w:val="both"/>
        <w:rPr>
          <w:rFonts w:hint="default" w:cs="宋体"/>
          <w:bCs w:val="0"/>
          <w:sz w:val="21"/>
          <w:szCs w:val="21"/>
        </w:rPr>
      </w:pPr>
      <w:r>
        <w:rPr>
          <w:rFonts w:cs="宋体"/>
          <w:bCs w:val="0"/>
          <w:sz w:val="21"/>
          <w:szCs w:val="21"/>
        </w:rPr>
        <w:t>C.2 全球变暖潜势参考值</w:t>
      </w:r>
    </w:p>
    <w:p w14:paraId="3537C6E8">
      <w:pPr>
        <w:pStyle w:val="35"/>
        <w:widowControl/>
        <w:spacing w:beforeAutospacing="0" w:afterAutospacing="0" w:line="400" w:lineRule="exact"/>
        <w:ind w:firstLine="420" w:firstLineChars="200"/>
        <w:jc w:val="both"/>
        <w:rPr>
          <w:rFonts w:ascii="宋体" w:hAnsi="宋体" w:cs="宋体"/>
          <w:sz w:val="21"/>
          <w:szCs w:val="21"/>
        </w:rPr>
      </w:pPr>
      <w:r>
        <w:rPr>
          <w:rFonts w:hint="eastAsia" w:ascii="宋体" w:hAnsi="宋体" w:cs="宋体"/>
          <w:sz w:val="21"/>
          <w:szCs w:val="21"/>
        </w:rPr>
        <w:t>表C.1列示了常见温室气体的GWP100参考值。</w:t>
      </w:r>
    </w:p>
    <w:p w14:paraId="3537C6E9">
      <w:pPr>
        <w:pStyle w:val="5"/>
        <w:keepNext w:val="0"/>
        <w:keepLines w:val="0"/>
        <w:widowControl/>
        <w:spacing w:after="0" w:line="400" w:lineRule="exact"/>
        <w:ind w:firstLine="422" w:firstLineChars="200"/>
        <w:jc w:val="center"/>
        <w:rPr>
          <w:rFonts w:ascii="宋体" w:hAnsi="宋体" w:eastAsia="宋体" w:cs="宋体"/>
          <w:b w:val="0"/>
          <w:sz w:val="21"/>
          <w:szCs w:val="21"/>
        </w:rPr>
      </w:pPr>
      <w:r>
        <w:rPr>
          <w:rFonts w:hint="eastAsia" w:ascii="宋体" w:hAnsi="宋体" w:eastAsia="宋体" w:cs="宋体"/>
          <w:bCs w:val="0"/>
          <w:sz w:val="21"/>
          <w:szCs w:val="21"/>
        </w:rPr>
        <w:t>表C.1 常见温室气体全球变暖潜势（GWP100）</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4"/>
        <w:gridCol w:w="2766"/>
        <w:gridCol w:w="2766"/>
      </w:tblGrid>
      <w:tr w14:paraId="3537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F5F5F5"/>
            <w:vAlign w:val="center"/>
          </w:tcPr>
          <w:p w14:paraId="3537C6EA">
            <w:pPr>
              <w:widowControl/>
              <w:snapToGrid w:val="0"/>
              <w:jc w:val="center"/>
              <w:rPr>
                <w:rFonts w:ascii="宋体" w:hAnsi="宋体" w:cs="宋体"/>
                <w:b/>
                <w:bCs/>
                <w:szCs w:val="21"/>
              </w:rPr>
            </w:pPr>
            <w:r>
              <w:rPr>
                <w:rFonts w:hint="eastAsia" w:ascii="宋体" w:hAnsi="宋体" w:cs="宋体"/>
                <w:b/>
                <w:bCs/>
                <w:kern w:val="0"/>
                <w:szCs w:val="21"/>
                <w:lang w:bidi="ar"/>
              </w:rPr>
              <w:t>气体名称</w:t>
            </w:r>
          </w:p>
        </w:tc>
        <w:tc>
          <w:tcPr>
            <w:tcW w:w="2769" w:type="dxa"/>
            <w:shd w:val="clear" w:color="auto" w:fill="F5F5F5"/>
            <w:vAlign w:val="center"/>
          </w:tcPr>
          <w:p w14:paraId="3537C6EB">
            <w:pPr>
              <w:widowControl/>
              <w:snapToGrid w:val="0"/>
              <w:jc w:val="center"/>
              <w:rPr>
                <w:rFonts w:ascii="宋体" w:hAnsi="宋体" w:cs="宋体"/>
                <w:b/>
                <w:bCs/>
                <w:szCs w:val="21"/>
              </w:rPr>
            </w:pPr>
            <w:r>
              <w:rPr>
                <w:rFonts w:hint="eastAsia" w:ascii="宋体" w:hAnsi="宋体" w:cs="宋体"/>
                <w:b/>
                <w:bCs/>
                <w:kern w:val="0"/>
                <w:szCs w:val="21"/>
                <w:lang w:bidi="ar"/>
              </w:rPr>
              <w:t>化学式</w:t>
            </w:r>
          </w:p>
        </w:tc>
        <w:tc>
          <w:tcPr>
            <w:tcW w:w="2769" w:type="dxa"/>
            <w:shd w:val="clear" w:color="auto" w:fill="F5F5F5"/>
            <w:vAlign w:val="center"/>
          </w:tcPr>
          <w:p w14:paraId="3537C6EC">
            <w:pPr>
              <w:widowControl/>
              <w:snapToGrid w:val="0"/>
              <w:jc w:val="center"/>
              <w:rPr>
                <w:rFonts w:ascii="宋体" w:hAnsi="宋体" w:cs="宋体"/>
                <w:b/>
                <w:bCs/>
                <w:szCs w:val="21"/>
              </w:rPr>
            </w:pPr>
            <w:r>
              <w:rPr>
                <w:rFonts w:hint="eastAsia" w:ascii="宋体" w:hAnsi="宋体" w:cs="宋体"/>
                <w:b/>
                <w:bCs/>
                <w:kern w:val="0"/>
                <w:szCs w:val="21"/>
                <w:lang w:bidi="ar"/>
              </w:rPr>
              <w:t>GWP（100年）</w:t>
            </w:r>
          </w:p>
        </w:tc>
      </w:tr>
      <w:tr w14:paraId="3537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vAlign w:val="center"/>
          </w:tcPr>
          <w:p w14:paraId="3537C6EE">
            <w:pPr>
              <w:widowControl/>
              <w:snapToGrid w:val="0"/>
              <w:jc w:val="center"/>
              <w:rPr>
                <w:rFonts w:ascii="宋体" w:hAnsi="宋体" w:cs="宋体"/>
                <w:szCs w:val="21"/>
              </w:rPr>
            </w:pPr>
            <w:r>
              <w:rPr>
                <w:rFonts w:hint="eastAsia" w:ascii="宋体" w:hAnsi="宋体" w:cs="宋体"/>
                <w:kern w:val="0"/>
                <w:szCs w:val="21"/>
                <w:lang w:bidi="ar"/>
              </w:rPr>
              <w:t>二氧化碳</w:t>
            </w:r>
          </w:p>
        </w:tc>
        <w:tc>
          <w:tcPr>
            <w:tcW w:w="2769" w:type="dxa"/>
            <w:vAlign w:val="center"/>
          </w:tcPr>
          <w:p w14:paraId="3537C6EF">
            <w:pPr>
              <w:widowControl/>
              <w:snapToGrid w:val="0"/>
              <w:jc w:val="center"/>
              <w:rPr>
                <w:rFonts w:ascii="宋体" w:hAnsi="宋体" w:cs="宋体"/>
                <w:szCs w:val="21"/>
              </w:rPr>
            </w:pPr>
            <w:r>
              <w:rPr>
                <w:rFonts w:hint="eastAsia" w:ascii="宋体" w:hAnsi="宋体" w:cs="宋体"/>
                <w:kern w:val="0"/>
                <w:szCs w:val="21"/>
                <w:lang w:bidi="ar"/>
              </w:rPr>
              <w:t>CO₂</w:t>
            </w:r>
          </w:p>
        </w:tc>
        <w:tc>
          <w:tcPr>
            <w:tcW w:w="2769" w:type="dxa"/>
            <w:vAlign w:val="center"/>
          </w:tcPr>
          <w:p w14:paraId="3537C6F0">
            <w:pPr>
              <w:widowControl/>
              <w:snapToGrid w:val="0"/>
              <w:jc w:val="center"/>
              <w:rPr>
                <w:rFonts w:ascii="宋体" w:hAnsi="宋体" w:cs="宋体"/>
                <w:szCs w:val="21"/>
              </w:rPr>
            </w:pPr>
            <w:r>
              <w:rPr>
                <w:rFonts w:hint="eastAsia" w:ascii="宋体" w:hAnsi="宋体" w:cs="宋体"/>
                <w:kern w:val="0"/>
                <w:szCs w:val="21"/>
                <w:lang w:bidi="ar"/>
              </w:rPr>
              <w:t>1</w:t>
            </w:r>
          </w:p>
        </w:tc>
      </w:tr>
      <w:tr w14:paraId="3537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vAlign w:val="center"/>
          </w:tcPr>
          <w:p w14:paraId="3537C6F2">
            <w:pPr>
              <w:widowControl/>
              <w:snapToGrid w:val="0"/>
              <w:jc w:val="center"/>
              <w:rPr>
                <w:rFonts w:ascii="宋体" w:hAnsi="宋体" w:cs="宋体"/>
                <w:szCs w:val="21"/>
              </w:rPr>
            </w:pPr>
            <w:r>
              <w:rPr>
                <w:rFonts w:hint="eastAsia" w:ascii="宋体" w:hAnsi="宋体" w:cs="宋体"/>
                <w:kern w:val="0"/>
                <w:szCs w:val="21"/>
                <w:lang w:bidi="ar"/>
              </w:rPr>
              <w:t>甲烷</w:t>
            </w:r>
          </w:p>
        </w:tc>
        <w:tc>
          <w:tcPr>
            <w:tcW w:w="2769" w:type="dxa"/>
            <w:vAlign w:val="center"/>
          </w:tcPr>
          <w:p w14:paraId="3537C6F3">
            <w:pPr>
              <w:widowControl/>
              <w:snapToGrid w:val="0"/>
              <w:jc w:val="center"/>
              <w:rPr>
                <w:rFonts w:ascii="宋体" w:hAnsi="宋体" w:cs="宋体"/>
                <w:szCs w:val="21"/>
              </w:rPr>
            </w:pPr>
            <w:r>
              <w:rPr>
                <w:rFonts w:hint="eastAsia" w:ascii="宋体" w:hAnsi="宋体" w:cs="宋体"/>
                <w:kern w:val="0"/>
                <w:szCs w:val="21"/>
                <w:lang w:bidi="ar"/>
              </w:rPr>
              <w:t>CH₄</w:t>
            </w:r>
          </w:p>
        </w:tc>
        <w:tc>
          <w:tcPr>
            <w:tcW w:w="2769" w:type="dxa"/>
            <w:vAlign w:val="center"/>
          </w:tcPr>
          <w:p w14:paraId="3537C6F4">
            <w:pPr>
              <w:widowControl/>
              <w:snapToGrid w:val="0"/>
              <w:jc w:val="center"/>
              <w:rPr>
                <w:rFonts w:ascii="宋体" w:hAnsi="宋体" w:cs="宋体"/>
                <w:szCs w:val="21"/>
              </w:rPr>
            </w:pPr>
            <w:r>
              <w:rPr>
                <w:rFonts w:hint="eastAsia" w:ascii="宋体" w:hAnsi="宋体" w:cs="宋体"/>
                <w:kern w:val="0"/>
                <w:szCs w:val="21"/>
                <w:lang w:bidi="ar"/>
              </w:rPr>
              <w:t>27.9</w:t>
            </w:r>
          </w:p>
        </w:tc>
      </w:tr>
      <w:tr w14:paraId="3537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vAlign w:val="center"/>
          </w:tcPr>
          <w:p w14:paraId="3537C6F6">
            <w:pPr>
              <w:widowControl/>
              <w:snapToGrid w:val="0"/>
              <w:jc w:val="center"/>
              <w:rPr>
                <w:rFonts w:ascii="宋体" w:hAnsi="宋体" w:cs="宋体"/>
                <w:szCs w:val="21"/>
              </w:rPr>
            </w:pPr>
            <w:r>
              <w:rPr>
                <w:rFonts w:hint="eastAsia" w:ascii="宋体" w:hAnsi="宋体" w:cs="宋体"/>
                <w:kern w:val="0"/>
                <w:szCs w:val="21"/>
                <w:lang w:bidi="ar"/>
              </w:rPr>
              <w:t>氧化亚氮</w:t>
            </w:r>
          </w:p>
        </w:tc>
        <w:tc>
          <w:tcPr>
            <w:tcW w:w="2769" w:type="dxa"/>
            <w:vAlign w:val="center"/>
          </w:tcPr>
          <w:p w14:paraId="3537C6F7">
            <w:pPr>
              <w:widowControl/>
              <w:snapToGrid w:val="0"/>
              <w:jc w:val="center"/>
              <w:rPr>
                <w:rFonts w:ascii="宋体" w:hAnsi="宋体" w:cs="宋体"/>
                <w:szCs w:val="21"/>
              </w:rPr>
            </w:pPr>
            <w:r>
              <w:rPr>
                <w:rFonts w:hint="eastAsia" w:ascii="宋体" w:hAnsi="宋体" w:cs="宋体"/>
                <w:kern w:val="0"/>
                <w:szCs w:val="21"/>
                <w:lang w:bidi="ar"/>
              </w:rPr>
              <w:t>N₂O</w:t>
            </w:r>
          </w:p>
        </w:tc>
        <w:tc>
          <w:tcPr>
            <w:tcW w:w="2769" w:type="dxa"/>
            <w:vAlign w:val="center"/>
          </w:tcPr>
          <w:p w14:paraId="3537C6F8">
            <w:pPr>
              <w:widowControl/>
              <w:snapToGrid w:val="0"/>
              <w:jc w:val="center"/>
              <w:rPr>
                <w:rFonts w:ascii="宋体" w:hAnsi="宋体" w:cs="宋体"/>
                <w:szCs w:val="21"/>
              </w:rPr>
            </w:pPr>
            <w:r>
              <w:rPr>
                <w:rFonts w:hint="eastAsia" w:ascii="宋体" w:hAnsi="宋体" w:cs="宋体"/>
                <w:kern w:val="0"/>
                <w:szCs w:val="21"/>
                <w:lang w:bidi="ar"/>
              </w:rPr>
              <w:t>273</w:t>
            </w:r>
          </w:p>
        </w:tc>
      </w:tr>
      <w:tr w14:paraId="3537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vAlign w:val="center"/>
          </w:tcPr>
          <w:p w14:paraId="3537C6FA">
            <w:pPr>
              <w:widowControl/>
              <w:snapToGrid w:val="0"/>
              <w:jc w:val="center"/>
              <w:rPr>
                <w:rFonts w:ascii="宋体" w:hAnsi="宋体" w:cs="宋体"/>
                <w:szCs w:val="21"/>
              </w:rPr>
            </w:pPr>
            <w:r>
              <w:rPr>
                <w:rFonts w:hint="eastAsia" w:ascii="宋体" w:hAnsi="宋体" w:cs="宋体"/>
                <w:kern w:val="0"/>
                <w:szCs w:val="21"/>
                <w:lang w:bidi="ar"/>
              </w:rPr>
              <w:t>三氟化氮</w:t>
            </w:r>
          </w:p>
        </w:tc>
        <w:tc>
          <w:tcPr>
            <w:tcW w:w="2769" w:type="dxa"/>
            <w:vAlign w:val="center"/>
          </w:tcPr>
          <w:p w14:paraId="3537C6FB">
            <w:pPr>
              <w:widowControl/>
              <w:snapToGrid w:val="0"/>
              <w:jc w:val="center"/>
              <w:rPr>
                <w:rFonts w:ascii="宋体" w:hAnsi="宋体" w:cs="宋体"/>
                <w:szCs w:val="21"/>
              </w:rPr>
            </w:pPr>
            <w:r>
              <w:rPr>
                <w:rFonts w:hint="eastAsia" w:ascii="宋体" w:hAnsi="宋体" w:cs="宋体"/>
                <w:kern w:val="0"/>
                <w:szCs w:val="21"/>
                <w:lang w:bidi="ar"/>
              </w:rPr>
              <w:t>NF₃</w:t>
            </w:r>
          </w:p>
        </w:tc>
        <w:tc>
          <w:tcPr>
            <w:tcW w:w="2769" w:type="dxa"/>
            <w:vAlign w:val="center"/>
          </w:tcPr>
          <w:p w14:paraId="3537C6FC">
            <w:pPr>
              <w:widowControl/>
              <w:snapToGrid w:val="0"/>
              <w:jc w:val="center"/>
              <w:rPr>
                <w:rFonts w:ascii="宋体" w:hAnsi="宋体" w:cs="宋体"/>
                <w:szCs w:val="21"/>
              </w:rPr>
            </w:pPr>
            <w:r>
              <w:rPr>
                <w:rFonts w:hint="eastAsia" w:ascii="宋体" w:hAnsi="宋体" w:cs="宋体"/>
                <w:kern w:val="0"/>
                <w:szCs w:val="21"/>
                <w:lang w:bidi="ar"/>
              </w:rPr>
              <w:t>17,400</w:t>
            </w:r>
          </w:p>
        </w:tc>
      </w:tr>
      <w:tr w14:paraId="3537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vAlign w:val="center"/>
          </w:tcPr>
          <w:p w14:paraId="3537C6FE">
            <w:pPr>
              <w:widowControl/>
              <w:snapToGrid w:val="0"/>
              <w:jc w:val="center"/>
              <w:rPr>
                <w:rFonts w:ascii="宋体" w:hAnsi="宋体" w:cs="宋体"/>
                <w:szCs w:val="21"/>
              </w:rPr>
            </w:pPr>
            <w:r>
              <w:rPr>
                <w:rFonts w:hint="eastAsia" w:ascii="宋体" w:hAnsi="宋体" w:cs="宋体"/>
                <w:kern w:val="0"/>
                <w:szCs w:val="21"/>
                <w:lang w:bidi="ar"/>
              </w:rPr>
              <w:t>六氟化硫</w:t>
            </w:r>
          </w:p>
        </w:tc>
        <w:tc>
          <w:tcPr>
            <w:tcW w:w="2769" w:type="dxa"/>
            <w:vAlign w:val="center"/>
          </w:tcPr>
          <w:p w14:paraId="3537C6FF">
            <w:pPr>
              <w:widowControl/>
              <w:snapToGrid w:val="0"/>
              <w:jc w:val="center"/>
              <w:rPr>
                <w:rFonts w:ascii="宋体" w:hAnsi="宋体" w:cs="宋体"/>
                <w:szCs w:val="21"/>
              </w:rPr>
            </w:pPr>
            <w:r>
              <w:rPr>
                <w:rFonts w:hint="eastAsia" w:ascii="宋体" w:hAnsi="宋体" w:cs="宋体"/>
                <w:kern w:val="0"/>
                <w:szCs w:val="21"/>
                <w:lang w:bidi="ar"/>
              </w:rPr>
              <w:t>SF₆</w:t>
            </w:r>
          </w:p>
        </w:tc>
        <w:tc>
          <w:tcPr>
            <w:tcW w:w="2769" w:type="dxa"/>
            <w:vAlign w:val="center"/>
          </w:tcPr>
          <w:p w14:paraId="3537C700">
            <w:pPr>
              <w:widowControl/>
              <w:snapToGrid w:val="0"/>
              <w:jc w:val="center"/>
              <w:rPr>
                <w:rFonts w:ascii="宋体" w:hAnsi="宋体" w:cs="宋体"/>
                <w:szCs w:val="21"/>
              </w:rPr>
            </w:pPr>
            <w:r>
              <w:rPr>
                <w:rFonts w:hint="eastAsia" w:ascii="宋体" w:hAnsi="宋体" w:cs="宋体"/>
                <w:kern w:val="0"/>
                <w:szCs w:val="21"/>
                <w:lang w:bidi="ar"/>
              </w:rPr>
              <w:t>25,200</w:t>
            </w:r>
          </w:p>
        </w:tc>
      </w:tr>
    </w:tbl>
    <w:p w14:paraId="3537C702">
      <w:pPr>
        <w:pStyle w:val="35"/>
        <w:widowControl/>
        <w:spacing w:beforeAutospacing="0" w:afterAutospacing="0" w:line="400" w:lineRule="exact"/>
        <w:ind w:firstLine="420" w:firstLineChars="200"/>
        <w:jc w:val="both"/>
        <w:rPr>
          <w:rFonts w:ascii="宋体" w:hAnsi="宋体" w:cs="宋体"/>
          <w:sz w:val="21"/>
          <w:szCs w:val="21"/>
        </w:rPr>
      </w:pPr>
      <w:r>
        <w:rPr>
          <w:rFonts w:hint="eastAsia" w:ascii="宋体" w:hAnsi="宋体" w:cs="宋体"/>
          <w:sz w:val="21"/>
          <w:szCs w:val="21"/>
        </w:rPr>
        <w:t>注：上述数据参考IPCC第六次评估报告（AR6）发布的GWP100值。</w:t>
      </w:r>
    </w:p>
    <w:p w14:paraId="3537C703">
      <w:pPr>
        <w:widowControl/>
        <w:spacing w:line="400" w:lineRule="exact"/>
        <w:ind w:firstLine="422" w:firstLineChars="200"/>
        <w:rPr>
          <w:rFonts w:ascii="宋体" w:hAnsi="宋体" w:cs="宋体"/>
          <w:b/>
          <w:kern w:val="0"/>
          <w:szCs w:val="21"/>
          <w:lang w:bidi="ar"/>
        </w:rPr>
      </w:pPr>
      <w:r>
        <w:rPr>
          <w:rFonts w:hint="eastAsia" w:ascii="宋体" w:hAnsi="宋体" w:cs="宋体"/>
          <w:b/>
          <w:kern w:val="0"/>
          <w:szCs w:val="21"/>
          <w:lang w:bidi="ar"/>
        </w:rPr>
        <w:t>C.3 使用说明</w:t>
      </w:r>
    </w:p>
    <w:p w14:paraId="3537C704">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a）产品碳足迹核算中，应将各类温室气体排放量与清除量乘以对应的GWP值后进行汇总，以得到二氧化碳当量（CO₂e）；</w:t>
      </w:r>
    </w:p>
    <w:p w14:paraId="3537C705">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b）当排放因子或数据库已直接以CO₂e形式提供时，可不再重复进行GWP折算，但应在报告中说明所采用的GWP版本和数据来源；</w:t>
      </w:r>
    </w:p>
    <w:p w14:paraId="3537C706">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c）当引用其他国际规范或数据库（如PEF、GHG Protocol等）时，应说明所采用的GWP版本是否与本附录一致；</w:t>
      </w:r>
    </w:p>
    <w:p w14:paraId="3537C707">
      <w:pPr>
        <w:widowControl/>
        <w:spacing w:line="400" w:lineRule="exact"/>
        <w:ind w:firstLine="420" w:firstLineChars="200"/>
        <w:rPr>
          <w:rFonts w:ascii="宋体" w:hAnsi="宋体" w:cs="宋体"/>
          <w:szCs w:val="21"/>
        </w:rPr>
      </w:pPr>
      <w:r>
        <w:rPr>
          <w:rFonts w:hint="eastAsia" w:ascii="宋体" w:hAnsi="宋体" w:cs="宋体"/>
          <w:kern w:val="0"/>
          <w:szCs w:val="21"/>
          <w:lang w:bidi="ar"/>
        </w:rPr>
        <w:t>d）如IPCC发布更新版本的GWP系数，企业可在满足披露要求的前提下采用最新版本，并在报告中明确说明。</w:t>
      </w:r>
    </w:p>
    <w:p w14:paraId="3537C708">
      <w:pPr>
        <w:rPr>
          <w:rFonts w:ascii="宋体" w:hAnsi="宋体" w:cs="宋体"/>
          <w:szCs w:val="21"/>
        </w:rPr>
        <w:sectPr>
          <w:pgSz w:w="11906" w:h="16838"/>
          <w:pgMar w:top="1440" w:right="1800" w:bottom="1440" w:left="1800" w:header="851" w:footer="992" w:gutter="0"/>
          <w:cols w:space="425" w:num="1"/>
          <w:docGrid w:type="lines" w:linePitch="312" w:charSpace="0"/>
        </w:sectPr>
      </w:pPr>
    </w:p>
    <w:p w14:paraId="3537C709">
      <w:pPr>
        <w:rPr>
          <w:b/>
          <w:szCs w:val="21"/>
        </w:rPr>
      </w:pPr>
    </w:p>
    <w:p w14:paraId="3537C70A">
      <w:pPr>
        <w:pStyle w:val="2"/>
        <w:jc w:val="center"/>
        <w:rPr>
          <w:rFonts w:ascii="宋体" w:hAnsi="宋体" w:eastAsia="宋体" w:cs="宋体"/>
          <w:bCs w:val="0"/>
          <w:kern w:val="0"/>
          <w:sz w:val="21"/>
          <w:szCs w:val="21"/>
        </w:rPr>
      </w:pPr>
      <w:bookmarkStart w:id="89" w:name="_Toc25197"/>
      <w:r>
        <w:rPr>
          <w:rFonts w:hint="eastAsia"/>
          <w:sz w:val="21"/>
          <w:szCs w:val="21"/>
        </w:rPr>
        <w:t>附录D分配方法示例</w:t>
      </w:r>
      <w:bookmarkEnd w:id="89"/>
    </w:p>
    <w:p w14:paraId="3537C70B">
      <w:pPr>
        <w:pStyle w:val="3"/>
        <w:widowControl/>
        <w:spacing w:after="0" w:line="400" w:lineRule="exact"/>
        <w:jc w:val="both"/>
        <w:rPr>
          <w:rFonts w:ascii="宋体" w:hAnsi="宋体" w:cs="宋体"/>
          <w:szCs w:val="21"/>
        </w:rPr>
      </w:pPr>
      <w:r>
        <w:rPr>
          <w:rFonts w:hint="eastAsia" w:ascii="宋体" w:hAnsi="宋体" w:cs="宋体"/>
          <w:szCs w:val="21"/>
        </w:rPr>
        <w:t>D.1 概述</w:t>
      </w:r>
    </w:p>
    <w:p w14:paraId="3537C70C">
      <w:pPr>
        <w:pStyle w:val="35"/>
        <w:widowControl/>
        <w:spacing w:beforeAutospacing="0" w:afterAutospacing="0" w:line="400" w:lineRule="exact"/>
        <w:ind w:firstLine="420" w:firstLineChars="200"/>
        <w:jc w:val="both"/>
        <w:rPr>
          <w:rFonts w:ascii="宋体" w:hAnsi="宋体" w:cs="宋体"/>
          <w:sz w:val="21"/>
          <w:szCs w:val="21"/>
        </w:rPr>
      </w:pPr>
      <w:r>
        <w:rPr>
          <w:rFonts w:hint="eastAsia" w:ascii="宋体" w:hAnsi="宋体" w:cs="宋体"/>
          <w:sz w:val="21"/>
          <w:szCs w:val="21"/>
        </w:rPr>
        <w:t>本附录用于说明香料、香精、化妆品及化妆品原料产品碳足迹核算中常见的多产出过程和共线生产场景下的分配方法应用。</w:t>
      </w:r>
    </w:p>
    <w:p w14:paraId="3537C70D">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本附录所列示例仅用于说明方法，不构成规范性要求。企业应结合产品特性、工艺属性、数据可得性及正文分配原则，选择适当的分配方法，并在报告中说明依据。</w:t>
      </w:r>
    </w:p>
    <w:p w14:paraId="3537C70E">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本附录采用“典型场景示例”而非“行业类别逐一展开”的组织方式。企业可结合自身产品类别（如香料、香精、化妆品或化妆品原料）及工艺特征，参照适用示例进行类比应用。</w:t>
      </w:r>
    </w:p>
    <w:p w14:paraId="3537C70F">
      <w:pPr>
        <w:widowControl/>
        <w:spacing w:line="400" w:lineRule="exact"/>
        <w:outlineLvl w:val="1"/>
        <w:rPr>
          <w:rFonts w:ascii="宋体" w:hAnsi="宋体" w:cs="宋体"/>
          <w:b/>
          <w:bCs/>
          <w:kern w:val="0"/>
          <w:szCs w:val="21"/>
          <w:lang w:bidi="ar"/>
        </w:rPr>
      </w:pPr>
      <w:r>
        <w:rPr>
          <w:rFonts w:hint="eastAsia" w:ascii="宋体" w:hAnsi="宋体" w:cs="宋体"/>
          <w:b/>
          <w:bCs/>
          <w:kern w:val="0"/>
          <w:szCs w:val="21"/>
          <w:lang w:bidi="ar"/>
        </w:rPr>
        <w:t>D.2 分配示例与行业类型对应关系</w:t>
      </w:r>
    </w:p>
    <w:p w14:paraId="3537C710">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表D.1给出了本附录示例与典型行业场景的对应关系。</w:t>
      </w:r>
    </w:p>
    <w:p w14:paraId="3537C711">
      <w:pPr>
        <w:pStyle w:val="4"/>
        <w:widowControl/>
        <w:spacing w:beforeAutospacing="0" w:afterAutospacing="0" w:line="400" w:lineRule="exact"/>
        <w:jc w:val="center"/>
        <w:rPr>
          <w:rFonts w:hint="default" w:cs="宋体"/>
          <w:bCs w:val="0"/>
          <w:sz w:val="21"/>
          <w:szCs w:val="21"/>
          <w:lang w:bidi="ar"/>
        </w:rPr>
      </w:pPr>
      <w:r>
        <w:rPr>
          <w:rFonts w:cs="宋体"/>
          <w:bCs w:val="0"/>
          <w:sz w:val="21"/>
          <w:szCs w:val="21"/>
          <w:lang w:bidi="ar"/>
        </w:rPr>
        <w:t>表D.1 分配示例与行业类型对应关系</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3028"/>
        <w:gridCol w:w="3988"/>
      </w:tblGrid>
      <w:tr w14:paraId="3537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shd w:val="clear" w:color="auto" w:fill="F5F5F5"/>
            <w:vAlign w:val="center"/>
          </w:tcPr>
          <w:p w14:paraId="3537C712">
            <w:pPr>
              <w:keepNext/>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示例编号</w:t>
            </w:r>
          </w:p>
        </w:tc>
        <w:tc>
          <w:tcPr>
            <w:tcW w:w="3116" w:type="dxa"/>
            <w:shd w:val="clear" w:color="auto" w:fill="F5F5F5"/>
            <w:vAlign w:val="center"/>
          </w:tcPr>
          <w:p w14:paraId="3537C713">
            <w:pPr>
              <w:keepNext/>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示例类型</w:t>
            </w:r>
          </w:p>
        </w:tc>
        <w:tc>
          <w:tcPr>
            <w:tcW w:w="4101" w:type="dxa"/>
            <w:shd w:val="clear" w:color="auto" w:fill="F5F5F5"/>
            <w:vAlign w:val="center"/>
          </w:tcPr>
          <w:p w14:paraId="3537C714">
            <w:pPr>
              <w:keepNext/>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典型适用场景</w:t>
            </w:r>
          </w:p>
        </w:tc>
      </w:tr>
      <w:tr w14:paraId="3537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3537C716">
            <w:pPr>
              <w:keepNext/>
              <w:widowControl/>
              <w:snapToGrid w:val="0"/>
              <w:spacing w:line="400" w:lineRule="exact"/>
              <w:jc w:val="center"/>
              <w:rPr>
                <w:rFonts w:ascii="宋体" w:hAnsi="宋体" w:cs="宋体"/>
                <w:szCs w:val="21"/>
              </w:rPr>
            </w:pPr>
            <w:r>
              <w:rPr>
                <w:rFonts w:hint="eastAsia" w:ascii="宋体" w:hAnsi="宋体" w:cs="宋体"/>
                <w:kern w:val="0"/>
                <w:szCs w:val="21"/>
                <w:lang w:bidi="ar"/>
              </w:rPr>
              <w:t>D.3</w:t>
            </w:r>
          </w:p>
        </w:tc>
        <w:tc>
          <w:tcPr>
            <w:tcW w:w="3116" w:type="dxa"/>
            <w:vAlign w:val="center"/>
          </w:tcPr>
          <w:p w14:paraId="3537C717">
            <w:pPr>
              <w:keepNext/>
              <w:widowControl/>
              <w:snapToGrid w:val="0"/>
              <w:spacing w:line="400" w:lineRule="exact"/>
              <w:jc w:val="center"/>
              <w:rPr>
                <w:rFonts w:ascii="宋体" w:hAnsi="宋体" w:cs="宋体"/>
                <w:szCs w:val="21"/>
              </w:rPr>
            </w:pPr>
            <w:r>
              <w:rPr>
                <w:rFonts w:hint="eastAsia" w:ascii="宋体" w:hAnsi="宋体" w:cs="宋体"/>
                <w:kern w:val="0"/>
                <w:szCs w:val="21"/>
                <w:lang w:bidi="ar"/>
              </w:rPr>
              <w:t>多品种共线生产分配示例</w:t>
            </w:r>
          </w:p>
        </w:tc>
        <w:tc>
          <w:tcPr>
            <w:tcW w:w="4101" w:type="dxa"/>
            <w:vAlign w:val="center"/>
          </w:tcPr>
          <w:p w14:paraId="3537C718">
            <w:pPr>
              <w:keepNext/>
              <w:widowControl/>
              <w:snapToGrid w:val="0"/>
              <w:spacing w:line="400" w:lineRule="exact"/>
              <w:jc w:val="left"/>
              <w:rPr>
                <w:rFonts w:ascii="宋体" w:hAnsi="宋体" w:cs="宋体"/>
                <w:szCs w:val="21"/>
              </w:rPr>
            </w:pPr>
            <w:r>
              <w:rPr>
                <w:rFonts w:hint="eastAsia" w:ascii="宋体" w:hAnsi="宋体" w:cs="宋体"/>
                <w:kern w:val="0"/>
                <w:szCs w:val="21"/>
                <w:lang w:bidi="ar"/>
              </w:rPr>
              <w:t>香精、合成香料、化妆品、部分化妆品原料</w:t>
            </w:r>
          </w:p>
        </w:tc>
      </w:tr>
      <w:tr w14:paraId="3537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3537C71A">
            <w:pPr>
              <w:keepNext/>
              <w:widowControl/>
              <w:snapToGrid w:val="0"/>
              <w:spacing w:line="400" w:lineRule="exact"/>
              <w:jc w:val="center"/>
              <w:rPr>
                <w:rFonts w:ascii="宋体" w:hAnsi="宋体" w:cs="宋体"/>
                <w:szCs w:val="21"/>
              </w:rPr>
            </w:pPr>
            <w:r>
              <w:rPr>
                <w:rFonts w:hint="eastAsia" w:ascii="宋体" w:hAnsi="宋体" w:cs="宋体"/>
                <w:kern w:val="0"/>
                <w:szCs w:val="21"/>
                <w:lang w:bidi="ar"/>
              </w:rPr>
              <w:t>D.4</w:t>
            </w:r>
          </w:p>
        </w:tc>
        <w:tc>
          <w:tcPr>
            <w:tcW w:w="3116" w:type="dxa"/>
            <w:vAlign w:val="center"/>
          </w:tcPr>
          <w:p w14:paraId="3537C71B">
            <w:pPr>
              <w:keepNext/>
              <w:widowControl/>
              <w:snapToGrid w:val="0"/>
              <w:spacing w:line="400" w:lineRule="exact"/>
              <w:jc w:val="center"/>
              <w:rPr>
                <w:rFonts w:ascii="宋体" w:hAnsi="宋体" w:cs="宋体"/>
                <w:szCs w:val="21"/>
              </w:rPr>
            </w:pPr>
            <w:r>
              <w:rPr>
                <w:rFonts w:hint="eastAsia" w:ascii="宋体" w:hAnsi="宋体" w:cs="宋体"/>
                <w:kern w:val="0"/>
                <w:szCs w:val="21"/>
                <w:lang w:bidi="ar"/>
              </w:rPr>
              <w:t>天然提取/蒸馏副产物分配示例</w:t>
            </w:r>
          </w:p>
        </w:tc>
        <w:tc>
          <w:tcPr>
            <w:tcW w:w="4101" w:type="dxa"/>
            <w:vAlign w:val="center"/>
          </w:tcPr>
          <w:p w14:paraId="3537C71C">
            <w:pPr>
              <w:keepNext/>
              <w:widowControl/>
              <w:snapToGrid w:val="0"/>
              <w:spacing w:line="400" w:lineRule="exact"/>
              <w:jc w:val="left"/>
              <w:rPr>
                <w:rFonts w:ascii="宋体" w:hAnsi="宋体" w:cs="宋体"/>
                <w:szCs w:val="21"/>
              </w:rPr>
            </w:pPr>
            <w:r>
              <w:rPr>
                <w:rFonts w:hint="eastAsia" w:ascii="宋体" w:hAnsi="宋体" w:cs="宋体"/>
                <w:kern w:val="0"/>
                <w:szCs w:val="21"/>
                <w:lang w:bidi="ar"/>
              </w:rPr>
              <w:t>天然香料、植物提取物、部分化妆品原料</w:t>
            </w:r>
          </w:p>
        </w:tc>
      </w:tr>
      <w:tr w14:paraId="3537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3537C71E">
            <w:pPr>
              <w:keepNext/>
              <w:widowControl/>
              <w:snapToGrid w:val="0"/>
              <w:spacing w:line="400" w:lineRule="exact"/>
              <w:jc w:val="center"/>
              <w:rPr>
                <w:rFonts w:ascii="宋体" w:hAnsi="宋体" w:cs="宋体"/>
                <w:szCs w:val="21"/>
              </w:rPr>
            </w:pPr>
            <w:r>
              <w:rPr>
                <w:rFonts w:hint="eastAsia" w:ascii="宋体" w:hAnsi="宋体" w:cs="宋体"/>
                <w:kern w:val="0"/>
                <w:szCs w:val="21"/>
                <w:lang w:bidi="ar"/>
              </w:rPr>
              <w:t>D.5</w:t>
            </w:r>
          </w:p>
        </w:tc>
        <w:tc>
          <w:tcPr>
            <w:tcW w:w="3116" w:type="dxa"/>
            <w:vAlign w:val="center"/>
          </w:tcPr>
          <w:p w14:paraId="3537C71F">
            <w:pPr>
              <w:keepNext/>
              <w:widowControl/>
              <w:snapToGrid w:val="0"/>
              <w:spacing w:line="400" w:lineRule="exact"/>
              <w:jc w:val="center"/>
              <w:rPr>
                <w:rFonts w:ascii="宋体" w:hAnsi="宋体" w:cs="宋体"/>
                <w:szCs w:val="21"/>
              </w:rPr>
            </w:pPr>
            <w:r>
              <w:rPr>
                <w:rFonts w:hint="eastAsia" w:ascii="宋体" w:hAnsi="宋体" w:cs="宋体"/>
                <w:kern w:val="0"/>
                <w:szCs w:val="21"/>
                <w:lang w:bidi="ar"/>
              </w:rPr>
              <w:t>包装共线或多部件包装分配示例</w:t>
            </w:r>
          </w:p>
        </w:tc>
        <w:tc>
          <w:tcPr>
            <w:tcW w:w="4101" w:type="dxa"/>
            <w:vAlign w:val="center"/>
          </w:tcPr>
          <w:p w14:paraId="3537C720">
            <w:pPr>
              <w:keepNext/>
              <w:widowControl/>
              <w:snapToGrid w:val="0"/>
              <w:spacing w:line="400" w:lineRule="exact"/>
              <w:jc w:val="left"/>
              <w:rPr>
                <w:rFonts w:ascii="宋体" w:hAnsi="宋体" w:cs="宋体"/>
                <w:szCs w:val="21"/>
              </w:rPr>
            </w:pPr>
            <w:r>
              <w:rPr>
                <w:rFonts w:hint="eastAsia" w:ascii="宋体" w:hAnsi="宋体" w:cs="宋体"/>
                <w:kern w:val="0"/>
                <w:szCs w:val="21"/>
                <w:lang w:bidi="ar"/>
              </w:rPr>
              <w:t>化妆品、香水、彩妆、部分香精包装场景</w:t>
            </w:r>
          </w:p>
        </w:tc>
      </w:tr>
    </w:tbl>
    <w:p w14:paraId="3537C722">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注：企业可根据自身产品与工艺的相似性选择适用示例；当同一企业同时存在多种场景时，可针对不同过程分别采用不同分配方法。</w:t>
      </w:r>
    </w:p>
    <w:p w14:paraId="3537C723">
      <w:pPr>
        <w:widowControl/>
        <w:spacing w:line="400" w:lineRule="exact"/>
        <w:outlineLvl w:val="1"/>
        <w:rPr>
          <w:rFonts w:ascii="宋体" w:hAnsi="宋体" w:cs="宋体"/>
          <w:b/>
          <w:bCs/>
          <w:kern w:val="0"/>
          <w:szCs w:val="21"/>
          <w:lang w:bidi="ar"/>
        </w:rPr>
      </w:pPr>
      <w:r>
        <w:rPr>
          <w:rFonts w:hint="eastAsia" w:ascii="宋体" w:hAnsi="宋体" w:cs="宋体"/>
          <w:b/>
          <w:bCs/>
          <w:kern w:val="0"/>
          <w:szCs w:val="21"/>
          <w:lang w:bidi="ar"/>
        </w:rPr>
        <w:t>D.3 多品种共线生产分配示例</w:t>
      </w:r>
    </w:p>
    <w:p w14:paraId="3537C724">
      <w:pPr>
        <w:widowControl/>
        <w:spacing w:line="400" w:lineRule="exact"/>
        <w:ind w:firstLine="422" w:firstLineChars="200"/>
        <w:outlineLvl w:val="1"/>
        <w:rPr>
          <w:rFonts w:ascii="宋体" w:hAnsi="宋体" w:cs="宋体"/>
          <w:b/>
          <w:bCs/>
          <w:kern w:val="0"/>
          <w:szCs w:val="21"/>
          <w:lang w:bidi="ar"/>
        </w:rPr>
      </w:pPr>
      <w:r>
        <w:rPr>
          <w:rFonts w:hint="eastAsia" w:ascii="宋体" w:hAnsi="宋体" w:cs="宋体"/>
          <w:b/>
          <w:bCs/>
          <w:kern w:val="0"/>
          <w:szCs w:val="21"/>
          <w:lang w:bidi="ar"/>
        </w:rPr>
        <w:t>D.3.1 场景说明</w:t>
      </w:r>
    </w:p>
    <w:p w14:paraId="3537C725">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某企业在同一生产线中生产三种产品：香精A、香精B、香精C。该生产线共用能源及公用工程，对应核算期内共用碳排放总量为 300 kgCO₂e。</w:t>
      </w:r>
    </w:p>
    <w:p w14:paraId="3537C726">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本示例适用于多品种共线生产、批次共用能源或公用工程的情形，常见于香精调配、合成香料生产及部分化妆品灌装生产等场景。</w:t>
      </w:r>
    </w:p>
    <w:p w14:paraId="3537C727">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企业可根据实际情况采用质量分配法、标准工时分配法或经济分配法。</w:t>
      </w:r>
    </w:p>
    <w:p w14:paraId="3537C728">
      <w:pPr>
        <w:widowControl/>
        <w:spacing w:line="400" w:lineRule="exact"/>
        <w:ind w:firstLine="422" w:firstLineChars="200"/>
        <w:outlineLvl w:val="1"/>
        <w:rPr>
          <w:rFonts w:ascii="宋体" w:hAnsi="宋体" w:cs="宋体"/>
          <w:b/>
          <w:bCs/>
          <w:kern w:val="0"/>
          <w:szCs w:val="21"/>
          <w:lang w:bidi="ar"/>
        </w:rPr>
      </w:pPr>
      <w:r>
        <w:rPr>
          <w:rFonts w:hint="eastAsia" w:ascii="宋体" w:hAnsi="宋体" w:cs="宋体"/>
          <w:b/>
          <w:bCs/>
          <w:kern w:val="0"/>
          <w:szCs w:val="21"/>
          <w:lang w:bidi="ar"/>
        </w:rPr>
        <w:t>D.3.2 基础数据</w:t>
      </w:r>
    </w:p>
    <w:p w14:paraId="3537C729">
      <w:pPr>
        <w:widowControl/>
        <w:spacing w:line="400" w:lineRule="exact"/>
        <w:jc w:val="center"/>
        <w:outlineLvl w:val="2"/>
        <w:rPr>
          <w:rFonts w:ascii="宋体" w:hAnsi="宋体" w:cs="宋体"/>
          <w:b/>
          <w:kern w:val="0"/>
          <w:szCs w:val="21"/>
          <w:lang w:bidi="ar"/>
        </w:rPr>
      </w:pPr>
      <w:r>
        <w:rPr>
          <w:rFonts w:hint="eastAsia" w:ascii="宋体" w:hAnsi="宋体" w:cs="宋体"/>
          <w:b/>
          <w:kern w:val="0"/>
          <w:szCs w:val="21"/>
          <w:lang w:bidi="ar"/>
        </w:rPr>
        <w:t>表D.2 多产品基本信息</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1979"/>
        <w:gridCol w:w="2518"/>
        <w:gridCol w:w="2601"/>
      </w:tblGrid>
      <w:tr w14:paraId="3537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shd w:val="clear" w:color="auto" w:fill="F5F5F5"/>
            <w:vAlign w:val="center"/>
          </w:tcPr>
          <w:p w14:paraId="3537C72A">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产品</w:t>
            </w:r>
          </w:p>
        </w:tc>
        <w:tc>
          <w:tcPr>
            <w:tcW w:w="2025" w:type="dxa"/>
            <w:shd w:val="clear" w:color="auto" w:fill="F5F5F5"/>
            <w:vAlign w:val="center"/>
          </w:tcPr>
          <w:p w14:paraId="3537C72B">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产量（kg）</w:t>
            </w:r>
          </w:p>
        </w:tc>
        <w:tc>
          <w:tcPr>
            <w:tcW w:w="2591" w:type="dxa"/>
            <w:shd w:val="clear" w:color="auto" w:fill="F5F5F5"/>
            <w:vAlign w:val="center"/>
          </w:tcPr>
          <w:p w14:paraId="3537C72C">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标准工时（h）</w:t>
            </w:r>
          </w:p>
        </w:tc>
        <w:tc>
          <w:tcPr>
            <w:tcW w:w="2676" w:type="dxa"/>
            <w:shd w:val="clear" w:color="auto" w:fill="F5F5F5"/>
            <w:vAlign w:val="center"/>
          </w:tcPr>
          <w:p w14:paraId="3537C72D">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单价（元/kg）</w:t>
            </w:r>
          </w:p>
        </w:tc>
      </w:tr>
      <w:tr w14:paraId="3537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3537C72F">
            <w:pPr>
              <w:widowControl/>
              <w:snapToGrid w:val="0"/>
              <w:spacing w:line="400" w:lineRule="exact"/>
              <w:jc w:val="center"/>
              <w:rPr>
                <w:rFonts w:ascii="宋体" w:hAnsi="宋体" w:cs="宋体"/>
                <w:szCs w:val="21"/>
              </w:rPr>
            </w:pPr>
            <w:r>
              <w:rPr>
                <w:rFonts w:hint="eastAsia" w:ascii="宋体" w:hAnsi="宋体" w:cs="宋体"/>
                <w:kern w:val="0"/>
                <w:szCs w:val="21"/>
                <w:lang w:bidi="ar"/>
              </w:rPr>
              <w:t>香精A</w:t>
            </w:r>
          </w:p>
        </w:tc>
        <w:tc>
          <w:tcPr>
            <w:tcW w:w="2025" w:type="dxa"/>
            <w:vAlign w:val="center"/>
          </w:tcPr>
          <w:p w14:paraId="3537C730">
            <w:pPr>
              <w:widowControl/>
              <w:snapToGrid w:val="0"/>
              <w:spacing w:line="400" w:lineRule="exact"/>
              <w:jc w:val="center"/>
              <w:rPr>
                <w:rFonts w:ascii="宋体" w:hAnsi="宋体" w:cs="宋体"/>
                <w:szCs w:val="21"/>
              </w:rPr>
            </w:pPr>
            <w:r>
              <w:rPr>
                <w:rFonts w:hint="eastAsia" w:ascii="宋体" w:hAnsi="宋体" w:cs="宋体"/>
                <w:kern w:val="0"/>
                <w:szCs w:val="21"/>
                <w:lang w:bidi="ar"/>
              </w:rPr>
              <w:t>100</w:t>
            </w:r>
          </w:p>
        </w:tc>
        <w:tc>
          <w:tcPr>
            <w:tcW w:w="2591" w:type="dxa"/>
            <w:vAlign w:val="center"/>
          </w:tcPr>
          <w:p w14:paraId="3537C731">
            <w:pPr>
              <w:widowControl/>
              <w:snapToGrid w:val="0"/>
              <w:spacing w:line="400" w:lineRule="exact"/>
              <w:jc w:val="center"/>
              <w:rPr>
                <w:rFonts w:ascii="宋体" w:hAnsi="宋体" w:cs="宋体"/>
                <w:szCs w:val="21"/>
              </w:rPr>
            </w:pPr>
            <w:r>
              <w:rPr>
                <w:rFonts w:hint="eastAsia" w:ascii="宋体" w:hAnsi="宋体" w:cs="宋体"/>
                <w:kern w:val="0"/>
                <w:szCs w:val="21"/>
                <w:lang w:bidi="ar"/>
              </w:rPr>
              <w:t>8</w:t>
            </w:r>
          </w:p>
        </w:tc>
        <w:tc>
          <w:tcPr>
            <w:tcW w:w="2676" w:type="dxa"/>
            <w:vAlign w:val="center"/>
          </w:tcPr>
          <w:p w14:paraId="3537C732">
            <w:pPr>
              <w:widowControl/>
              <w:snapToGrid w:val="0"/>
              <w:spacing w:line="400" w:lineRule="exact"/>
              <w:jc w:val="center"/>
              <w:rPr>
                <w:rFonts w:ascii="宋体" w:hAnsi="宋体" w:cs="宋体"/>
                <w:szCs w:val="21"/>
              </w:rPr>
            </w:pPr>
            <w:r>
              <w:rPr>
                <w:rFonts w:hint="eastAsia" w:ascii="宋体" w:hAnsi="宋体" w:cs="宋体"/>
                <w:kern w:val="0"/>
                <w:szCs w:val="21"/>
                <w:lang w:bidi="ar"/>
              </w:rPr>
              <w:t>40</w:t>
            </w:r>
          </w:p>
        </w:tc>
      </w:tr>
      <w:tr w14:paraId="3537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3537C734">
            <w:pPr>
              <w:widowControl/>
              <w:snapToGrid w:val="0"/>
              <w:spacing w:line="400" w:lineRule="exact"/>
              <w:jc w:val="center"/>
              <w:rPr>
                <w:rFonts w:ascii="宋体" w:hAnsi="宋体" w:cs="宋体"/>
                <w:szCs w:val="21"/>
              </w:rPr>
            </w:pPr>
            <w:r>
              <w:rPr>
                <w:rFonts w:hint="eastAsia" w:ascii="宋体" w:hAnsi="宋体" w:cs="宋体"/>
                <w:kern w:val="0"/>
                <w:szCs w:val="21"/>
                <w:lang w:bidi="ar"/>
              </w:rPr>
              <w:t>香精B</w:t>
            </w:r>
          </w:p>
        </w:tc>
        <w:tc>
          <w:tcPr>
            <w:tcW w:w="2025" w:type="dxa"/>
            <w:vAlign w:val="center"/>
          </w:tcPr>
          <w:p w14:paraId="3537C735">
            <w:pPr>
              <w:widowControl/>
              <w:snapToGrid w:val="0"/>
              <w:spacing w:line="400" w:lineRule="exact"/>
              <w:jc w:val="center"/>
              <w:rPr>
                <w:rFonts w:ascii="宋体" w:hAnsi="宋体" w:cs="宋体"/>
                <w:szCs w:val="21"/>
              </w:rPr>
            </w:pPr>
            <w:r>
              <w:rPr>
                <w:rFonts w:hint="eastAsia" w:ascii="宋体" w:hAnsi="宋体" w:cs="宋体"/>
                <w:kern w:val="0"/>
                <w:szCs w:val="21"/>
                <w:lang w:bidi="ar"/>
              </w:rPr>
              <w:t>200</w:t>
            </w:r>
          </w:p>
        </w:tc>
        <w:tc>
          <w:tcPr>
            <w:tcW w:w="2591" w:type="dxa"/>
            <w:vAlign w:val="center"/>
          </w:tcPr>
          <w:p w14:paraId="3537C736">
            <w:pPr>
              <w:widowControl/>
              <w:snapToGrid w:val="0"/>
              <w:spacing w:line="400" w:lineRule="exact"/>
              <w:jc w:val="center"/>
              <w:rPr>
                <w:rFonts w:ascii="宋体" w:hAnsi="宋体" w:cs="宋体"/>
                <w:szCs w:val="21"/>
              </w:rPr>
            </w:pPr>
            <w:r>
              <w:rPr>
                <w:rFonts w:hint="eastAsia" w:ascii="宋体" w:hAnsi="宋体" w:cs="宋体"/>
                <w:kern w:val="0"/>
                <w:szCs w:val="21"/>
                <w:lang w:bidi="ar"/>
              </w:rPr>
              <w:t>10</w:t>
            </w:r>
          </w:p>
        </w:tc>
        <w:tc>
          <w:tcPr>
            <w:tcW w:w="2676" w:type="dxa"/>
            <w:vAlign w:val="center"/>
          </w:tcPr>
          <w:p w14:paraId="3537C737">
            <w:pPr>
              <w:widowControl/>
              <w:snapToGrid w:val="0"/>
              <w:spacing w:line="400" w:lineRule="exact"/>
              <w:jc w:val="center"/>
              <w:rPr>
                <w:rFonts w:ascii="宋体" w:hAnsi="宋体" w:cs="宋体"/>
                <w:szCs w:val="21"/>
              </w:rPr>
            </w:pPr>
            <w:r>
              <w:rPr>
                <w:rFonts w:hint="eastAsia" w:ascii="宋体" w:hAnsi="宋体" w:cs="宋体"/>
                <w:kern w:val="0"/>
                <w:szCs w:val="21"/>
                <w:lang w:bidi="ar"/>
              </w:rPr>
              <w:t>20</w:t>
            </w:r>
          </w:p>
        </w:tc>
      </w:tr>
      <w:tr w14:paraId="3537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3537C739">
            <w:pPr>
              <w:widowControl/>
              <w:snapToGrid w:val="0"/>
              <w:spacing w:line="400" w:lineRule="exact"/>
              <w:jc w:val="center"/>
              <w:rPr>
                <w:rFonts w:ascii="宋体" w:hAnsi="宋体" w:cs="宋体"/>
                <w:szCs w:val="21"/>
              </w:rPr>
            </w:pPr>
            <w:r>
              <w:rPr>
                <w:rFonts w:hint="eastAsia" w:ascii="宋体" w:hAnsi="宋体" w:cs="宋体"/>
                <w:kern w:val="0"/>
                <w:szCs w:val="21"/>
                <w:lang w:bidi="ar"/>
              </w:rPr>
              <w:t>香精C</w:t>
            </w:r>
          </w:p>
        </w:tc>
        <w:tc>
          <w:tcPr>
            <w:tcW w:w="2025" w:type="dxa"/>
            <w:vAlign w:val="center"/>
          </w:tcPr>
          <w:p w14:paraId="3537C73A">
            <w:pPr>
              <w:widowControl/>
              <w:snapToGrid w:val="0"/>
              <w:spacing w:line="400" w:lineRule="exact"/>
              <w:jc w:val="center"/>
              <w:rPr>
                <w:rFonts w:ascii="宋体" w:hAnsi="宋体" w:cs="宋体"/>
                <w:szCs w:val="21"/>
              </w:rPr>
            </w:pPr>
            <w:r>
              <w:rPr>
                <w:rFonts w:hint="eastAsia" w:ascii="宋体" w:hAnsi="宋体" w:cs="宋体"/>
                <w:kern w:val="0"/>
                <w:szCs w:val="21"/>
                <w:lang w:bidi="ar"/>
              </w:rPr>
              <w:t>50</w:t>
            </w:r>
          </w:p>
        </w:tc>
        <w:tc>
          <w:tcPr>
            <w:tcW w:w="2591" w:type="dxa"/>
            <w:vAlign w:val="center"/>
          </w:tcPr>
          <w:p w14:paraId="3537C73B">
            <w:pPr>
              <w:widowControl/>
              <w:snapToGrid w:val="0"/>
              <w:spacing w:line="400" w:lineRule="exact"/>
              <w:jc w:val="center"/>
              <w:rPr>
                <w:rFonts w:ascii="宋体" w:hAnsi="宋体" w:cs="宋体"/>
                <w:szCs w:val="21"/>
              </w:rPr>
            </w:pPr>
            <w:r>
              <w:rPr>
                <w:rFonts w:hint="eastAsia" w:ascii="宋体" w:hAnsi="宋体" w:cs="宋体"/>
                <w:kern w:val="0"/>
                <w:szCs w:val="21"/>
                <w:lang w:bidi="ar"/>
              </w:rPr>
              <w:t>6</w:t>
            </w:r>
          </w:p>
        </w:tc>
        <w:tc>
          <w:tcPr>
            <w:tcW w:w="2676" w:type="dxa"/>
            <w:vAlign w:val="center"/>
          </w:tcPr>
          <w:p w14:paraId="3537C73C">
            <w:pPr>
              <w:widowControl/>
              <w:snapToGrid w:val="0"/>
              <w:spacing w:line="400" w:lineRule="exact"/>
              <w:jc w:val="center"/>
              <w:rPr>
                <w:rFonts w:ascii="宋体" w:hAnsi="宋体" w:cs="宋体"/>
                <w:szCs w:val="21"/>
              </w:rPr>
            </w:pPr>
            <w:r>
              <w:rPr>
                <w:rFonts w:hint="eastAsia" w:ascii="宋体" w:hAnsi="宋体" w:cs="宋体"/>
                <w:kern w:val="0"/>
                <w:szCs w:val="21"/>
                <w:lang w:bidi="ar"/>
              </w:rPr>
              <w:t>80</w:t>
            </w:r>
          </w:p>
        </w:tc>
      </w:tr>
    </w:tbl>
    <w:p w14:paraId="3537C73E">
      <w:pPr>
        <w:widowControl/>
        <w:spacing w:line="400" w:lineRule="exact"/>
        <w:ind w:firstLine="422" w:firstLineChars="200"/>
        <w:outlineLvl w:val="1"/>
        <w:rPr>
          <w:rFonts w:ascii="宋体" w:hAnsi="宋体" w:cs="宋体"/>
          <w:b/>
          <w:bCs/>
          <w:kern w:val="0"/>
          <w:szCs w:val="21"/>
          <w:lang w:bidi="ar"/>
        </w:rPr>
      </w:pPr>
      <w:r>
        <w:rPr>
          <w:rFonts w:hint="eastAsia" w:ascii="宋体" w:hAnsi="宋体" w:cs="宋体"/>
          <w:b/>
          <w:bCs/>
          <w:kern w:val="0"/>
          <w:szCs w:val="21"/>
          <w:lang w:bidi="ar"/>
        </w:rPr>
        <w:t>D.3.3 质量分配法</w:t>
      </w:r>
    </w:p>
    <w:p w14:paraId="3537C73F">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总产量 = 100 + 200 + 50 = 350 kg。</w:t>
      </w:r>
    </w:p>
    <w:p w14:paraId="3537C740">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各产品的质量分配因子为：</w:t>
      </w:r>
    </w:p>
    <w:p w14:paraId="3537C741">
      <w:pPr>
        <w:widowControl/>
        <w:spacing w:line="400" w:lineRule="exact"/>
        <w:ind w:left="840" w:leftChars="200" w:hanging="420" w:hangingChars="200"/>
        <w:rPr>
          <w:rFonts w:ascii="宋体" w:hAnsi="宋体" w:cs="宋体"/>
          <w:kern w:val="0"/>
          <w:szCs w:val="21"/>
          <w:lang w:bidi="ar"/>
        </w:rPr>
      </w:pPr>
      <w:r>
        <w:rPr>
          <w:rFonts w:hint="eastAsia" w:ascii="宋体" w:hAnsi="宋体" w:cs="宋体"/>
          <w:kern w:val="0"/>
          <w:szCs w:val="21"/>
          <w:lang w:bidi="ar"/>
        </w:rPr>
        <w:t>-香精A：100 / 350 = 0.286</w:t>
      </w:r>
    </w:p>
    <w:p w14:paraId="3537C742">
      <w:pPr>
        <w:widowControl/>
        <w:spacing w:line="400" w:lineRule="exact"/>
        <w:ind w:left="420"/>
        <w:rPr>
          <w:rFonts w:ascii="宋体" w:hAnsi="宋体" w:cs="宋体"/>
          <w:kern w:val="0"/>
          <w:szCs w:val="21"/>
          <w:lang w:bidi="ar"/>
        </w:rPr>
      </w:pPr>
      <w:r>
        <w:rPr>
          <w:rFonts w:hint="eastAsia" w:ascii="宋体" w:hAnsi="宋体" w:cs="宋体"/>
          <w:kern w:val="0"/>
          <w:szCs w:val="21"/>
          <w:lang w:bidi="ar"/>
        </w:rPr>
        <w:t>-香精B：200 / 350 = 0.571</w:t>
      </w:r>
    </w:p>
    <w:p w14:paraId="3537C743">
      <w:pPr>
        <w:widowControl/>
        <w:spacing w:line="400" w:lineRule="exact"/>
        <w:ind w:left="420"/>
        <w:rPr>
          <w:rFonts w:ascii="宋体" w:hAnsi="宋体" w:cs="宋体"/>
          <w:kern w:val="0"/>
          <w:szCs w:val="21"/>
          <w:lang w:bidi="ar"/>
        </w:rPr>
      </w:pPr>
      <w:r>
        <w:rPr>
          <w:rFonts w:hint="eastAsia" w:ascii="宋体" w:hAnsi="宋体" w:cs="宋体"/>
          <w:kern w:val="0"/>
          <w:szCs w:val="21"/>
          <w:lang w:bidi="ar"/>
        </w:rPr>
        <w:t>-香精C：50 / 350 = 0.143</w:t>
      </w:r>
    </w:p>
    <w:p w14:paraId="3537C744">
      <w:pPr>
        <w:widowControl/>
        <w:spacing w:line="400" w:lineRule="exact"/>
        <w:ind w:left="420" w:leftChars="200"/>
        <w:rPr>
          <w:rFonts w:ascii="宋体" w:hAnsi="宋体" w:cs="宋体"/>
          <w:kern w:val="0"/>
          <w:szCs w:val="21"/>
          <w:lang w:bidi="ar"/>
        </w:rPr>
      </w:pPr>
      <w:r>
        <w:rPr>
          <w:rFonts w:hint="eastAsia" w:ascii="宋体" w:hAnsi="宋体" w:cs="宋体"/>
          <w:kern w:val="0"/>
          <w:szCs w:val="21"/>
          <w:lang w:bidi="ar"/>
        </w:rPr>
        <w:t>据此分配共用排放 300 kgCO₂e，结果见表D.3。</w:t>
      </w:r>
    </w:p>
    <w:p w14:paraId="3537C745">
      <w:pPr>
        <w:widowControl/>
        <w:spacing w:line="400" w:lineRule="exact"/>
        <w:jc w:val="center"/>
        <w:outlineLvl w:val="2"/>
        <w:rPr>
          <w:rFonts w:ascii="宋体" w:hAnsi="宋体" w:cs="宋体"/>
          <w:b/>
          <w:kern w:val="0"/>
          <w:szCs w:val="21"/>
          <w:lang w:bidi="ar"/>
        </w:rPr>
      </w:pPr>
      <w:r>
        <w:rPr>
          <w:rFonts w:hint="eastAsia" w:ascii="宋体" w:hAnsi="宋体" w:cs="宋体"/>
          <w:b/>
          <w:kern w:val="0"/>
          <w:szCs w:val="21"/>
          <w:lang w:bidi="ar"/>
        </w:rPr>
        <w:t>表D.3 质量分配结果</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2016"/>
        <w:gridCol w:w="4792"/>
      </w:tblGrid>
      <w:tr w14:paraId="3537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shd w:val="clear" w:color="auto" w:fill="F5F5F5"/>
            <w:vAlign w:val="center"/>
          </w:tcPr>
          <w:p w14:paraId="3537C746">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产品</w:t>
            </w:r>
          </w:p>
        </w:tc>
        <w:tc>
          <w:tcPr>
            <w:tcW w:w="2066" w:type="dxa"/>
            <w:shd w:val="clear" w:color="auto" w:fill="F5F5F5"/>
            <w:vAlign w:val="center"/>
          </w:tcPr>
          <w:p w14:paraId="3537C747">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分配因子</w:t>
            </w:r>
          </w:p>
        </w:tc>
        <w:tc>
          <w:tcPr>
            <w:tcW w:w="4926" w:type="dxa"/>
            <w:shd w:val="clear" w:color="auto" w:fill="F5F5F5"/>
            <w:vAlign w:val="center"/>
          </w:tcPr>
          <w:p w14:paraId="3537C748">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分配排放量（kgCO₂e）</w:t>
            </w:r>
          </w:p>
        </w:tc>
      </w:tr>
      <w:tr w14:paraId="3537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14:paraId="3537C74A">
            <w:pPr>
              <w:widowControl/>
              <w:snapToGrid w:val="0"/>
              <w:spacing w:line="400" w:lineRule="exact"/>
              <w:jc w:val="center"/>
              <w:rPr>
                <w:rFonts w:ascii="宋体" w:hAnsi="宋体" w:cs="宋体"/>
                <w:szCs w:val="21"/>
              </w:rPr>
            </w:pPr>
            <w:r>
              <w:rPr>
                <w:rFonts w:hint="eastAsia" w:ascii="宋体" w:hAnsi="宋体" w:cs="宋体"/>
                <w:kern w:val="0"/>
                <w:szCs w:val="21"/>
                <w:lang w:bidi="ar"/>
              </w:rPr>
              <w:t>香精A</w:t>
            </w:r>
          </w:p>
        </w:tc>
        <w:tc>
          <w:tcPr>
            <w:tcW w:w="2066" w:type="dxa"/>
            <w:vAlign w:val="center"/>
          </w:tcPr>
          <w:p w14:paraId="3537C74B">
            <w:pPr>
              <w:widowControl/>
              <w:snapToGrid w:val="0"/>
              <w:spacing w:line="400" w:lineRule="exact"/>
              <w:jc w:val="center"/>
              <w:rPr>
                <w:rFonts w:ascii="宋体" w:hAnsi="宋体" w:cs="宋体"/>
                <w:szCs w:val="21"/>
              </w:rPr>
            </w:pPr>
            <w:r>
              <w:rPr>
                <w:rFonts w:hint="eastAsia" w:ascii="宋体" w:hAnsi="宋体" w:cs="宋体"/>
                <w:kern w:val="0"/>
                <w:szCs w:val="21"/>
                <w:lang w:bidi="ar"/>
              </w:rPr>
              <w:t>0.286</w:t>
            </w:r>
          </w:p>
        </w:tc>
        <w:tc>
          <w:tcPr>
            <w:tcW w:w="4926" w:type="dxa"/>
            <w:vAlign w:val="center"/>
          </w:tcPr>
          <w:p w14:paraId="3537C74C">
            <w:pPr>
              <w:widowControl/>
              <w:snapToGrid w:val="0"/>
              <w:spacing w:line="400" w:lineRule="exact"/>
              <w:jc w:val="center"/>
              <w:rPr>
                <w:rFonts w:ascii="宋体" w:hAnsi="宋体" w:cs="宋体"/>
                <w:szCs w:val="21"/>
              </w:rPr>
            </w:pPr>
            <w:r>
              <w:rPr>
                <w:rFonts w:hint="eastAsia" w:ascii="宋体" w:hAnsi="宋体" w:cs="宋体"/>
                <w:kern w:val="0"/>
                <w:szCs w:val="21"/>
                <w:lang w:bidi="ar"/>
              </w:rPr>
              <w:t>85.8</w:t>
            </w:r>
          </w:p>
        </w:tc>
      </w:tr>
      <w:tr w14:paraId="3537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14:paraId="3537C74E">
            <w:pPr>
              <w:widowControl/>
              <w:snapToGrid w:val="0"/>
              <w:spacing w:line="400" w:lineRule="exact"/>
              <w:jc w:val="center"/>
              <w:rPr>
                <w:rFonts w:ascii="宋体" w:hAnsi="宋体" w:cs="宋体"/>
                <w:szCs w:val="21"/>
              </w:rPr>
            </w:pPr>
            <w:r>
              <w:rPr>
                <w:rFonts w:hint="eastAsia" w:ascii="宋体" w:hAnsi="宋体" w:cs="宋体"/>
                <w:kern w:val="0"/>
                <w:szCs w:val="21"/>
                <w:lang w:bidi="ar"/>
              </w:rPr>
              <w:t>香精B</w:t>
            </w:r>
          </w:p>
        </w:tc>
        <w:tc>
          <w:tcPr>
            <w:tcW w:w="2066" w:type="dxa"/>
            <w:vAlign w:val="center"/>
          </w:tcPr>
          <w:p w14:paraId="3537C74F">
            <w:pPr>
              <w:widowControl/>
              <w:snapToGrid w:val="0"/>
              <w:spacing w:line="400" w:lineRule="exact"/>
              <w:jc w:val="center"/>
              <w:rPr>
                <w:rFonts w:ascii="宋体" w:hAnsi="宋体" w:cs="宋体"/>
                <w:szCs w:val="21"/>
              </w:rPr>
            </w:pPr>
            <w:r>
              <w:rPr>
                <w:rFonts w:hint="eastAsia" w:ascii="宋体" w:hAnsi="宋体" w:cs="宋体"/>
                <w:kern w:val="0"/>
                <w:szCs w:val="21"/>
                <w:lang w:bidi="ar"/>
              </w:rPr>
              <w:t>0.571</w:t>
            </w:r>
          </w:p>
        </w:tc>
        <w:tc>
          <w:tcPr>
            <w:tcW w:w="4926" w:type="dxa"/>
            <w:vAlign w:val="center"/>
          </w:tcPr>
          <w:p w14:paraId="3537C750">
            <w:pPr>
              <w:widowControl/>
              <w:snapToGrid w:val="0"/>
              <w:spacing w:line="400" w:lineRule="exact"/>
              <w:jc w:val="center"/>
              <w:rPr>
                <w:rFonts w:ascii="宋体" w:hAnsi="宋体" w:cs="宋体"/>
                <w:szCs w:val="21"/>
              </w:rPr>
            </w:pPr>
            <w:r>
              <w:rPr>
                <w:rFonts w:hint="eastAsia" w:ascii="宋体" w:hAnsi="宋体" w:cs="宋体"/>
                <w:kern w:val="0"/>
                <w:szCs w:val="21"/>
                <w:lang w:bidi="ar"/>
              </w:rPr>
              <w:t>171.3</w:t>
            </w:r>
          </w:p>
        </w:tc>
      </w:tr>
      <w:tr w14:paraId="3537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14:paraId="3537C752">
            <w:pPr>
              <w:widowControl/>
              <w:snapToGrid w:val="0"/>
              <w:spacing w:line="400" w:lineRule="exact"/>
              <w:jc w:val="center"/>
              <w:rPr>
                <w:rFonts w:ascii="宋体" w:hAnsi="宋体" w:cs="宋体"/>
                <w:szCs w:val="21"/>
              </w:rPr>
            </w:pPr>
            <w:r>
              <w:rPr>
                <w:rFonts w:hint="eastAsia" w:ascii="宋体" w:hAnsi="宋体" w:cs="宋体"/>
                <w:kern w:val="0"/>
                <w:szCs w:val="21"/>
                <w:lang w:bidi="ar"/>
              </w:rPr>
              <w:t>香精C</w:t>
            </w:r>
          </w:p>
        </w:tc>
        <w:tc>
          <w:tcPr>
            <w:tcW w:w="2066" w:type="dxa"/>
            <w:vAlign w:val="center"/>
          </w:tcPr>
          <w:p w14:paraId="3537C753">
            <w:pPr>
              <w:widowControl/>
              <w:snapToGrid w:val="0"/>
              <w:spacing w:line="400" w:lineRule="exact"/>
              <w:jc w:val="center"/>
              <w:rPr>
                <w:rFonts w:ascii="宋体" w:hAnsi="宋体" w:cs="宋体"/>
                <w:szCs w:val="21"/>
              </w:rPr>
            </w:pPr>
            <w:r>
              <w:rPr>
                <w:rFonts w:hint="eastAsia" w:ascii="宋体" w:hAnsi="宋体" w:cs="宋体"/>
                <w:kern w:val="0"/>
                <w:szCs w:val="21"/>
                <w:lang w:bidi="ar"/>
              </w:rPr>
              <w:t>0.143</w:t>
            </w:r>
          </w:p>
        </w:tc>
        <w:tc>
          <w:tcPr>
            <w:tcW w:w="4926" w:type="dxa"/>
            <w:vAlign w:val="center"/>
          </w:tcPr>
          <w:p w14:paraId="3537C754">
            <w:pPr>
              <w:widowControl/>
              <w:snapToGrid w:val="0"/>
              <w:spacing w:line="400" w:lineRule="exact"/>
              <w:jc w:val="center"/>
              <w:rPr>
                <w:rFonts w:ascii="宋体" w:hAnsi="宋体" w:cs="宋体"/>
                <w:szCs w:val="21"/>
              </w:rPr>
            </w:pPr>
            <w:r>
              <w:rPr>
                <w:rFonts w:hint="eastAsia" w:ascii="宋体" w:hAnsi="宋体" w:cs="宋体"/>
                <w:kern w:val="0"/>
                <w:szCs w:val="21"/>
                <w:lang w:bidi="ar"/>
              </w:rPr>
              <w:t>42.9</w:t>
            </w:r>
          </w:p>
        </w:tc>
      </w:tr>
    </w:tbl>
    <w:p w14:paraId="3537C756">
      <w:pPr>
        <w:widowControl/>
        <w:spacing w:line="400" w:lineRule="exact"/>
        <w:ind w:firstLine="422" w:firstLineChars="200"/>
        <w:outlineLvl w:val="1"/>
        <w:rPr>
          <w:rFonts w:ascii="宋体" w:hAnsi="宋体" w:cs="宋体"/>
          <w:b/>
          <w:bCs/>
          <w:kern w:val="0"/>
          <w:szCs w:val="21"/>
          <w:lang w:bidi="ar"/>
        </w:rPr>
      </w:pPr>
      <w:r>
        <w:rPr>
          <w:rFonts w:hint="eastAsia" w:ascii="宋体" w:hAnsi="宋体" w:cs="宋体"/>
          <w:b/>
          <w:bCs/>
          <w:kern w:val="0"/>
          <w:szCs w:val="21"/>
          <w:lang w:bidi="ar"/>
        </w:rPr>
        <w:t>D.3.4 标准工时分配法</w:t>
      </w:r>
    </w:p>
    <w:p w14:paraId="3537C757">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总标准工时 = 8 + 10 + 6 = 24 h。</w:t>
      </w:r>
    </w:p>
    <w:p w14:paraId="3537C758">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各产品的工时分配因子为：</w:t>
      </w:r>
    </w:p>
    <w:p w14:paraId="3537C759">
      <w:pPr>
        <w:widowControl/>
        <w:spacing w:line="400" w:lineRule="exact"/>
        <w:ind w:left="420"/>
        <w:rPr>
          <w:rFonts w:ascii="宋体" w:hAnsi="宋体" w:cs="宋体"/>
          <w:kern w:val="0"/>
          <w:szCs w:val="21"/>
          <w:lang w:bidi="ar"/>
        </w:rPr>
      </w:pPr>
      <w:r>
        <w:rPr>
          <w:rFonts w:hint="eastAsia" w:ascii="宋体" w:hAnsi="宋体" w:cs="宋体"/>
          <w:kern w:val="0"/>
          <w:szCs w:val="21"/>
          <w:lang w:bidi="ar"/>
        </w:rPr>
        <w:t>-香精A：8 / 24 = 0.333</w:t>
      </w:r>
    </w:p>
    <w:p w14:paraId="3537C75A">
      <w:pPr>
        <w:widowControl/>
        <w:spacing w:line="400" w:lineRule="exact"/>
        <w:ind w:left="420"/>
        <w:rPr>
          <w:rFonts w:ascii="宋体" w:hAnsi="宋体" w:cs="宋体"/>
          <w:kern w:val="0"/>
          <w:szCs w:val="21"/>
          <w:lang w:bidi="ar"/>
        </w:rPr>
      </w:pPr>
      <w:r>
        <w:rPr>
          <w:rFonts w:hint="eastAsia" w:ascii="宋体" w:hAnsi="宋体" w:cs="宋体"/>
          <w:kern w:val="0"/>
          <w:szCs w:val="21"/>
          <w:lang w:bidi="ar"/>
        </w:rPr>
        <w:t>-香精B：10 / 24 = 0.417</w:t>
      </w:r>
    </w:p>
    <w:p w14:paraId="3537C75B">
      <w:pPr>
        <w:widowControl/>
        <w:spacing w:line="400" w:lineRule="exact"/>
        <w:ind w:left="420"/>
        <w:rPr>
          <w:rFonts w:ascii="宋体" w:hAnsi="宋体" w:cs="宋体"/>
          <w:kern w:val="0"/>
          <w:szCs w:val="21"/>
          <w:lang w:bidi="ar"/>
        </w:rPr>
      </w:pPr>
      <w:r>
        <w:rPr>
          <w:rFonts w:hint="eastAsia" w:ascii="宋体" w:hAnsi="宋体" w:cs="宋体"/>
          <w:kern w:val="0"/>
          <w:szCs w:val="21"/>
          <w:lang w:bidi="ar"/>
        </w:rPr>
        <w:t>-香精C：6 / 24 = 0.250</w:t>
      </w:r>
    </w:p>
    <w:p w14:paraId="3537C75C">
      <w:pPr>
        <w:widowControl/>
        <w:spacing w:line="400" w:lineRule="exact"/>
        <w:ind w:left="420" w:leftChars="200"/>
        <w:rPr>
          <w:rFonts w:ascii="宋体" w:hAnsi="宋体" w:cs="宋体"/>
          <w:kern w:val="0"/>
          <w:szCs w:val="21"/>
          <w:lang w:bidi="ar"/>
        </w:rPr>
      </w:pPr>
      <w:r>
        <w:rPr>
          <w:rFonts w:hint="eastAsia" w:ascii="宋体" w:hAnsi="宋体" w:cs="宋体"/>
          <w:kern w:val="0"/>
          <w:szCs w:val="21"/>
          <w:lang w:bidi="ar"/>
        </w:rPr>
        <w:t>据此分配共用排放 300 kgCO₂e，结果见表D.4。</w:t>
      </w:r>
    </w:p>
    <w:p w14:paraId="3537C75D">
      <w:pPr>
        <w:widowControl/>
        <w:spacing w:line="400" w:lineRule="exact"/>
        <w:jc w:val="center"/>
        <w:outlineLvl w:val="2"/>
        <w:rPr>
          <w:rFonts w:ascii="宋体" w:hAnsi="宋体" w:cs="宋体"/>
          <w:bCs/>
          <w:kern w:val="0"/>
          <w:szCs w:val="21"/>
          <w:lang w:bidi="ar"/>
        </w:rPr>
      </w:pPr>
      <w:r>
        <w:rPr>
          <w:rFonts w:hint="eastAsia" w:ascii="宋体" w:hAnsi="宋体" w:cs="宋体"/>
          <w:b/>
          <w:kern w:val="0"/>
          <w:szCs w:val="21"/>
          <w:lang w:bidi="ar"/>
        </w:rPr>
        <w:t>表D.4 标准工时分配结果</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2028"/>
        <w:gridCol w:w="4773"/>
      </w:tblGrid>
      <w:tr w14:paraId="3537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shd w:val="clear" w:color="auto" w:fill="F5F5F5"/>
            <w:vAlign w:val="center"/>
          </w:tcPr>
          <w:p w14:paraId="3537C75E">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产品</w:t>
            </w:r>
          </w:p>
        </w:tc>
        <w:tc>
          <w:tcPr>
            <w:tcW w:w="2079" w:type="dxa"/>
            <w:shd w:val="clear" w:color="auto" w:fill="F5F5F5"/>
            <w:vAlign w:val="center"/>
          </w:tcPr>
          <w:p w14:paraId="3537C75F">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分配因子</w:t>
            </w:r>
          </w:p>
        </w:tc>
        <w:tc>
          <w:tcPr>
            <w:tcW w:w="4906" w:type="dxa"/>
            <w:shd w:val="clear" w:color="auto" w:fill="F5F5F5"/>
            <w:vAlign w:val="center"/>
          </w:tcPr>
          <w:p w14:paraId="3537C760">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分配排放量（kgCO₂e）</w:t>
            </w:r>
          </w:p>
        </w:tc>
      </w:tr>
      <w:tr w14:paraId="3537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14:paraId="3537C762">
            <w:pPr>
              <w:widowControl/>
              <w:snapToGrid w:val="0"/>
              <w:spacing w:line="400" w:lineRule="exact"/>
              <w:jc w:val="center"/>
              <w:rPr>
                <w:rFonts w:ascii="宋体" w:hAnsi="宋体" w:cs="宋体"/>
                <w:szCs w:val="21"/>
              </w:rPr>
            </w:pPr>
            <w:r>
              <w:rPr>
                <w:rFonts w:hint="eastAsia" w:ascii="宋体" w:hAnsi="宋体" w:cs="宋体"/>
                <w:kern w:val="0"/>
                <w:szCs w:val="21"/>
                <w:lang w:bidi="ar"/>
              </w:rPr>
              <w:t>香精A</w:t>
            </w:r>
          </w:p>
        </w:tc>
        <w:tc>
          <w:tcPr>
            <w:tcW w:w="2079" w:type="dxa"/>
            <w:vAlign w:val="center"/>
          </w:tcPr>
          <w:p w14:paraId="3537C763">
            <w:pPr>
              <w:widowControl/>
              <w:snapToGrid w:val="0"/>
              <w:spacing w:line="400" w:lineRule="exact"/>
              <w:jc w:val="center"/>
              <w:rPr>
                <w:rFonts w:ascii="宋体" w:hAnsi="宋体" w:cs="宋体"/>
                <w:szCs w:val="21"/>
              </w:rPr>
            </w:pPr>
            <w:r>
              <w:rPr>
                <w:rFonts w:hint="eastAsia" w:ascii="宋体" w:hAnsi="宋体" w:cs="宋体"/>
                <w:kern w:val="0"/>
                <w:szCs w:val="21"/>
                <w:lang w:bidi="ar"/>
              </w:rPr>
              <w:t>0.333</w:t>
            </w:r>
          </w:p>
        </w:tc>
        <w:tc>
          <w:tcPr>
            <w:tcW w:w="4906" w:type="dxa"/>
            <w:vAlign w:val="center"/>
          </w:tcPr>
          <w:p w14:paraId="3537C764">
            <w:pPr>
              <w:widowControl/>
              <w:snapToGrid w:val="0"/>
              <w:spacing w:line="400" w:lineRule="exact"/>
              <w:jc w:val="center"/>
              <w:rPr>
                <w:rFonts w:ascii="宋体" w:hAnsi="宋体" w:cs="宋体"/>
                <w:szCs w:val="21"/>
              </w:rPr>
            </w:pPr>
            <w:r>
              <w:rPr>
                <w:rFonts w:hint="eastAsia" w:ascii="宋体" w:hAnsi="宋体" w:cs="宋体"/>
                <w:kern w:val="0"/>
                <w:szCs w:val="21"/>
                <w:lang w:bidi="ar"/>
              </w:rPr>
              <w:t>99.9</w:t>
            </w:r>
          </w:p>
        </w:tc>
      </w:tr>
      <w:tr w14:paraId="3537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14:paraId="3537C766">
            <w:pPr>
              <w:widowControl/>
              <w:snapToGrid w:val="0"/>
              <w:spacing w:line="400" w:lineRule="exact"/>
              <w:jc w:val="center"/>
              <w:rPr>
                <w:rFonts w:ascii="宋体" w:hAnsi="宋体" w:cs="宋体"/>
                <w:szCs w:val="21"/>
              </w:rPr>
            </w:pPr>
            <w:r>
              <w:rPr>
                <w:rFonts w:hint="eastAsia" w:ascii="宋体" w:hAnsi="宋体" w:cs="宋体"/>
                <w:kern w:val="0"/>
                <w:szCs w:val="21"/>
                <w:lang w:bidi="ar"/>
              </w:rPr>
              <w:t>香精B</w:t>
            </w:r>
          </w:p>
        </w:tc>
        <w:tc>
          <w:tcPr>
            <w:tcW w:w="2079" w:type="dxa"/>
            <w:vAlign w:val="center"/>
          </w:tcPr>
          <w:p w14:paraId="3537C767">
            <w:pPr>
              <w:widowControl/>
              <w:snapToGrid w:val="0"/>
              <w:spacing w:line="400" w:lineRule="exact"/>
              <w:jc w:val="center"/>
              <w:rPr>
                <w:rFonts w:ascii="宋体" w:hAnsi="宋体" w:cs="宋体"/>
                <w:szCs w:val="21"/>
              </w:rPr>
            </w:pPr>
            <w:r>
              <w:rPr>
                <w:rFonts w:hint="eastAsia" w:ascii="宋体" w:hAnsi="宋体" w:cs="宋体"/>
                <w:kern w:val="0"/>
                <w:szCs w:val="21"/>
                <w:lang w:bidi="ar"/>
              </w:rPr>
              <w:t>0.417</w:t>
            </w:r>
          </w:p>
        </w:tc>
        <w:tc>
          <w:tcPr>
            <w:tcW w:w="4906" w:type="dxa"/>
            <w:vAlign w:val="center"/>
          </w:tcPr>
          <w:p w14:paraId="3537C768">
            <w:pPr>
              <w:widowControl/>
              <w:snapToGrid w:val="0"/>
              <w:spacing w:line="400" w:lineRule="exact"/>
              <w:jc w:val="center"/>
              <w:rPr>
                <w:rFonts w:ascii="宋体" w:hAnsi="宋体" w:cs="宋体"/>
                <w:szCs w:val="21"/>
              </w:rPr>
            </w:pPr>
            <w:r>
              <w:rPr>
                <w:rFonts w:hint="eastAsia" w:ascii="宋体" w:hAnsi="宋体" w:cs="宋体"/>
                <w:kern w:val="0"/>
                <w:szCs w:val="21"/>
                <w:lang w:bidi="ar"/>
              </w:rPr>
              <w:t>125.1</w:t>
            </w:r>
          </w:p>
        </w:tc>
      </w:tr>
      <w:tr w14:paraId="3537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14:paraId="3537C76A">
            <w:pPr>
              <w:widowControl/>
              <w:snapToGrid w:val="0"/>
              <w:spacing w:line="400" w:lineRule="exact"/>
              <w:jc w:val="center"/>
              <w:rPr>
                <w:rFonts w:ascii="宋体" w:hAnsi="宋体" w:cs="宋体"/>
                <w:szCs w:val="21"/>
              </w:rPr>
            </w:pPr>
            <w:r>
              <w:rPr>
                <w:rFonts w:hint="eastAsia" w:ascii="宋体" w:hAnsi="宋体" w:cs="宋体"/>
                <w:kern w:val="0"/>
                <w:szCs w:val="21"/>
                <w:lang w:bidi="ar"/>
              </w:rPr>
              <w:t>香精C</w:t>
            </w:r>
          </w:p>
        </w:tc>
        <w:tc>
          <w:tcPr>
            <w:tcW w:w="2079" w:type="dxa"/>
            <w:vAlign w:val="center"/>
          </w:tcPr>
          <w:p w14:paraId="3537C76B">
            <w:pPr>
              <w:widowControl/>
              <w:snapToGrid w:val="0"/>
              <w:spacing w:line="400" w:lineRule="exact"/>
              <w:jc w:val="center"/>
              <w:rPr>
                <w:rFonts w:ascii="宋体" w:hAnsi="宋体" w:cs="宋体"/>
                <w:szCs w:val="21"/>
              </w:rPr>
            </w:pPr>
            <w:r>
              <w:rPr>
                <w:rFonts w:hint="eastAsia" w:ascii="宋体" w:hAnsi="宋体" w:cs="宋体"/>
                <w:kern w:val="0"/>
                <w:szCs w:val="21"/>
                <w:lang w:bidi="ar"/>
              </w:rPr>
              <w:t>0.250</w:t>
            </w:r>
          </w:p>
        </w:tc>
        <w:tc>
          <w:tcPr>
            <w:tcW w:w="4906" w:type="dxa"/>
            <w:vAlign w:val="center"/>
          </w:tcPr>
          <w:p w14:paraId="3537C76C">
            <w:pPr>
              <w:widowControl/>
              <w:snapToGrid w:val="0"/>
              <w:spacing w:line="400" w:lineRule="exact"/>
              <w:jc w:val="center"/>
              <w:rPr>
                <w:rFonts w:ascii="宋体" w:hAnsi="宋体" w:cs="宋体"/>
                <w:szCs w:val="21"/>
              </w:rPr>
            </w:pPr>
            <w:r>
              <w:rPr>
                <w:rFonts w:hint="eastAsia" w:ascii="宋体" w:hAnsi="宋体" w:cs="宋体"/>
                <w:kern w:val="0"/>
                <w:szCs w:val="21"/>
                <w:lang w:bidi="ar"/>
              </w:rPr>
              <w:t>75.0</w:t>
            </w:r>
          </w:p>
        </w:tc>
      </w:tr>
    </w:tbl>
    <w:p w14:paraId="3537C76E">
      <w:pPr>
        <w:widowControl/>
        <w:spacing w:line="400" w:lineRule="exact"/>
        <w:ind w:firstLine="422" w:firstLineChars="200"/>
        <w:outlineLvl w:val="1"/>
        <w:rPr>
          <w:rFonts w:ascii="宋体" w:hAnsi="宋体" w:cs="宋体"/>
          <w:b/>
          <w:bCs/>
          <w:kern w:val="0"/>
          <w:szCs w:val="21"/>
          <w:lang w:bidi="ar"/>
        </w:rPr>
      </w:pPr>
      <w:r>
        <w:rPr>
          <w:rFonts w:hint="eastAsia" w:ascii="宋体" w:hAnsi="宋体" w:cs="宋体"/>
          <w:b/>
          <w:bCs/>
          <w:kern w:val="0"/>
          <w:szCs w:val="21"/>
          <w:lang w:bidi="ar"/>
        </w:rPr>
        <w:t>D.3.5 经济分配法</w:t>
      </w:r>
    </w:p>
    <w:p w14:paraId="3537C76F">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各产品的销售额为：</w:t>
      </w:r>
    </w:p>
    <w:p w14:paraId="3537C770">
      <w:pPr>
        <w:widowControl/>
        <w:spacing w:line="400" w:lineRule="exact"/>
        <w:ind w:left="420"/>
        <w:rPr>
          <w:rFonts w:ascii="宋体" w:hAnsi="宋体" w:cs="宋体"/>
          <w:kern w:val="0"/>
          <w:szCs w:val="21"/>
          <w:lang w:bidi="ar"/>
        </w:rPr>
      </w:pPr>
      <w:r>
        <w:rPr>
          <w:rFonts w:hint="eastAsia" w:ascii="宋体" w:hAnsi="宋体" w:cs="宋体"/>
          <w:kern w:val="0"/>
          <w:szCs w:val="21"/>
          <w:lang w:bidi="ar"/>
        </w:rPr>
        <w:t>-香精A：100 × 40 = 4,000 元</w:t>
      </w:r>
    </w:p>
    <w:p w14:paraId="3537C771">
      <w:pPr>
        <w:widowControl/>
        <w:spacing w:line="400" w:lineRule="exact"/>
        <w:ind w:left="420"/>
        <w:rPr>
          <w:rFonts w:ascii="宋体" w:hAnsi="宋体" w:cs="宋体"/>
          <w:kern w:val="0"/>
          <w:szCs w:val="21"/>
          <w:lang w:bidi="ar"/>
        </w:rPr>
      </w:pPr>
      <w:r>
        <w:rPr>
          <w:rFonts w:hint="eastAsia" w:ascii="宋体" w:hAnsi="宋体" w:cs="宋体"/>
          <w:kern w:val="0"/>
          <w:szCs w:val="21"/>
          <w:lang w:bidi="ar"/>
        </w:rPr>
        <w:t>-香精B：200 × 20 = 4,000 元</w:t>
      </w:r>
    </w:p>
    <w:p w14:paraId="3537C772">
      <w:pPr>
        <w:widowControl/>
        <w:spacing w:line="400" w:lineRule="exact"/>
        <w:ind w:left="420"/>
        <w:rPr>
          <w:rFonts w:ascii="宋体" w:hAnsi="宋体" w:cs="宋体"/>
          <w:kern w:val="0"/>
          <w:szCs w:val="21"/>
          <w:lang w:bidi="ar"/>
        </w:rPr>
      </w:pPr>
      <w:r>
        <w:rPr>
          <w:rFonts w:hint="eastAsia" w:ascii="宋体" w:hAnsi="宋体" w:cs="宋体"/>
          <w:kern w:val="0"/>
          <w:szCs w:val="21"/>
          <w:lang w:bidi="ar"/>
        </w:rPr>
        <w:t>-香精C：50 × 80 = 4,000 元</w:t>
      </w:r>
    </w:p>
    <w:p w14:paraId="3537C773">
      <w:pPr>
        <w:widowControl/>
        <w:spacing w:line="400" w:lineRule="exact"/>
        <w:ind w:left="420" w:leftChars="200"/>
        <w:rPr>
          <w:rFonts w:ascii="宋体" w:hAnsi="宋体" w:cs="宋体"/>
          <w:kern w:val="0"/>
          <w:szCs w:val="21"/>
          <w:lang w:bidi="ar"/>
        </w:rPr>
      </w:pPr>
      <w:r>
        <w:rPr>
          <w:rFonts w:hint="eastAsia" w:ascii="宋体" w:hAnsi="宋体" w:cs="宋体"/>
          <w:kern w:val="0"/>
          <w:szCs w:val="21"/>
          <w:lang w:bidi="ar"/>
        </w:rPr>
        <w:t>-总销售额 = 12,000 元。</w:t>
      </w:r>
    </w:p>
    <w:p w14:paraId="3537C774">
      <w:pPr>
        <w:widowControl/>
        <w:spacing w:line="400" w:lineRule="exact"/>
        <w:ind w:left="420" w:leftChars="200"/>
        <w:rPr>
          <w:rFonts w:ascii="宋体" w:hAnsi="宋体" w:cs="宋体"/>
          <w:kern w:val="0"/>
          <w:szCs w:val="21"/>
          <w:lang w:bidi="ar"/>
        </w:rPr>
      </w:pPr>
      <w:r>
        <w:rPr>
          <w:rFonts w:hint="eastAsia" w:ascii="宋体" w:hAnsi="宋体" w:cs="宋体"/>
          <w:kern w:val="0"/>
          <w:szCs w:val="21"/>
          <w:lang w:bidi="ar"/>
        </w:rPr>
        <w:t>据此，各产品分配因子均为 0.333，分配结果见表D.5。</w:t>
      </w:r>
    </w:p>
    <w:p w14:paraId="3537C775">
      <w:pPr>
        <w:widowControl/>
        <w:spacing w:line="400" w:lineRule="exact"/>
        <w:jc w:val="center"/>
        <w:outlineLvl w:val="2"/>
        <w:rPr>
          <w:rFonts w:ascii="宋体" w:hAnsi="宋体" w:cs="宋体"/>
          <w:b/>
          <w:kern w:val="0"/>
          <w:szCs w:val="21"/>
          <w:lang w:bidi="ar"/>
        </w:rPr>
      </w:pPr>
      <w:r>
        <w:rPr>
          <w:rFonts w:hint="eastAsia" w:ascii="宋体" w:hAnsi="宋体" w:cs="宋体"/>
          <w:b/>
          <w:kern w:val="0"/>
          <w:szCs w:val="21"/>
          <w:lang w:bidi="ar"/>
        </w:rPr>
        <w:t>表D.5 经济分配结果</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2029"/>
        <w:gridCol w:w="4792"/>
      </w:tblGrid>
      <w:tr w14:paraId="3537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shd w:val="clear" w:color="auto" w:fill="F5F5F5"/>
            <w:vAlign w:val="center"/>
          </w:tcPr>
          <w:p w14:paraId="3537C776">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产品</w:t>
            </w:r>
          </w:p>
        </w:tc>
        <w:tc>
          <w:tcPr>
            <w:tcW w:w="2080" w:type="dxa"/>
            <w:shd w:val="clear" w:color="auto" w:fill="F5F5F5"/>
            <w:vAlign w:val="center"/>
          </w:tcPr>
          <w:p w14:paraId="3537C777">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分配因子</w:t>
            </w:r>
          </w:p>
        </w:tc>
        <w:tc>
          <w:tcPr>
            <w:tcW w:w="4926" w:type="dxa"/>
            <w:shd w:val="clear" w:color="auto" w:fill="F5F5F5"/>
            <w:vAlign w:val="center"/>
          </w:tcPr>
          <w:p w14:paraId="3537C778">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分配排放量（kgCO₂e）</w:t>
            </w:r>
          </w:p>
        </w:tc>
      </w:tr>
      <w:tr w14:paraId="3537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Align w:val="center"/>
          </w:tcPr>
          <w:p w14:paraId="3537C77A">
            <w:pPr>
              <w:widowControl/>
              <w:snapToGrid w:val="0"/>
              <w:spacing w:line="400" w:lineRule="exact"/>
              <w:jc w:val="center"/>
              <w:rPr>
                <w:rFonts w:ascii="宋体" w:hAnsi="宋体" w:cs="宋体"/>
                <w:szCs w:val="21"/>
              </w:rPr>
            </w:pPr>
            <w:r>
              <w:rPr>
                <w:rFonts w:hint="eastAsia" w:ascii="宋体" w:hAnsi="宋体" w:cs="宋体"/>
                <w:kern w:val="0"/>
                <w:szCs w:val="21"/>
                <w:lang w:bidi="ar"/>
              </w:rPr>
              <w:t>香精A</w:t>
            </w:r>
          </w:p>
        </w:tc>
        <w:tc>
          <w:tcPr>
            <w:tcW w:w="2080" w:type="dxa"/>
            <w:vAlign w:val="center"/>
          </w:tcPr>
          <w:p w14:paraId="3537C77B">
            <w:pPr>
              <w:widowControl/>
              <w:snapToGrid w:val="0"/>
              <w:spacing w:line="400" w:lineRule="exact"/>
              <w:jc w:val="center"/>
              <w:rPr>
                <w:rFonts w:ascii="宋体" w:hAnsi="宋体" w:cs="宋体"/>
                <w:szCs w:val="21"/>
              </w:rPr>
            </w:pPr>
            <w:r>
              <w:rPr>
                <w:rFonts w:hint="eastAsia" w:ascii="宋体" w:hAnsi="宋体" w:cs="宋体"/>
                <w:kern w:val="0"/>
                <w:szCs w:val="21"/>
                <w:lang w:bidi="ar"/>
              </w:rPr>
              <w:t>0.333</w:t>
            </w:r>
          </w:p>
        </w:tc>
        <w:tc>
          <w:tcPr>
            <w:tcW w:w="4926" w:type="dxa"/>
            <w:vAlign w:val="center"/>
          </w:tcPr>
          <w:p w14:paraId="3537C77C">
            <w:pPr>
              <w:widowControl/>
              <w:snapToGrid w:val="0"/>
              <w:spacing w:line="400" w:lineRule="exact"/>
              <w:jc w:val="center"/>
              <w:rPr>
                <w:rFonts w:ascii="宋体" w:hAnsi="宋体" w:cs="宋体"/>
                <w:szCs w:val="21"/>
              </w:rPr>
            </w:pPr>
            <w:r>
              <w:rPr>
                <w:rFonts w:hint="eastAsia" w:ascii="宋体" w:hAnsi="宋体" w:cs="宋体"/>
                <w:kern w:val="0"/>
                <w:szCs w:val="21"/>
                <w:lang w:bidi="ar"/>
              </w:rPr>
              <w:t>100.0</w:t>
            </w:r>
          </w:p>
        </w:tc>
      </w:tr>
      <w:tr w14:paraId="3537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Align w:val="center"/>
          </w:tcPr>
          <w:p w14:paraId="3537C77E">
            <w:pPr>
              <w:widowControl/>
              <w:snapToGrid w:val="0"/>
              <w:spacing w:line="400" w:lineRule="exact"/>
              <w:jc w:val="center"/>
              <w:rPr>
                <w:rFonts w:ascii="宋体" w:hAnsi="宋体" w:cs="宋体"/>
                <w:szCs w:val="21"/>
              </w:rPr>
            </w:pPr>
            <w:r>
              <w:rPr>
                <w:rFonts w:hint="eastAsia" w:ascii="宋体" w:hAnsi="宋体" w:cs="宋体"/>
                <w:kern w:val="0"/>
                <w:szCs w:val="21"/>
                <w:lang w:bidi="ar"/>
              </w:rPr>
              <w:t>香精B</w:t>
            </w:r>
          </w:p>
        </w:tc>
        <w:tc>
          <w:tcPr>
            <w:tcW w:w="2080" w:type="dxa"/>
            <w:vAlign w:val="center"/>
          </w:tcPr>
          <w:p w14:paraId="3537C77F">
            <w:pPr>
              <w:widowControl/>
              <w:snapToGrid w:val="0"/>
              <w:spacing w:line="400" w:lineRule="exact"/>
              <w:jc w:val="center"/>
              <w:rPr>
                <w:rFonts w:ascii="宋体" w:hAnsi="宋体" w:cs="宋体"/>
                <w:szCs w:val="21"/>
              </w:rPr>
            </w:pPr>
            <w:r>
              <w:rPr>
                <w:rFonts w:hint="eastAsia" w:ascii="宋体" w:hAnsi="宋体" w:cs="宋体"/>
                <w:kern w:val="0"/>
                <w:szCs w:val="21"/>
                <w:lang w:bidi="ar"/>
              </w:rPr>
              <w:t>0.333</w:t>
            </w:r>
          </w:p>
        </w:tc>
        <w:tc>
          <w:tcPr>
            <w:tcW w:w="4926" w:type="dxa"/>
            <w:vAlign w:val="center"/>
          </w:tcPr>
          <w:p w14:paraId="3537C780">
            <w:pPr>
              <w:widowControl/>
              <w:snapToGrid w:val="0"/>
              <w:spacing w:line="400" w:lineRule="exact"/>
              <w:jc w:val="center"/>
              <w:rPr>
                <w:rFonts w:ascii="宋体" w:hAnsi="宋体" w:cs="宋体"/>
                <w:szCs w:val="21"/>
              </w:rPr>
            </w:pPr>
            <w:r>
              <w:rPr>
                <w:rFonts w:hint="eastAsia" w:ascii="宋体" w:hAnsi="宋体" w:cs="宋体"/>
                <w:kern w:val="0"/>
                <w:szCs w:val="21"/>
                <w:lang w:bidi="ar"/>
              </w:rPr>
              <w:t>100.0</w:t>
            </w:r>
          </w:p>
        </w:tc>
      </w:tr>
      <w:tr w14:paraId="3537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Align w:val="center"/>
          </w:tcPr>
          <w:p w14:paraId="3537C782">
            <w:pPr>
              <w:widowControl/>
              <w:snapToGrid w:val="0"/>
              <w:spacing w:line="400" w:lineRule="exact"/>
              <w:jc w:val="center"/>
              <w:rPr>
                <w:rFonts w:ascii="宋体" w:hAnsi="宋体" w:cs="宋体"/>
                <w:szCs w:val="21"/>
              </w:rPr>
            </w:pPr>
            <w:r>
              <w:rPr>
                <w:rFonts w:hint="eastAsia" w:ascii="宋体" w:hAnsi="宋体" w:cs="宋体"/>
                <w:kern w:val="0"/>
                <w:szCs w:val="21"/>
                <w:lang w:bidi="ar"/>
              </w:rPr>
              <w:t>香精C</w:t>
            </w:r>
          </w:p>
        </w:tc>
        <w:tc>
          <w:tcPr>
            <w:tcW w:w="2080" w:type="dxa"/>
            <w:vAlign w:val="center"/>
          </w:tcPr>
          <w:p w14:paraId="3537C783">
            <w:pPr>
              <w:widowControl/>
              <w:snapToGrid w:val="0"/>
              <w:spacing w:line="400" w:lineRule="exact"/>
              <w:jc w:val="center"/>
              <w:rPr>
                <w:rFonts w:ascii="宋体" w:hAnsi="宋体" w:cs="宋体"/>
                <w:szCs w:val="21"/>
              </w:rPr>
            </w:pPr>
            <w:r>
              <w:rPr>
                <w:rFonts w:hint="eastAsia" w:ascii="宋体" w:hAnsi="宋体" w:cs="宋体"/>
                <w:kern w:val="0"/>
                <w:szCs w:val="21"/>
                <w:lang w:bidi="ar"/>
              </w:rPr>
              <w:t>0.333</w:t>
            </w:r>
          </w:p>
        </w:tc>
        <w:tc>
          <w:tcPr>
            <w:tcW w:w="4926" w:type="dxa"/>
            <w:vAlign w:val="center"/>
          </w:tcPr>
          <w:p w14:paraId="3537C784">
            <w:pPr>
              <w:widowControl/>
              <w:snapToGrid w:val="0"/>
              <w:spacing w:line="400" w:lineRule="exact"/>
              <w:jc w:val="center"/>
              <w:rPr>
                <w:rFonts w:ascii="宋体" w:hAnsi="宋体" w:cs="宋体"/>
                <w:szCs w:val="21"/>
              </w:rPr>
            </w:pPr>
            <w:r>
              <w:rPr>
                <w:rFonts w:hint="eastAsia" w:ascii="宋体" w:hAnsi="宋体" w:cs="宋体"/>
                <w:kern w:val="0"/>
                <w:szCs w:val="21"/>
                <w:lang w:bidi="ar"/>
              </w:rPr>
              <w:t>100.0</w:t>
            </w:r>
          </w:p>
        </w:tc>
      </w:tr>
    </w:tbl>
    <w:p w14:paraId="3537C786">
      <w:pPr>
        <w:widowControl/>
        <w:spacing w:line="400" w:lineRule="exact"/>
        <w:ind w:firstLine="422" w:firstLineChars="200"/>
        <w:outlineLvl w:val="1"/>
        <w:rPr>
          <w:rFonts w:ascii="宋体" w:hAnsi="宋体" w:cs="宋体"/>
          <w:b/>
          <w:bCs/>
          <w:kern w:val="0"/>
          <w:szCs w:val="21"/>
          <w:lang w:bidi="ar"/>
        </w:rPr>
      </w:pPr>
      <w:r>
        <w:rPr>
          <w:rFonts w:hint="eastAsia" w:ascii="宋体" w:hAnsi="宋体" w:cs="宋体"/>
          <w:b/>
          <w:bCs/>
          <w:kern w:val="0"/>
          <w:szCs w:val="21"/>
          <w:lang w:bidi="ar"/>
        </w:rPr>
        <w:t>D.3.6 结果说明</w:t>
      </w:r>
    </w:p>
    <w:p w14:paraId="3537C787">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当资源消耗与产品产量密切相关时，可优先采用质量分配法。</w:t>
      </w:r>
    </w:p>
    <w:p w14:paraId="3537C788">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当不同产品在设备占用、加工时间或工艺复杂度上差异较大时，标准工时分配法通常更能反映物理因果关系。</w:t>
      </w:r>
    </w:p>
    <w:p w14:paraId="3537C789">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当无法建立合理物理因果关系时，可采用经济分配法，并应说明价格来源、时间窗口及稳定性处理方式。</w:t>
      </w:r>
    </w:p>
    <w:p w14:paraId="3537C78A">
      <w:pPr>
        <w:widowControl/>
        <w:spacing w:line="400" w:lineRule="exact"/>
        <w:outlineLvl w:val="1"/>
        <w:rPr>
          <w:rFonts w:ascii="宋体" w:hAnsi="宋体" w:cs="宋体"/>
          <w:b/>
          <w:bCs/>
          <w:kern w:val="0"/>
          <w:szCs w:val="21"/>
          <w:lang w:bidi="ar"/>
        </w:rPr>
      </w:pPr>
      <w:r>
        <w:rPr>
          <w:rFonts w:hint="eastAsia" w:ascii="宋体" w:hAnsi="宋体" w:cs="宋体"/>
          <w:b/>
          <w:bCs/>
          <w:kern w:val="0"/>
          <w:szCs w:val="21"/>
          <w:lang w:bidi="ar"/>
        </w:rPr>
        <w:t>D.4 天然提取/蒸馏副产物分配示例</w:t>
      </w:r>
    </w:p>
    <w:p w14:paraId="3537C78B">
      <w:pPr>
        <w:widowControl/>
        <w:spacing w:line="400" w:lineRule="exact"/>
        <w:ind w:firstLine="422" w:firstLineChars="200"/>
        <w:outlineLvl w:val="1"/>
        <w:rPr>
          <w:rFonts w:ascii="宋体" w:hAnsi="宋体" w:cs="宋体"/>
          <w:b/>
          <w:bCs/>
          <w:kern w:val="0"/>
          <w:szCs w:val="21"/>
          <w:lang w:bidi="ar"/>
        </w:rPr>
      </w:pPr>
      <w:r>
        <w:rPr>
          <w:rFonts w:hint="eastAsia" w:ascii="宋体" w:hAnsi="宋体" w:cs="宋体"/>
          <w:b/>
          <w:bCs/>
          <w:kern w:val="0"/>
          <w:szCs w:val="21"/>
          <w:lang w:bidi="ar"/>
        </w:rPr>
        <w:t>D.4.1 场景说明</w:t>
      </w:r>
    </w:p>
    <w:p w14:paraId="3537C78C">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某天然植物蒸馏过程同时产出：</w:t>
      </w:r>
    </w:p>
    <w:p w14:paraId="3537C78D">
      <w:pPr>
        <w:widowControl/>
        <w:spacing w:line="400" w:lineRule="exact"/>
        <w:ind w:left="420"/>
        <w:rPr>
          <w:rFonts w:ascii="宋体" w:hAnsi="宋体" w:cs="宋体"/>
          <w:kern w:val="0"/>
          <w:szCs w:val="21"/>
          <w:lang w:bidi="ar"/>
        </w:rPr>
      </w:pPr>
      <w:r>
        <w:rPr>
          <w:rFonts w:hint="eastAsia" w:ascii="宋体" w:hAnsi="宋体" w:cs="宋体"/>
          <w:kern w:val="0"/>
          <w:szCs w:val="21"/>
          <w:lang w:bidi="ar"/>
        </w:rPr>
        <w:t>-精油：10 kg</w:t>
      </w:r>
    </w:p>
    <w:p w14:paraId="3537C78E">
      <w:pPr>
        <w:widowControl/>
        <w:spacing w:line="400" w:lineRule="exact"/>
        <w:ind w:left="420"/>
        <w:rPr>
          <w:rFonts w:ascii="宋体" w:hAnsi="宋体" w:cs="宋体"/>
          <w:kern w:val="0"/>
          <w:szCs w:val="21"/>
          <w:lang w:bidi="ar"/>
        </w:rPr>
      </w:pPr>
      <w:r>
        <w:rPr>
          <w:rFonts w:hint="eastAsia" w:ascii="宋体" w:hAnsi="宋体" w:cs="宋体"/>
          <w:kern w:val="0"/>
          <w:szCs w:val="21"/>
          <w:lang w:bidi="ar"/>
        </w:rPr>
        <w:t>-植物水：90 kg</w:t>
      </w:r>
    </w:p>
    <w:p w14:paraId="3537C78F">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该过程总碳排放为 100 kgCO₂e。</w:t>
      </w:r>
    </w:p>
    <w:p w14:paraId="3537C790">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本示例适用于天然植物提取、蒸馏或发酵过程中产生副产物的情形，常见于天然香料和部分生物基原料生产。</w:t>
      </w:r>
    </w:p>
    <w:p w14:paraId="3537C791">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企业可在质量分配法与能够反映物理因果关系的有效组分分配法之间进行选择。</w:t>
      </w:r>
    </w:p>
    <w:p w14:paraId="3537C792">
      <w:pPr>
        <w:widowControl/>
        <w:spacing w:line="400" w:lineRule="exact"/>
        <w:ind w:firstLine="422" w:firstLineChars="200"/>
        <w:outlineLvl w:val="1"/>
        <w:rPr>
          <w:rFonts w:ascii="宋体" w:hAnsi="宋体" w:cs="宋体"/>
          <w:b/>
          <w:bCs/>
          <w:kern w:val="0"/>
          <w:szCs w:val="21"/>
          <w:lang w:bidi="ar"/>
        </w:rPr>
      </w:pPr>
      <w:r>
        <w:rPr>
          <w:rFonts w:hint="eastAsia" w:ascii="宋体" w:hAnsi="宋体" w:cs="宋体"/>
          <w:b/>
          <w:bCs/>
          <w:kern w:val="0"/>
          <w:szCs w:val="21"/>
          <w:lang w:bidi="ar"/>
        </w:rPr>
        <w:t>D.4.2 质量分配法</w:t>
      </w:r>
    </w:p>
    <w:p w14:paraId="3537C793">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总产量 = 10 + 90 = 100 kg。</w:t>
      </w:r>
    </w:p>
    <w:p w14:paraId="3537C794">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各产出物分配因子为：</w:t>
      </w:r>
    </w:p>
    <w:p w14:paraId="3537C795">
      <w:pPr>
        <w:widowControl/>
        <w:spacing w:line="400" w:lineRule="exact"/>
        <w:ind w:left="420"/>
        <w:rPr>
          <w:rFonts w:ascii="宋体" w:hAnsi="宋体" w:cs="宋体"/>
          <w:kern w:val="0"/>
          <w:szCs w:val="21"/>
          <w:lang w:bidi="ar"/>
        </w:rPr>
      </w:pPr>
      <w:r>
        <w:rPr>
          <w:rFonts w:hint="eastAsia" w:ascii="宋体" w:hAnsi="宋体" w:cs="宋体"/>
          <w:kern w:val="0"/>
          <w:szCs w:val="21"/>
          <w:lang w:bidi="ar"/>
        </w:rPr>
        <w:t>-精油：10 / 100 = 0.10</w:t>
      </w:r>
    </w:p>
    <w:p w14:paraId="3537C796">
      <w:pPr>
        <w:widowControl/>
        <w:spacing w:line="400" w:lineRule="exact"/>
        <w:ind w:left="420"/>
        <w:rPr>
          <w:rFonts w:ascii="宋体" w:hAnsi="宋体" w:cs="宋体"/>
          <w:kern w:val="0"/>
          <w:szCs w:val="21"/>
          <w:lang w:bidi="ar"/>
        </w:rPr>
      </w:pPr>
      <w:r>
        <w:rPr>
          <w:rFonts w:hint="eastAsia" w:ascii="宋体" w:hAnsi="宋体" w:cs="宋体"/>
          <w:kern w:val="0"/>
          <w:szCs w:val="21"/>
          <w:lang w:bidi="ar"/>
        </w:rPr>
        <w:t>-植物水：90 / 100 = 0.90</w:t>
      </w:r>
    </w:p>
    <w:p w14:paraId="3537C797">
      <w:pPr>
        <w:widowControl/>
        <w:spacing w:line="400" w:lineRule="exact"/>
        <w:ind w:left="420" w:leftChars="200"/>
        <w:rPr>
          <w:rFonts w:ascii="宋体" w:hAnsi="宋体" w:cs="宋体"/>
          <w:kern w:val="0"/>
          <w:szCs w:val="21"/>
          <w:lang w:bidi="ar"/>
        </w:rPr>
      </w:pPr>
      <w:r>
        <w:rPr>
          <w:rFonts w:hint="eastAsia" w:ascii="宋体" w:hAnsi="宋体" w:cs="宋体"/>
          <w:kern w:val="0"/>
          <w:szCs w:val="21"/>
          <w:lang w:bidi="ar"/>
        </w:rPr>
        <w:t>据此分配过程排放 100 kgCO₂e，结果见表D.6。</w:t>
      </w:r>
    </w:p>
    <w:p w14:paraId="3537C798">
      <w:pPr>
        <w:widowControl/>
        <w:spacing w:line="400" w:lineRule="exact"/>
        <w:jc w:val="center"/>
        <w:outlineLvl w:val="2"/>
        <w:rPr>
          <w:rFonts w:ascii="宋体" w:hAnsi="宋体" w:cs="宋体"/>
          <w:b/>
          <w:kern w:val="0"/>
          <w:szCs w:val="21"/>
          <w:lang w:bidi="ar"/>
        </w:rPr>
      </w:pPr>
      <w:r>
        <w:rPr>
          <w:rFonts w:hint="eastAsia" w:ascii="宋体" w:hAnsi="宋体" w:cs="宋体"/>
          <w:b/>
          <w:kern w:val="0"/>
          <w:szCs w:val="21"/>
          <w:lang w:bidi="ar"/>
        </w:rPr>
        <w:t>表D.6 质量分配结果</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1967"/>
        <w:gridCol w:w="4729"/>
      </w:tblGrid>
      <w:tr w14:paraId="3537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shd w:val="clear" w:color="auto" w:fill="F5F5F5"/>
            <w:vAlign w:val="center"/>
          </w:tcPr>
          <w:p w14:paraId="3537C799">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产出物</w:t>
            </w:r>
          </w:p>
        </w:tc>
        <w:tc>
          <w:tcPr>
            <w:tcW w:w="2018" w:type="dxa"/>
            <w:shd w:val="clear" w:color="auto" w:fill="F5F5F5"/>
            <w:vAlign w:val="center"/>
          </w:tcPr>
          <w:p w14:paraId="3537C79A">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分配因子</w:t>
            </w:r>
          </w:p>
        </w:tc>
        <w:tc>
          <w:tcPr>
            <w:tcW w:w="4858" w:type="dxa"/>
            <w:shd w:val="clear" w:color="auto" w:fill="F5F5F5"/>
            <w:vAlign w:val="center"/>
          </w:tcPr>
          <w:p w14:paraId="3537C79B">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分配排放量（kgCO₂e）</w:t>
            </w:r>
          </w:p>
        </w:tc>
      </w:tr>
      <w:tr w14:paraId="3537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3537C79D">
            <w:pPr>
              <w:widowControl/>
              <w:snapToGrid w:val="0"/>
              <w:spacing w:line="400" w:lineRule="exact"/>
              <w:jc w:val="center"/>
              <w:rPr>
                <w:rFonts w:ascii="宋体" w:hAnsi="宋体" w:cs="宋体"/>
                <w:szCs w:val="21"/>
              </w:rPr>
            </w:pPr>
            <w:r>
              <w:rPr>
                <w:rFonts w:hint="eastAsia" w:ascii="宋体" w:hAnsi="宋体" w:cs="宋体"/>
                <w:kern w:val="0"/>
                <w:szCs w:val="21"/>
                <w:lang w:bidi="ar"/>
              </w:rPr>
              <w:t>精油</w:t>
            </w:r>
          </w:p>
        </w:tc>
        <w:tc>
          <w:tcPr>
            <w:tcW w:w="2018" w:type="dxa"/>
            <w:vAlign w:val="center"/>
          </w:tcPr>
          <w:p w14:paraId="3537C79E">
            <w:pPr>
              <w:widowControl/>
              <w:snapToGrid w:val="0"/>
              <w:spacing w:line="400" w:lineRule="exact"/>
              <w:jc w:val="center"/>
              <w:rPr>
                <w:rFonts w:ascii="宋体" w:hAnsi="宋体" w:cs="宋体"/>
                <w:szCs w:val="21"/>
              </w:rPr>
            </w:pPr>
            <w:r>
              <w:rPr>
                <w:rFonts w:hint="eastAsia" w:ascii="宋体" w:hAnsi="宋体" w:cs="宋体"/>
                <w:kern w:val="0"/>
                <w:szCs w:val="21"/>
                <w:lang w:bidi="ar"/>
              </w:rPr>
              <w:t>0.10</w:t>
            </w:r>
          </w:p>
        </w:tc>
        <w:tc>
          <w:tcPr>
            <w:tcW w:w="4858" w:type="dxa"/>
            <w:vAlign w:val="center"/>
          </w:tcPr>
          <w:p w14:paraId="3537C79F">
            <w:pPr>
              <w:widowControl/>
              <w:snapToGrid w:val="0"/>
              <w:spacing w:line="400" w:lineRule="exact"/>
              <w:jc w:val="center"/>
              <w:rPr>
                <w:rFonts w:ascii="宋体" w:hAnsi="宋体" w:cs="宋体"/>
                <w:szCs w:val="21"/>
              </w:rPr>
            </w:pPr>
            <w:r>
              <w:rPr>
                <w:rFonts w:hint="eastAsia" w:ascii="宋体" w:hAnsi="宋体" w:cs="宋体"/>
                <w:kern w:val="0"/>
                <w:szCs w:val="21"/>
                <w:lang w:bidi="ar"/>
              </w:rPr>
              <w:t>10</w:t>
            </w:r>
          </w:p>
        </w:tc>
      </w:tr>
      <w:tr w14:paraId="3537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3537C7A1">
            <w:pPr>
              <w:widowControl/>
              <w:snapToGrid w:val="0"/>
              <w:spacing w:line="400" w:lineRule="exact"/>
              <w:jc w:val="center"/>
              <w:rPr>
                <w:rFonts w:ascii="宋体" w:hAnsi="宋体" w:cs="宋体"/>
                <w:szCs w:val="21"/>
              </w:rPr>
            </w:pPr>
            <w:r>
              <w:rPr>
                <w:rFonts w:hint="eastAsia" w:ascii="宋体" w:hAnsi="宋体" w:cs="宋体"/>
                <w:kern w:val="0"/>
                <w:szCs w:val="21"/>
                <w:lang w:bidi="ar"/>
              </w:rPr>
              <w:t>植物水</w:t>
            </w:r>
          </w:p>
        </w:tc>
        <w:tc>
          <w:tcPr>
            <w:tcW w:w="2018" w:type="dxa"/>
            <w:vAlign w:val="center"/>
          </w:tcPr>
          <w:p w14:paraId="3537C7A2">
            <w:pPr>
              <w:widowControl/>
              <w:snapToGrid w:val="0"/>
              <w:spacing w:line="400" w:lineRule="exact"/>
              <w:jc w:val="center"/>
              <w:rPr>
                <w:rFonts w:ascii="宋体" w:hAnsi="宋体" w:cs="宋体"/>
                <w:szCs w:val="21"/>
              </w:rPr>
            </w:pPr>
            <w:r>
              <w:rPr>
                <w:rFonts w:hint="eastAsia" w:ascii="宋体" w:hAnsi="宋体" w:cs="宋体"/>
                <w:kern w:val="0"/>
                <w:szCs w:val="21"/>
                <w:lang w:bidi="ar"/>
              </w:rPr>
              <w:t>0.90</w:t>
            </w:r>
          </w:p>
        </w:tc>
        <w:tc>
          <w:tcPr>
            <w:tcW w:w="4858" w:type="dxa"/>
            <w:vAlign w:val="center"/>
          </w:tcPr>
          <w:p w14:paraId="3537C7A3">
            <w:pPr>
              <w:widowControl/>
              <w:snapToGrid w:val="0"/>
              <w:spacing w:line="400" w:lineRule="exact"/>
              <w:jc w:val="center"/>
              <w:rPr>
                <w:rFonts w:ascii="宋体" w:hAnsi="宋体" w:cs="宋体"/>
                <w:szCs w:val="21"/>
              </w:rPr>
            </w:pPr>
            <w:r>
              <w:rPr>
                <w:rFonts w:hint="eastAsia" w:ascii="宋体" w:hAnsi="宋体" w:cs="宋体"/>
                <w:kern w:val="0"/>
                <w:szCs w:val="21"/>
                <w:lang w:bidi="ar"/>
              </w:rPr>
              <w:t>90</w:t>
            </w:r>
          </w:p>
        </w:tc>
      </w:tr>
    </w:tbl>
    <w:p w14:paraId="3537C7A5">
      <w:pPr>
        <w:widowControl/>
        <w:spacing w:line="400" w:lineRule="exact"/>
        <w:ind w:firstLine="422" w:firstLineChars="200"/>
        <w:outlineLvl w:val="1"/>
        <w:rPr>
          <w:rFonts w:ascii="宋体" w:hAnsi="宋体" w:cs="宋体"/>
          <w:b/>
          <w:bCs/>
          <w:kern w:val="0"/>
          <w:szCs w:val="21"/>
          <w:lang w:bidi="ar"/>
        </w:rPr>
      </w:pPr>
      <w:r>
        <w:rPr>
          <w:rFonts w:hint="eastAsia" w:ascii="宋体" w:hAnsi="宋体" w:cs="宋体"/>
          <w:b/>
          <w:bCs/>
          <w:kern w:val="0"/>
          <w:szCs w:val="21"/>
          <w:lang w:bidi="ar"/>
        </w:rPr>
        <w:t>D.4.3 有效组分分配法（示意）</w:t>
      </w:r>
    </w:p>
    <w:p w14:paraId="3537C7A6">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假设经检测或工艺评估后认定：</w:t>
      </w:r>
    </w:p>
    <w:p w14:paraId="3537C7A7">
      <w:pPr>
        <w:widowControl/>
        <w:spacing w:line="400" w:lineRule="exact"/>
        <w:ind w:left="420"/>
        <w:rPr>
          <w:rFonts w:ascii="宋体" w:hAnsi="宋体" w:cs="宋体"/>
          <w:kern w:val="0"/>
          <w:szCs w:val="21"/>
          <w:lang w:bidi="ar"/>
        </w:rPr>
      </w:pPr>
      <w:r>
        <w:rPr>
          <w:rFonts w:hint="eastAsia" w:ascii="宋体" w:hAnsi="宋体" w:cs="宋体"/>
          <w:kern w:val="0"/>
          <w:szCs w:val="21"/>
          <w:lang w:bidi="ar"/>
        </w:rPr>
        <w:t>-精油中有效香气组分贡献占比为 80%</w:t>
      </w:r>
    </w:p>
    <w:p w14:paraId="3537C7A8">
      <w:pPr>
        <w:widowControl/>
        <w:spacing w:line="400" w:lineRule="exact"/>
        <w:ind w:left="420"/>
        <w:rPr>
          <w:rFonts w:ascii="宋体" w:hAnsi="宋体" w:cs="宋体"/>
          <w:kern w:val="0"/>
          <w:szCs w:val="21"/>
          <w:lang w:bidi="ar"/>
        </w:rPr>
      </w:pPr>
      <w:r>
        <w:rPr>
          <w:rFonts w:hint="eastAsia" w:ascii="宋体" w:hAnsi="宋体" w:cs="宋体"/>
          <w:kern w:val="0"/>
          <w:szCs w:val="21"/>
          <w:lang w:bidi="ar"/>
        </w:rPr>
        <w:t>-植物水中有效香气组分贡献占比为 20%</w:t>
      </w:r>
    </w:p>
    <w:p w14:paraId="3537C7A9">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则分配结果见表D.7。</w:t>
      </w:r>
    </w:p>
    <w:p w14:paraId="3537C7AA">
      <w:pPr>
        <w:widowControl/>
        <w:spacing w:line="400" w:lineRule="exact"/>
        <w:jc w:val="center"/>
        <w:outlineLvl w:val="2"/>
        <w:rPr>
          <w:rFonts w:ascii="宋体" w:hAnsi="宋体" w:cs="宋体"/>
          <w:bCs/>
          <w:kern w:val="0"/>
          <w:szCs w:val="21"/>
          <w:lang w:bidi="ar"/>
        </w:rPr>
      </w:pPr>
      <w:r>
        <w:rPr>
          <w:rFonts w:hint="eastAsia" w:ascii="宋体" w:hAnsi="宋体" w:cs="宋体"/>
          <w:b/>
          <w:kern w:val="0"/>
          <w:szCs w:val="21"/>
          <w:lang w:bidi="ar"/>
        </w:rPr>
        <w:t>表D.7 有效组分分配结果</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0"/>
        <w:gridCol w:w="2759"/>
        <w:gridCol w:w="2787"/>
      </w:tblGrid>
      <w:tr w14:paraId="3537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F5F5F5"/>
            <w:vAlign w:val="center"/>
          </w:tcPr>
          <w:p w14:paraId="3537C7AB">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产出物</w:t>
            </w:r>
          </w:p>
        </w:tc>
        <w:tc>
          <w:tcPr>
            <w:tcW w:w="2841" w:type="dxa"/>
            <w:shd w:val="clear" w:color="auto" w:fill="F5F5F5"/>
            <w:vAlign w:val="center"/>
          </w:tcPr>
          <w:p w14:paraId="3537C7AC">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分配因子</w:t>
            </w:r>
          </w:p>
        </w:tc>
        <w:tc>
          <w:tcPr>
            <w:tcW w:w="2841" w:type="dxa"/>
            <w:shd w:val="clear" w:color="auto" w:fill="F5F5F5"/>
            <w:vAlign w:val="center"/>
          </w:tcPr>
          <w:p w14:paraId="3537C7AD">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分配排放量（kgCO₂e）</w:t>
            </w:r>
          </w:p>
        </w:tc>
      </w:tr>
      <w:tr w14:paraId="3537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537C7AF">
            <w:pPr>
              <w:widowControl/>
              <w:snapToGrid w:val="0"/>
              <w:spacing w:line="400" w:lineRule="exact"/>
              <w:jc w:val="center"/>
              <w:rPr>
                <w:rFonts w:ascii="宋体" w:hAnsi="宋体" w:cs="宋体"/>
                <w:szCs w:val="21"/>
              </w:rPr>
            </w:pPr>
            <w:r>
              <w:rPr>
                <w:rFonts w:hint="eastAsia" w:ascii="宋体" w:hAnsi="宋体" w:cs="宋体"/>
                <w:kern w:val="0"/>
                <w:szCs w:val="21"/>
                <w:lang w:bidi="ar"/>
              </w:rPr>
              <w:t>精油</w:t>
            </w:r>
          </w:p>
        </w:tc>
        <w:tc>
          <w:tcPr>
            <w:tcW w:w="2841" w:type="dxa"/>
            <w:vAlign w:val="center"/>
          </w:tcPr>
          <w:p w14:paraId="3537C7B0">
            <w:pPr>
              <w:widowControl/>
              <w:snapToGrid w:val="0"/>
              <w:spacing w:line="400" w:lineRule="exact"/>
              <w:jc w:val="center"/>
              <w:rPr>
                <w:rFonts w:ascii="宋体" w:hAnsi="宋体" w:cs="宋体"/>
                <w:szCs w:val="21"/>
              </w:rPr>
            </w:pPr>
            <w:r>
              <w:rPr>
                <w:rFonts w:hint="eastAsia" w:ascii="宋体" w:hAnsi="宋体" w:cs="宋体"/>
                <w:kern w:val="0"/>
                <w:szCs w:val="21"/>
                <w:lang w:bidi="ar"/>
              </w:rPr>
              <w:t>0.80</w:t>
            </w:r>
          </w:p>
        </w:tc>
        <w:tc>
          <w:tcPr>
            <w:tcW w:w="2841" w:type="dxa"/>
            <w:vAlign w:val="center"/>
          </w:tcPr>
          <w:p w14:paraId="3537C7B1">
            <w:pPr>
              <w:widowControl/>
              <w:snapToGrid w:val="0"/>
              <w:spacing w:line="400" w:lineRule="exact"/>
              <w:jc w:val="center"/>
              <w:rPr>
                <w:rFonts w:ascii="宋体" w:hAnsi="宋体" w:cs="宋体"/>
                <w:szCs w:val="21"/>
              </w:rPr>
            </w:pPr>
            <w:r>
              <w:rPr>
                <w:rFonts w:hint="eastAsia" w:ascii="宋体" w:hAnsi="宋体" w:cs="宋体"/>
                <w:kern w:val="0"/>
                <w:szCs w:val="21"/>
                <w:lang w:bidi="ar"/>
              </w:rPr>
              <w:t>80</w:t>
            </w:r>
          </w:p>
        </w:tc>
      </w:tr>
      <w:tr w14:paraId="3537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537C7B3">
            <w:pPr>
              <w:widowControl/>
              <w:snapToGrid w:val="0"/>
              <w:spacing w:line="400" w:lineRule="exact"/>
              <w:jc w:val="center"/>
              <w:rPr>
                <w:rFonts w:ascii="宋体" w:hAnsi="宋体" w:cs="宋体"/>
                <w:szCs w:val="21"/>
              </w:rPr>
            </w:pPr>
            <w:r>
              <w:rPr>
                <w:rFonts w:hint="eastAsia" w:ascii="宋体" w:hAnsi="宋体" w:cs="宋体"/>
                <w:kern w:val="0"/>
                <w:szCs w:val="21"/>
                <w:lang w:bidi="ar"/>
              </w:rPr>
              <w:t>植物水</w:t>
            </w:r>
          </w:p>
        </w:tc>
        <w:tc>
          <w:tcPr>
            <w:tcW w:w="2841" w:type="dxa"/>
            <w:vAlign w:val="center"/>
          </w:tcPr>
          <w:p w14:paraId="3537C7B4">
            <w:pPr>
              <w:widowControl/>
              <w:snapToGrid w:val="0"/>
              <w:spacing w:line="400" w:lineRule="exact"/>
              <w:jc w:val="center"/>
              <w:rPr>
                <w:rFonts w:ascii="宋体" w:hAnsi="宋体" w:cs="宋体"/>
                <w:szCs w:val="21"/>
              </w:rPr>
            </w:pPr>
            <w:r>
              <w:rPr>
                <w:rFonts w:hint="eastAsia" w:ascii="宋体" w:hAnsi="宋体" w:cs="宋体"/>
                <w:kern w:val="0"/>
                <w:szCs w:val="21"/>
                <w:lang w:bidi="ar"/>
              </w:rPr>
              <w:t>0.20</w:t>
            </w:r>
          </w:p>
        </w:tc>
        <w:tc>
          <w:tcPr>
            <w:tcW w:w="2841" w:type="dxa"/>
            <w:vAlign w:val="center"/>
          </w:tcPr>
          <w:p w14:paraId="3537C7B5">
            <w:pPr>
              <w:widowControl/>
              <w:snapToGrid w:val="0"/>
              <w:spacing w:line="400" w:lineRule="exact"/>
              <w:jc w:val="center"/>
              <w:rPr>
                <w:rFonts w:ascii="宋体" w:hAnsi="宋体" w:cs="宋体"/>
                <w:szCs w:val="21"/>
              </w:rPr>
            </w:pPr>
            <w:r>
              <w:rPr>
                <w:rFonts w:hint="eastAsia" w:ascii="宋体" w:hAnsi="宋体" w:cs="宋体"/>
                <w:kern w:val="0"/>
                <w:szCs w:val="21"/>
                <w:lang w:bidi="ar"/>
              </w:rPr>
              <w:t>20</w:t>
            </w:r>
          </w:p>
        </w:tc>
      </w:tr>
    </w:tbl>
    <w:p w14:paraId="3537C7B7">
      <w:pPr>
        <w:widowControl/>
        <w:spacing w:line="400" w:lineRule="exact"/>
        <w:ind w:firstLine="422" w:firstLineChars="200"/>
        <w:outlineLvl w:val="1"/>
        <w:rPr>
          <w:rFonts w:ascii="宋体" w:hAnsi="宋体" w:cs="宋体"/>
          <w:b/>
          <w:bCs/>
          <w:kern w:val="0"/>
          <w:szCs w:val="21"/>
          <w:lang w:bidi="ar"/>
        </w:rPr>
      </w:pPr>
      <w:r>
        <w:rPr>
          <w:rFonts w:hint="eastAsia" w:ascii="宋体" w:hAnsi="宋体" w:cs="宋体"/>
          <w:b/>
          <w:bCs/>
          <w:kern w:val="0"/>
          <w:szCs w:val="21"/>
          <w:lang w:bidi="ar"/>
        </w:rPr>
        <w:t>D.4.4 结果说明</w:t>
      </w:r>
    </w:p>
    <w:p w14:paraId="3537C7B8">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当副产物仅作为处置对象，不形成独立产品流或市场用途不明确时，可不对其分配主要生产过程排放，而将相关处置排放在废弃物环节单独核算。</w:t>
      </w:r>
    </w:p>
    <w:p w14:paraId="3537C7B9">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当植物水、副产残渣等进入市场并形成明确用途时，企业可根据质量、有效成分含量或其他能够反映物理因果关系的参数进行分配，并在报告中说明依据。</w:t>
      </w:r>
    </w:p>
    <w:p w14:paraId="3537C7BA">
      <w:pPr>
        <w:widowControl/>
        <w:spacing w:line="400" w:lineRule="exact"/>
        <w:outlineLvl w:val="1"/>
        <w:rPr>
          <w:rFonts w:ascii="宋体" w:hAnsi="宋体" w:cs="宋体"/>
          <w:b/>
          <w:bCs/>
          <w:kern w:val="0"/>
          <w:szCs w:val="21"/>
          <w:lang w:bidi="ar"/>
        </w:rPr>
      </w:pPr>
      <w:r>
        <w:rPr>
          <w:rFonts w:hint="eastAsia" w:ascii="宋体" w:hAnsi="宋体" w:cs="宋体"/>
          <w:b/>
          <w:bCs/>
          <w:kern w:val="0"/>
          <w:szCs w:val="21"/>
          <w:lang w:bidi="ar"/>
        </w:rPr>
        <w:t>D.5 包装共线或多部件包装分配示例</w:t>
      </w:r>
    </w:p>
    <w:p w14:paraId="3537C7BB">
      <w:pPr>
        <w:widowControl/>
        <w:spacing w:line="400" w:lineRule="exact"/>
        <w:ind w:firstLine="422" w:firstLineChars="200"/>
        <w:outlineLvl w:val="1"/>
        <w:rPr>
          <w:rFonts w:ascii="宋体" w:hAnsi="宋体" w:cs="宋体"/>
          <w:b/>
          <w:bCs/>
          <w:kern w:val="0"/>
          <w:szCs w:val="21"/>
          <w:lang w:bidi="ar"/>
        </w:rPr>
      </w:pPr>
      <w:r>
        <w:rPr>
          <w:rFonts w:hint="eastAsia" w:ascii="宋体" w:hAnsi="宋体" w:cs="宋体"/>
          <w:b/>
          <w:bCs/>
          <w:kern w:val="0"/>
          <w:szCs w:val="21"/>
          <w:lang w:bidi="ar"/>
        </w:rPr>
        <w:t>D.5.1 场景说明</w:t>
      </w:r>
    </w:p>
    <w:p w14:paraId="3537C7BC">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某化妆品企业在同一条包装线上灌装并组装两种规格产品：</w:t>
      </w:r>
    </w:p>
    <w:p w14:paraId="3537C7BD">
      <w:pPr>
        <w:widowControl/>
        <w:spacing w:line="400" w:lineRule="exact"/>
        <w:ind w:left="420"/>
        <w:rPr>
          <w:rFonts w:ascii="宋体" w:hAnsi="宋体" w:cs="宋体"/>
          <w:kern w:val="0"/>
          <w:szCs w:val="21"/>
          <w:lang w:bidi="ar"/>
        </w:rPr>
      </w:pPr>
      <w:r>
        <w:rPr>
          <w:rFonts w:hint="eastAsia" w:ascii="宋体" w:hAnsi="宋体" w:cs="宋体"/>
          <w:kern w:val="0"/>
          <w:szCs w:val="21"/>
          <w:lang w:bidi="ar"/>
        </w:rPr>
        <w:t>-产品A：50 mL 面霜，产量 10,000 件</w:t>
      </w:r>
    </w:p>
    <w:p w14:paraId="3537C7BE">
      <w:pPr>
        <w:widowControl/>
        <w:spacing w:line="400" w:lineRule="exact"/>
        <w:ind w:left="420"/>
        <w:rPr>
          <w:rFonts w:ascii="宋体" w:hAnsi="宋体" w:cs="宋体"/>
          <w:kern w:val="0"/>
          <w:szCs w:val="21"/>
          <w:lang w:bidi="ar"/>
        </w:rPr>
      </w:pPr>
      <w:r>
        <w:rPr>
          <w:rFonts w:hint="eastAsia" w:ascii="宋体" w:hAnsi="宋体" w:cs="宋体"/>
          <w:kern w:val="0"/>
          <w:szCs w:val="21"/>
          <w:lang w:bidi="ar"/>
        </w:rPr>
        <w:t>-产品B：30 mL 精华液，产量 8,000 件</w:t>
      </w:r>
    </w:p>
    <w:p w14:paraId="3537C7BF">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该包装线在核算期内对应包装工序碳排放总量为 180 kgCO₂e。</w:t>
      </w:r>
    </w:p>
    <w:p w14:paraId="3537C7C0">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其中，两种产品的平均单件包装重量分别为：</w:t>
      </w:r>
    </w:p>
    <w:p w14:paraId="3537C7C1">
      <w:pPr>
        <w:widowControl/>
        <w:spacing w:line="400" w:lineRule="exact"/>
        <w:ind w:left="420"/>
        <w:rPr>
          <w:rFonts w:ascii="宋体" w:hAnsi="宋体" w:cs="宋体"/>
          <w:kern w:val="0"/>
          <w:szCs w:val="21"/>
          <w:lang w:bidi="ar"/>
        </w:rPr>
      </w:pPr>
      <w:r>
        <w:rPr>
          <w:rFonts w:hint="eastAsia" w:ascii="宋体" w:hAnsi="宋体" w:cs="宋体"/>
          <w:kern w:val="0"/>
          <w:szCs w:val="21"/>
          <w:lang w:bidi="ar"/>
        </w:rPr>
        <w:t>-产品A：40 g/件</w:t>
      </w:r>
    </w:p>
    <w:p w14:paraId="3537C7C2">
      <w:pPr>
        <w:widowControl/>
        <w:spacing w:line="400" w:lineRule="exact"/>
        <w:ind w:left="420"/>
        <w:rPr>
          <w:rFonts w:ascii="宋体" w:hAnsi="宋体" w:cs="宋体"/>
          <w:kern w:val="0"/>
          <w:szCs w:val="21"/>
          <w:lang w:bidi="ar"/>
        </w:rPr>
      </w:pPr>
      <w:r>
        <w:rPr>
          <w:rFonts w:hint="eastAsia" w:ascii="宋体" w:hAnsi="宋体" w:cs="宋体"/>
          <w:kern w:val="0"/>
          <w:szCs w:val="21"/>
          <w:lang w:bidi="ar"/>
        </w:rPr>
        <w:t>-产品B：25 g/件</w:t>
      </w:r>
    </w:p>
    <w:p w14:paraId="3537C7C3">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本示例适用于多规格化妆品、彩妆或香水产品共线包装的分配场景。</w:t>
      </w:r>
    </w:p>
    <w:p w14:paraId="3537C7C4">
      <w:pPr>
        <w:widowControl/>
        <w:spacing w:line="400" w:lineRule="exact"/>
        <w:ind w:firstLine="422" w:firstLineChars="200"/>
        <w:outlineLvl w:val="1"/>
        <w:rPr>
          <w:rFonts w:ascii="宋体" w:hAnsi="宋体" w:cs="宋体"/>
          <w:b/>
          <w:bCs/>
          <w:kern w:val="0"/>
          <w:szCs w:val="21"/>
          <w:lang w:bidi="ar"/>
        </w:rPr>
      </w:pPr>
      <w:r>
        <w:rPr>
          <w:rFonts w:hint="eastAsia" w:ascii="宋体" w:hAnsi="宋体" w:cs="宋体"/>
          <w:b/>
          <w:bCs/>
          <w:kern w:val="0"/>
          <w:szCs w:val="21"/>
          <w:lang w:bidi="ar"/>
        </w:rPr>
        <w:t>D.5.2 按件数分配法</w:t>
      </w:r>
    </w:p>
    <w:p w14:paraId="3537C7C5">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总件数 = 10,000 + 8,000 = 18,000 件。</w:t>
      </w:r>
    </w:p>
    <w:p w14:paraId="3537C7C6">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分配因子为：</w:t>
      </w:r>
    </w:p>
    <w:p w14:paraId="3537C7C7">
      <w:pPr>
        <w:widowControl/>
        <w:spacing w:line="400" w:lineRule="exact"/>
        <w:ind w:left="420"/>
        <w:rPr>
          <w:rFonts w:ascii="宋体" w:hAnsi="宋体" w:cs="宋体"/>
          <w:kern w:val="0"/>
          <w:szCs w:val="21"/>
          <w:lang w:bidi="ar"/>
        </w:rPr>
      </w:pPr>
      <w:r>
        <w:rPr>
          <w:rFonts w:hint="eastAsia" w:ascii="宋体" w:hAnsi="宋体" w:cs="宋体"/>
          <w:kern w:val="0"/>
          <w:szCs w:val="21"/>
          <w:lang w:bidi="ar"/>
        </w:rPr>
        <w:t>-产品A：10,000 / 18,000 = 0.556</w:t>
      </w:r>
    </w:p>
    <w:p w14:paraId="3537C7C8">
      <w:pPr>
        <w:widowControl/>
        <w:spacing w:line="400" w:lineRule="exact"/>
        <w:ind w:left="420"/>
        <w:rPr>
          <w:rFonts w:ascii="宋体" w:hAnsi="宋体" w:cs="宋体"/>
          <w:kern w:val="0"/>
          <w:szCs w:val="21"/>
          <w:lang w:bidi="ar"/>
        </w:rPr>
      </w:pPr>
      <w:r>
        <w:rPr>
          <w:rFonts w:hint="eastAsia" w:ascii="宋体" w:hAnsi="宋体" w:cs="宋体"/>
          <w:kern w:val="0"/>
          <w:szCs w:val="21"/>
          <w:lang w:bidi="ar"/>
        </w:rPr>
        <w:t>-产品B：8,000 / 18,000 = 0.444</w:t>
      </w:r>
    </w:p>
    <w:p w14:paraId="3537C7C9">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据此分配排放结果见表D.8。</w:t>
      </w:r>
    </w:p>
    <w:p w14:paraId="3537C7CA">
      <w:pPr>
        <w:widowControl/>
        <w:spacing w:line="400" w:lineRule="exact"/>
        <w:jc w:val="center"/>
        <w:outlineLvl w:val="2"/>
        <w:rPr>
          <w:rFonts w:ascii="宋体" w:hAnsi="宋体" w:cs="宋体"/>
          <w:b/>
          <w:kern w:val="0"/>
          <w:szCs w:val="21"/>
          <w:lang w:bidi="ar"/>
        </w:rPr>
      </w:pPr>
      <w:r>
        <w:rPr>
          <w:rFonts w:hint="eastAsia" w:ascii="宋体" w:hAnsi="宋体" w:cs="宋体"/>
          <w:b/>
          <w:kern w:val="0"/>
          <w:szCs w:val="21"/>
          <w:lang w:bidi="ar"/>
        </w:rPr>
        <w:t>表D.8 按件数分配结果</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996"/>
        <w:gridCol w:w="4799"/>
      </w:tblGrid>
      <w:tr w14:paraId="3537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shd w:val="clear" w:color="auto" w:fill="F5F5F5"/>
            <w:vAlign w:val="center"/>
          </w:tcPr>
          <w:p w14:paraId="3537C7CB">
            <w:pPr>
              <w:keepNext/>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产品</w:t>
            </w:r>
          </w:p>
        </w:tc>
        <w:tc>
          <w:tcPr>
            <w:tcW w:w="2045" w:type="dxa"/>
            <w:shd w:val="clear" w:color="auto" w:fill="F5F5F5"/>
            <w:vAlign w:val="center"/>
          </w:tcPr>
          <w:p w14:paraId="3537C7CC">
            <w:pPr>
              <w:keepNext/>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分配因子</w:t>
            </w:r>
          </w:p>
        </w:tc>
        <w:tc>
          <w:tcPr>
            <w:tcW w:w="4933" w:type="dxa"/>
            <w:shd w:val="clear" w:color="auto" w:fill="F5F5F5"/>
            <w:vAlign w:val="center"/>
          </w:tcPr>
          <w:p w14:paraId="3537C7CD">
            <w:pPr>
              <w:keepNext/>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分配排放量（kgCO₂e）</w:t>
            </w:r>
          </w:p>
        </w:tc>
      </w:tr>
      <w:tr w14:paraId="3537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3537C7CF">
            <w:pPr>
              <w:keepNext/>
              <w:widowControl/>
              <w:snapToGrid w:val="0"/>
              <w:spacing w:line="400" w:lineRule="exact"/>
              <w:jc w:val="center"/>
              <w:rPr>
                <w:rFonts w:ascii="宋体" w:hAnsi="宋体" w:cs="宋体"/>
                <w:szCs w:val="21"/>
              </w:rPr>
            </w:pPr>
            <w:r>
              <w:rPr>
                <w:rFonts w:hint="eastAsia" w:ascii="宋体" w:hAnsi="宋体" w:cs="宋体"/>
                <w:kern w:val="0"/>
                <w:szCs w:val="21"/>
                <w:lang w:bidi="ar"/>
              </w:rPr>
              <w:t>产品A</w:t>
            </w:r>
          </w:p>
        </w:tc>
        <w:tc>
          <w:tcPr>
            <w:tcW w:w="2045" w:type="dxa"/>
            <w:vAlign w:val="center"/>
          </w:tcPr>
          <w:p w14:paraId="3537C7D0">
            <w:pPr>
              <w:keepNext/>
              <w:widowControl/>
              <w:snapToGrid w:val="0"/>
              <w:spacing w:line="400" w:lineRule="exact"/>
              <w:jc w:val="center"/>
              <w:rPr>
                <w:rFonts w:ascii="宋体" w:hAnsi="宋体" w:cs="宋体"/>
                <w:szCs w:val="21"/>
              </w:rPr>
            </w:pPr>
            <w:r>
              <w:rPr>
                <w:rFonts w:hint="eastAsia" w:ascii="宋体" w:hAnsi="宋体" w:cs="宋体"/>
                <w:kern w:val="0"/>
                <w:szCs w:val="21"/>
                <w:lang w:bidi="ar"/>
              </w:rPr>
              <w:t>0.556</w:t>
            </w:r>
          </w:p>
        </w:tc>
        <w:tc>
          <w:tcPr>
            <w:tcW w:w="4933" w:type="dxa"/>
            <w:vAlign w:val="center"/>
          </w:tcPr>
          <w:p w14:paraId="3537C7D1">
            <w:pPr>
              <w:keepNext/>
              <w:widowControl/>
              <w:snapToGrid w:val="0"/>
              <w:spacing w:line="400" w:lineRule="exact"/>
              <w:jc w:val="center"/>
              <w:rPr>
                <w:rFonts w:ascii="宋体" w:hAnsi="宋体" w:cs="宋体"/>
                <w:szCs w:val="21"/>
              </w:rPr>
            </w:pPr>
            <w:r>
              <w:rPr>
                <w:rFonts w:hint="eastAsia" w:ascii="宋体" w:hAnsi="宋体" w:cs="宋体"/>
                <w:kern w:val="0"/>
                <w:szCs w:val="21"/>
                <w:lang w:bidi="ar"/>
              </w:rPr>
              <w:t>100.1</w:t>
            </w:r>
          </w:p>
        </w:tc>
      </w:tr>
      <w:tr w14:paraId="3537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3537C7D3">
            <w:pPr>
              <w:keepNext/>
              <w:widowControl/>
              <w:snapToGrid w:val="0"/>
              <w:spacing w:line="400" w:lineRule="exact"/>
              <w:jc w:val="center"/>
              <w:rPr>
                <w:rFonts w:ascii="宋体" w:hAnsi="宋体" w:cs="宋体"/>
                <w:szCs w:val="21"/>
              </w:rPr>
            </w:pPr>
            <w:r>
              <w:rPr>
                <w:rFonts w:hint="eastAsia" w:ascii="宋体" w:hAnsi="宋体" w:cs="宋体"/>
                <w:kern w:val="0"/>
                <w:szCs w:val="21"/>
                <w:lang w:bidi="ar"/>
              </w:rPr>
              <w:t>产品B</w:t>
            </w:r>
          </w:p>
        </w:tc>
        <w:tc>
          <w:tcPr>
            <w:tcW w:w="2045" w:type="dxa"/>
            <w:vAlign w:val="center"/>
          </w:tcPr>
          <w:p w14:paraId="3537C7D4">
            <w:pPr>
              <w:keepNext/>
              <w:widowControl/>
              <w:snapToGrid w:val="0"/>
              <w:spacing w:line="400" w:lineRule="exact"/>
              <w:jc w:val="center"/>
              <w:rPr>
                <w:rFonts w:ascii="宋体" w:hAnsi="宋体" w:cs="宋体"/>
                <w:szCs w:val="21"/>
              </w:rPr>
            </w:pPr>
            <w:r>
              <w:rPr>
                <w:rFonts w:hint="eastAsia" w:ascii="宋体" w:hAnsi="宋体" w:cs="宋体"/>
                <w:kern w:val="0"/>
                <w:szCs w:val="21"/>
                <w:lang w:bidi="ar"/>
              </w:rPr>
              <w:t>0.444</w:t>
            </w:r>
          </w:p>
        </w:tc>
        <w:tc>
          <w:tcPr>
            <w:tcW w:w="4933" w:type="dxa"/>
            <w:vAlign w:val="center"/>
          </w:tcPr>
          <w:p w14:paraId="3537C7D5">
            <w:pPr>
              <w:keepNext/>
              <w:widowControl/>
              <w:snapToGrid w:val="0"/>
              <w:spacing w:line="400" w:lineRule="exact"/>
              <w:jc w:val="center"/>
              <w:rPr>
                <w:rFonts w:ascii="宋体" w:hAnsi="宋体" w:cs="宋体"/>
                <w:szCs w:val="21"/>
              </w:rPr>
            </w:pPr>
            <w:r>
              <w:rPr>
                <w:rFonts w:hint="eastAsia" w:ascii="宋体" w:hAnsi="宋体" w:cs="宋体"/>
                <w:kern w:val="0"/>
                <w:szCs w:val="21"/>
                <w:lang w:bidi="ar"/>
              </w:rPr>
              <w:t>79.9</w:t>
            </w:r>
          </w:p>
        </w:tc>
      </w:tr>
    </w:tbl>
    <w:p w14:paraId="3537C7D7">
      <w:pPr>
        <w:widowControl/>
        <w:spacing w:line="400" w:lineRule="exact"/>
        <w:ind w:firstLine="422" w:firstLineChars="200"/>
        <w:outlineLvl w:val="1"/>
        <w:rPr>
          <w:rFonts w:ascii="宋体" w:hAnsi="宋体" w:cs="宋体"/>
          <w:b/>
          <w:bCs/>
          <w:kern w:val="0"/>
          <w:szCs w:val="21"/>
          <w:lang w:bidi="ar"/>
        </w:rPr>
      </w:pPr>
      <w:r>
        <w:rPr>
          <w:rFonts w:hint="eastAsia" w:ascii="宋体" w:hAnsi="宋体" w:cs="宋体"/>
          <w:b/>
          <w:bCs/>
          <w:kern w:val="0"/>
          <w:szCs w:val="21"/>
          <w:lang w:bidi="ar"/>
        </w:rPr>
        <w:t>D.5.3 按包装重量分配法</w:t>
      </w:r>
    </w:p>
    <w:p w14:paraId="3537C7D8">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包装总重量为：</w:t>
      </w:r>
    </w:p>
    <w:p w14:paraId="3537C7D9">
      <w:pPr>
        <w:widowControl/>
        <w:spacing w:line="400" w:lineRule="exact"/>
        <w:ind w:left="420"/>
        <w:rPr>
          <w:rFonts w:ascii="宋体" w:hAnsi="宋体" w:cs="宋体"/>
          <w:kern w:val="0"/>
          <w:szCs w:val="21"/>
          <w:lang w:bidi="ar"/>
        </w:rPr>
      </w:pPr>
      <w:r>
        <w:rPr>
          <w:rFonts w:hint="eastAsia" w:ascii="宋体" w:hAnsi="宋体" w:cs="宋体"/>
          <w:kern w:val="0"/>
          <w:szCs w:val="21"/>
          <w:lang w:bidi="ar"/>
        </w:rPr>
        <w:t>-产品A：10,000 × 40 g = 400,000 g</w:t>
      </w:r>
    </w:p>
    <w:p w14:paraId="3537C7DA">
      <w:pPr>
        <w:widowControl/>
        <w:spacing w:line="400" w:lineRule="exact"/>
        <w:ind w:left="420"/>
        <w:rPr>
          <w:rFonts w:ascii="宋体" w:hAnsi="宋体" w:cs="宋体"/>
          <w:kern w:val="0"/>
          <w:szCs w:val="21"/>
          <w:lang w:bidi="ar"/>
        </w:rPr>
      </w:pPr>
      <w:r>
        <w:rPr>
          <w:rFonts w:hint="eastAsia" w:ascii="宋体" w:hAnsi="宋体" w:cs="宋体"/>
          <w:kern w:val="0"/>
          <w:szCs w:val="21"/>
          <w:lang w:bidi="ar"/>
        </w:rPr>
        <w:t>-产品B：8,000 × 25 g = 200,000 g</w:t>
      </w:r>
    </w:p>
    <w:p w14:paraId="3537C7DB">
      <w:pPr>
        <w:widowControl/>
        <w:spacing w:line="400" w:lineRule="exact"/>
        <w:ind w:left="420" w:leftChars="200"/>
        <w:rPr>
          <w:rFonts w:ascii="宋体" w:hAnsi="宋体" w:cs="宋体"/>
          <w:kern w:val="0"/>
          <w:szCs w:val="21"/>
          <w:lang w:bidi="ar"/>
        </w:rPr>
      </w:pPr>
      <w:r>
        <w:rPr>
          <w:rFonts w:hint="eastAsia" w:ascii="宋体" w:hAnsi="宋体" w:cs="宋体"/>
          <w:kern w:val="0"/>
          <w:szCs w:val="21"/>
          <w:lang w:bidi="ar"/>
        </w:rPr>
        <w:t>-总包装重量 = 600,000 g。</w:t>
      </w:r>
    </w:p>
    <w:p w14:paraId="3537C7DC">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分配因子为：</w:t>
      </w:r>
    </w:p>
    <w:p w14:paraId="3537C7DD">
      <w:pPr>
        <w:widowControl/>
        <w:spacing w:line="400" w:lineRule="exact"/>
        <w:ind w:left="420"/>
        <w:rPr>
          <w:rFonts w:ascii="宋体" w:hAnsi="宋体" w:cs="宋体"/>
          <w:kern w:val="0"/>
          <w:szCs w:val="21"/>
          <w:lang w:bidi="ar"/>
        </w:rPr>
      </w:pPr>
      <w:r>
        <w:rPr>
          <w:rFonts w:hint="eastAsia" w:ascii="宋体" w:hAnsi="宋体" w:cs="宋体"/>
          <w:kern w:val="0"/>
          <w:szCs w:val="21"/>
          <w:lang w:bidi="ar"/>
        </w:rPr>
        <w:t>-产品A：400,000 / 600,000 = 0.667</w:t>
      </w:r>
    </w:p>
    <w:p w14:paraId="3537C7DE">
      <w:pPr>
        <w:widowControl/>
        <w:spacing w:line="400" w:lineRule="exact"/>
        <w:ind w:left="420"/>
        <w:rPr>
          <w:rFonts w:ascii="宋体" w:hAnsi="宋体" w:cs="宋体"/>
          <w:kern w:val="0"/>
          <w:szCs w:val="21"/>
          <w:lang w:bidi="ar"/>
        </w:rPr>
      </w:pPr>
      <w:r>
        <w:rPr>
          <w:rFonts w:hint="eastAsia" w:ascii="宋体" w:hAnsi="宋体" w:cs="宋体"/>
          <w:kern w:val="0"/>
          <w:szCs w:val="21"/>
          <w:lang w:bidi="ar"/>
        </w:rPr>
        <w:t>-产品B：200,000 / 600,000 = 0.333</w:t>
      </w:r>
    </w:p>
    <w:p w14:paraId="3537C7DF">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据此分配排放结果见表D.9。</w:t>
      </w:r>
    </w:p>
    <w:p w14:paraId="3537C7E0">
      <w:pPr>
        <w:widowControl/>
        <w:spacing w:line="400" w:lineRule="exact"/>
        <w:jc w:val="center"/>
        <w:outlineLvl w:val="2"/>
        <w:rPr>
          <w:rFonts w:ascii="宋体" w:hAnsi="宋体" w:cs="宋体"/>
          <w:b/>
          <w:kern w:val="0"/>
          <w:szCs w:val="21"/>
          <w:lang w:bidi="ar"/>
        </w:rPr>
      </w:pPr>
      <w:r>
        <w:rPr>
          <w:rFonts w:hint="eastAsia" w:ascii="宋体" w:hAnsi="宋体" w:cs="宋体"/>
          <w:b/>
          <w:kern w:val="0"/>
          <w:szCs w:val="21"/>
          <w:lang w:bidi="ar"/>
        </w:rPr>
        <w:t>表D.9 按包装重量分配结果</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2009"/>
        <w:gridCol w:w="4792"/>
      </w:tblGrid>
      <w:tr w14:paraId="3537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shd w:val="clear" w:color="auto" w:fill="F5F5F5"/>
            <w:vAlign w:val="center"/>
          </w:tcPr>
          <w:p w14:paraId="3537C7E1">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产品</w:t>
            </w:r>
          </w:p>
        </w:tc>
        <w:tc>
          <w:tcPr>
            <w:tcW w:w="2059" w:type="dxa"/>
            <w:shd w:val="clear" w:color="auto" w:fill="F5F5F5"/>
            <w:vAlign w:val="center"/>
          </w:tcPr>
          <w:p w14:paraId="3537C7E2">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分配因子</w:t>
            </w:r>
          </w:p>
        </w:tc>
        <w:tc>
          <w:tcPr>
            <w:tcW w:w="4926" w:type="dxa"/>
            <w:shd w:val="clear" w:color="auto" w:fill="F5F5F5"/>
            <w:vAlign w:val="center"/>
          </w:tcPr>
          <w:p w14:paraId="3537C7E3">
            <w:pPr>
              <w:widowControl/>
              <w:snapToGrid w:val="0"/>
              <w:spacing w:line="400" w:lineRule="exact"/>
              <w:jc w:val="center"/>
              <w:rPr>
                <w:rFonts w:ascii="宋体" w:hAnsi="宋体" w:cs="宋体"/>
                <w:b/>
                <w:bCs/>
                <w:szCs w:val="21"/>
              </w:rPr>
            </w:pPr>
            <w:r>
              <w:rPr>
                <w:rFonts w:hint="eastAsia" w:ascii="宋体" w:hAnsi="宋体" w:cs="宋体"/>
                <w:b/>
                <w:bCs/>
                <w:kern w:val="0"/>
                <w:szCs w:val="21"/>
                <w:lang w:bidi="ar"/>
              </w:rPr>
              <w:t>分配排放量（kgCO₂e）</w:t>
            </w:r>
          </w:p>
        </w:tc>
      </w:tr>
      <w:tr w14:paraId="3537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14:paraId="3537C7E5">
            <w:pPr>
              <w:widowControl/>
              <w:snapToGrid w:val="0"/>
              <w:spacing w:line="400" w:lineRule="exact"/>
              <w:jc w:val="center"/>
              <w:rPr>
                <w:rFonts w:ascii="宋体" w:hAnsi="宋体" w:cs="宋体"/>
                <w:szCs w:val="21"/>
              </w:rPr>
            </w:pPr>
            <w:r>
              <w:rPr>
                <w:rFonts w:hint="eastAsia" w:ascii="宋体" w:hAnsi="宋体" w:cs="宋体"/>
                <w:kern w:val="0"/>
                <w:szCs w:val="21"/>
                <w:lang w:bidi="ar"/>
              </w:rPr>
              <w:t>产品A</w:t>
            </w:r>
          </w:p>
        </w:tc>
        <w:tc>
          <w:tcPr>
            <w:tcW w:w="2059" w:type="dxa"/>
            <w:vAlign w:val="center"/>
          </w:tcPr>
          <w:p w14:paraId="3537C7E6">
            <w:pPr>
              <w:widowControl/>
              <w:snapToGrid w:val="0"/>
              <w:spacing w:line="400" w:lineRule="exact"/>
              <w:jc w:val="center"/>
              <w:rPr>
                <w:rFonts w:ascii="宋体" w:hAnsi="宋体" w:cs="宋体"/>
                <w:szCs w:val="21"/>
              </w:rPr>
            </w:pPr>
            <w:r>
              <w:rPr>
                <w:rFonts w:hint="eastAsia" w:ascii="宋体" w:hAnsi="宋体" w:cs="宋体"/>
                <w:kern w:val="0"/>
                <w:szCs w:val="21"/>
                <w:lang w:bidi="ar"/>
              </w:rPr>
              <w:t>0.667</w:t>
            </w:r>
          </w:p>
        </w:tc>
        <w:tc>
          <w:tcPr>
            <w:tcW w:w="4926" w:type="dxa"/>
            <w:vAlign w:val="center"/>
          </w:tcPr>
          <w:p w14:paraId="3537C7E7">
            <w:pPr>
              <w:widowControl/>
              <w:snapToGrid w:val="0"/>
              <w:spacing w:line="400" w:lineRule="exact"/>
              <w:jc w:val="center"/>
              <w:rPr>
                <w:rFonts w:ascii="宋体" w:hAnsi="宋体" w:cs="宋体"/>
                <w:szCs w:val="21"/>
              </w:rPr>
            </w:pPr>
            <w:r>
              <w:rPr>
                <w:rFonts w:hint="eastAsia" w:ascii="宋体" w:hAnsi="宋体" w:cs="宋体"/>
                <w:kern w:val="0"/>
                <w:szCs w:val="21"/>
                <w:lang w:bidi="ar"/>
              </w:rPr>
              <w:t>120.1</w:t>
            </w:r>
          </w:p>
        </w:tc>
      </w:tr>
      <w:tr w14:paraId="3537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14:paraId="3537C7E9">
            <w:pPr>
              <w:widowControl/>
              <w:snapToGrid w:val="0"/>
              <w:spacing w:line="400" w:lineRule="exact"/>
              <w:jc w:val="center"/>
              <w:rPr>
                <w:rFonts w:ascii="宋体" w:hAnsi="宋体" w:cs="宋体"/>
                <w:szCs w:val="21"/>
              </w:rPr>
            </w:pPr>
            <w:r>
              <w:rPr>
                <w:rFonts w:hint="eastAsia" w:ascii="宋体" w:hAnsi="宋体" w:cs="宋体"/>
                <w:kern w:val="0"/>
                <w:szCs w:val="21"/>
                <w:lang w:bidi="ar"/>
              </w:rPr>
              <w:t>产品B</w:t>
            </w:r>
          </w:p>
        </w:tc>
        <w:tc>
          <w:tcPr>
            <w:tcW w:w="2059" w:type="dxa"/>
            <w:vAlign w:val="center"/>
          </w:tcPr>
          <w:p w14:paraId="3537C7EA">
            <w:pPr>
              <w:widowControl/>
              <w:snapToGrid w:val="0"/>
              <w:spacing w:line="400" w:lineRule="exact"/>
              <w:jc w:val="center"/>
              <w:rPr>
                <w:rFonts w:ascii="宋体" w:hAnsi="宋体" w:cs="宋体"/>
                <w:szCs w:val="21"/>
              </w:rPr>
            </w:pPr>
            <w:r>
              <w:rPr>
                <w:rFonts w:hint="eastAsia" w:ascii="宋体" w:hAnsi="宋体" w:cs="宋体"/>
                <w:kern w:val="0"/>
                <w:szCs w:val="21"/>
                <w:lang w:bidi="ar"/>
              </w:rPr>
              <w:t>0.333</w:t>
            </w:r>
          </w:p>
        </w:tc>
        <w:tc>
          <w:tcPr>
            <w:tcW w:w="4926" w:type="dxa"/>
            <w:vAlign w:val="center"/>
          </w:tcPr>
          <w:p w14:paraId="3537C7EB">
            <w:pPr>
              <w:widowControl/>
              <w:snapToGrid w:val="0"/>
              <w:spacing w:line="400" w:lineRule="exact"/>
              <w:jc w:val="center"/>
              <w:rPr>
                <w:rFonts w:ascii="宋体" w:hAnsi="宋体" w:cs="宋体"/>
                <w:szCs w:val="21"/>
              </w:rPr>
            </w:pPr>
            <w:r>
              <w:rPr>
                <w:rFonts w:hint="eastAsia" w:ascii="宋体" w:hAnsi="宋体" w:cs="宋体"/>
                <w:kern w:val="0"/>
                <w:szCs w:val="21"/>
                <w:lang w:bidi="ar"/>
              </w:rPr>
              <w:t>59.9</w:t>
            </w:r>
          </w:p>
        </w:tc>
      </w:tr>
    </w:tbl>
    <w:p w14:paraId="3537C7ED">
      <w:pPr>
        <w:widowControl/>
        <w:spacing w:line="400" w:lineRule="exact"/>
        <w:ind w:firstLine="422" w:firstLineChars="200"/>
        <w:outlineLvl w:val="1"/>
        <w:rPr>
          <w:rFonts w:ascii="宋体" w:hAnsi="宋体" w:cs="宋体"/>
          <w:b/>
          <w:bCs/>
          <w:kern w:val="0"/>
          <w:szCs w:val="21"/>
          <w:lang w:bidi="ar"/>
        </w:rPr>
      </w:pPr>
      <w:r>
        <w:rPr>
          <w:rFonts w:hint="eastAsia" w:ascii="宋体" w:hAnsi="宋体" w:cs="宋体"/>
          <w:b/>
          <w:bCs/>
          <w:kern w:val="0"/>
          <w:szCs w:val="21"/>
          <w:lang w:bidi="ar"/>
        </w:rPr>
        <w:t>D.5.4 结果说明</w:t>
      </w:r>
    </w:p>
    <w:p w14:paraId="3537C7EE">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当不同产品包装形式和包装重量相近时，可按件数分配。</w:t>
      </w:r>
    </w:p>
    <w:p w14:paraId="3537C7EF">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当包装重量、材料类型或包装复杂度差异较大时，按包装重量或材料当量分配通常更能反映实际资源消耗。</w:t>
      </w:r>
    </w:p>
    <w:p w14:paraId="3537C7F0">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企业应根据包装材料特征、产线工艺及数据可得性选择适当方法，并在报告中说明依据。</w:t>
      </w:r>
    </w:p>
    <w:p w14:paraId="3537C7F1">
      <w:pPr>
        <w:widowControl/>
        <w:spacing w:line="400" w:lineRule="exact"/>
        <w:outlineLvl w:val="1"/>
        <w:rPr>
          <w:rFonts w:ascii="宋体" w:hAnsi="宋体" w:cs="宋体"/>
          <w:b/>
          <w:bCs/>
          <w:kern w:val="0"/>
          <w:szCs w:val="21"/>
          <w:lang w:bidi="ar"/>
        </w:rPr>
      </w:pPr>
      <w:r>
        <w:rPr>
          <w:rFonts w:hint="eastAsia" w:ascii="宋体" w:hAnsi="宋体" w:cs="宋体"/>
          <w:b/>
          <w:bCs/>
          <w:kern w:val="0"/>
          <w:szCs w:val="21"/>
          <w:lang w:bidi="ar"/>
        </w:rPr>
        <w:t>D.6 使用提示</w:t>
      </w:r>
    </w:p>
    <w:p w14:paraId="3537C7F2">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企业在采用分配方法时，宜重点说明以下内容：</w:t>
      </w:r>
    </w:p>
    <w:p w14:paraId="3537C7F3">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a）为何选择该分配方法；</w:t>
      </w:r>
    </w:p>
    <w:p w14:paraId="3537C7F4">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b）该方法与产品工艺或物理因果关系的对应性；</w:t>
      </w:r>
    </w:p>
    <w:p w14:paraId="3537C7F5">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c）涉及价格、时间窗口、代表性或有效组分的关键假设；</w:t>
      </w:r>
    </w:p>
    <w:p w14:paraId="3537C7F6">
      <w:pPr>
        <w:widowControl/>
        <w:spacing w:line="400" w:lineRule="exact"/>
        <w:ind w:firstLine="420" w:firstLineChars="200"/>
        <w:rPr>
          <w:rFonts w:ascii="宋体" w:hAnsi="宋体" w:cs="宋体"/>
          <w:kern w:val="0"/>
          <w:szCs w:val="21"/>
          <w:lang w:bidi="ar"/>
        </w:rPr>
      </w:pPr>
      <w:r>
        <w:rPr>
          <w:rFonts w:hint="eastAsia" w:ascii="宋体" w:hAnsi="宋体" w:cs="宋体"/>
          <w:kern w:val="0"/>
          <w:szCs w:val="21"/>
          <w:lang w:bidi="ar"/>
        </w:rPr>
        <w:t>d）如存在其他同样合理的方法，是否进行了敏感性比较。</w:t>
      </w:r>
    </w:p>
    <w:p w14:paraId="3537C7F7">
      <w:pPr>
        <w:rPr>
          <w:rFonts w:ascii="宋体" w:hAnsi="宋体"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Aptos">
    <w:altName w:val="Segoe UI"/>
    <w:panose1 w:val="00000000000000000000"/>
    <w:charset w:val="00"/>
    <w:family w:val="swiss"/>
    <w:pitch w:val="default"/>
    <w:sig w:usb0="00000000" w:usb1="00000000" w:usb2="00000000" w:usb3="00000000" w:csb0="0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9090581"/>
    </w:sdtPr>
    <w:sdtContent>
      <w:p w14:paraId="3537C801">
        <w:pPr>
          <w:pStyle w:val="21"/>
          <w:jc w:val="left"/>
        </w:pPr>
        <w:r>
          <w:fldChar w:fldCharType="begin"/>
        </w:r>
        <w:r>
          <w:instrText xml:space="preserve">PAGE   \* MERGEFORMAT</w:instrText>
        </w:r>
        <w:r>
          <w:fldChar w:fldCharType="separate"/>
        </w:r>
        <w:r>
          <w:rPr>
            <w:lang w:val="zh-CN"/>
          </w:rPr>
          <w:t>2</w:t>
        </w:r>
        <w:r>
          <w:fldChar w:fldCharType="end"/>
        </w:r>
      </w:p>
    </w:sdtContent>
  </w:sdt>
  <w:p w14:paraId="3537C80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DC9ED">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C804">
    <w:pPr>
      <w:pStyle w:val="52"/>
    </w:pPr>
    <w:r>
      <w:fldChar w:fldCharType="begin"/>
    </w:r>
    <w:r>
      <w:instrText xml:space="preserve"> PAGE  \* MERGEFORMAT </w:instrText>
    </w:r>
    <w:r>
      <w:fldChar w:fldCharType="separate"/>
    </w:r>
    <w:r>
      <w:t>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C805">
    <w:pPr>
      <w:pStyle w:val="52"/>
    </w:pPr>
    <w:r>
      <w:fldChar w:fldCharType="begin"/>
    </w:r>
    <w:r>
      <w:instrText xml:space="preserve"> PAGE  \* MERGEFORMAT </w:instrText>
    </w:r>
    <w:r>
      <w:fldChar w:fldCharType="separate"/>
    </w:r>
    <w:r>
      <w:t>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C808">
    <w:pPr>
      <w:pStyle w:val="5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7C80D">
                          <w:pPr>
                            <w:pStyle w:val="5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537C80D">
                    <w:pPr>
                      <w:pStyle w:val="5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C806">
    <w:pPr>
      <w:pStyle w:val="21"/>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294"/>
                          </w:sdtPr>
                          <w:sdtContent>
                            <w:p w14:paraId="3537C80E">
                              <w:pPr>
                                <w:pStyle w:val="21"/>
                                <w:jc w:val="left"/>
                              </w:pPr>
                              <w:r>
                                <w:fldChar w:fldCharType="begin"/>
                              </w:r>
                              <w:r>
                                <w:instrText xml:space="preserve">PAGE   \* MERGEFORMAT</w:instrText>
                              </w:r>
                              <w:r>
                                <w:fldChar w:fldCharType="separate"/>
                              </w:r>
                              <w:r>
                                <w:rPr>
                                  <w:lang w:val="zh-CN"/>
                                </w:rPr>
                                <w:t>2</w:t>
                              </w:r>
                              <w:r>
                                <w:fldChar w:fldCharType="end"/>
                              </w:r>
                            </w:p>
                          </w:sdtContent>
                        </w:sdt>
                        <w:p w14:paraId="3537C80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55294"/>
                    </w:sdtPr>
                    <w:sdtContent>
                      <w:p w14:paraId="3537C80E">
                        <w:pPr>
                          <w:pStyle w:val="21"/>
                          <w:jc w:val="left"/>
                        </w:pPr>
                        <w:r>
                          <w:fldChar w:fldCharType="begin"/>
                        </w:r>
                        <w:r>
                          <w:instrText xml:space="preserve">PAGE   \* MERGEFORMAT</w:instrText>
                        </w:r>
                        <w:r>
                          <w:fldChar w:fldCharType="separate"/>
                        </w:r>
                        <w:r>
                          <w:rPr>
                            <w:lang w:val="zh-CN"/>
                          </w:rPr>
                          <w:t>2</w:t>
                        </w:r>
                        <w:r>
                          <w:fldChar w:fldCharType="end"/>
                        </w:r>
                      </w:p>
                    </w:sdtContent>
                  </w:sdt>
                  <w:p w14:paraId="3537C80F"/>
                </w:txbxContent>
              </v:textbox>
            </v:shape>
          </w:pict>
        </mc:Fallback>
      </mc:AlternateContent>
    </w:r>
  </w:p>
  <w:p w14:paraId="3537C807">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BEBC4">
    <w:pPr>
      <w:pStyle w:val="22"/>
    </w:pPr>
    <w:r>
      <mc:AlternateContent>
        <mc:Choice Requires="wps">
          <w:drawing>
            <wp:anchor distT="0" distB="0" distL="0" distR="0" simplePos="0" relativeHeight="251663360" behindDoc="0" locked="0" layoutInCell="1" allowOverlap="1">
              <wp:simplePos x="0" y="0"/>
              <wp:positionH relativeFrom="page">
                <wp:align>right</wp:align>
              </wp:positionH>
              <wp:positionV relativeFrom="page">
                <wp:align>top</wp:align>
              </wp:positionV>
              <wp:extent cx="991870" cy="345440"/>
              <wp:effectExtent l="0" t="0" r="0" b="16510"/>
              <wp:wrapNone/>
              <wp:docPr id="1513303036" name="Text Box 9" descr="Business Use"/>
              <wp:cNvGraphicFramePr/>
              <a:graphic xmlns:a="http://schemas.openxmlformats.org/drawingml/2006/main">
                <a:graphicData uri="http://schemas.microsoft.com/office/word/2010/wordprocessingShape">
                  <wps:wsp>
                    <wps:cNvSpPr txBox="1"/>
                    <wps:spPr>
                      <a:xfrm>
                        <a:off x="0" y="0"/>
                        <a:ext cx="991870" cy="345440"/>
                      </a:xfrm>
                      <a:prstGeom prst="rect">
                        <a:avLst/>
                      </a:prstGeom>
                      <a:noFill/>
                      <a:ln>
                        <a:noFill/>
                      </a:ln>
                    </wps:spPr>
                    <wps:txbx>
                      <w:txbxContent>
                        <w:p w14:paraId="207486F0">
                          <w:pPr>
                            <w:rPr>
                              <w:rFonts w:ascii="Aptos" w:hAnsi="Aptos" w:eastAsia="Aptos" w:cs="Aptos"/>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Text Box 9" o:spid="_x0000_s1026" o:spt="202" alt="Business Use" type="#_x0000_t202" style="position:absolute;left:0pt;height:27.2pt;width:78.1pt;mso-position-horizontal:right;mso-position-horizontal-relative:page;mso-position-vertical:top;mso-position-vertical-relative:page;mso-wrap-style:none;z-index:251663360;mso-width-relative:page;mso-height-relative:page;" filled="f" stroked="f" coordsize="21600,21600" o:gfxdata="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WMd1C1wAAAAQBAAAPAAAAAAAAAAEAIAAAACIAAABkcnMvZG93bnJl&#10;di54bWxQSwECFAAUAAAACACHTuJA+a7+AzcCAABxBAAADgAAAAAAAAABACAAAAAmAQAAZHJzL2Uy&#10;b0RvYy54bWxQSwUGAAAAAAYABgBZAQAAzwUAAAAA&#10;">
              <v:fill on="f" focussize="0,0"/>
              <v:stroke on="f"/>
              <v:imagedata o:title=""/>
              <o:lock v:ext="edit" aspectratio="f"/>
              <v:textbox inset="0mm,15pt,20pt,0mm" style="mso-fit-shape-to-text:t;">
                <w:txbxContent>
                  <w:p w14:paraId="207486F0">
                    <w:pPr>
                      <w:rPr>
                        <w:rFonts w:ascii="Aptos" w:hAnsi="Aptos" w:eastAsia="Aptos" w:cs="Aptos"/>
                        <w:color w:val="000000"/>
                        <w:sz w:val="20"/>
                        <w:szCs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C800">
    <w:pPr>
      <w:pStyle w:val="53"/>
      <w:jc w:val="left"/>
    </w:pPr>
    <w:r>
      <w:rPr>
        <w:rFonts w:hint="eastAsia"/>
      </w:rPr>
      <w:t xml:space="preserve">T/CAFFCI </w:t>
    </w:r>
    <w:r>
      <w:t>XXXXX—202</w:t>
    </w:r>
    <w:r>
      <w:rPr>
        <w:rFonts w:hint="eastAsia"/>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582F">
    <w:pPr>
      <w:pStyle w:val="22"/>
    </w:pPr>
    <w:r>
      <mc:AlternateContent>
        <mc:Choice Requires="wps">
          <w:drawing>
            <wp:anchor distT="0" distB="0" distL="0" distR="0" simplePos="0" relativeHeight="251661312" behindDoc="0" locked="0" layoutInCell="1" allowOverlap="1">
              <wp:simplePos x="0" y="0"/>
              <wp:positionH relativeFrom="page">
                <wp:align>right</wp:align>
              </wp:positionH>
              <wp:positionV relativeFrom="page">
                <wp:align>top</wp:align>
              </wp:positionV>
              <wp:extent cx="991870" cy="345440"/>
              <wp:effectExtent l="0" t="0" r="0" b="16510"/>
              <wp:wrapNone/>
              <wp:docPr id="1461229953" name="Text Box 7" descr="Business Use"/>
              <wp:cNvGraphicFramePr/>
              <a:graphic xmlns:a="http://schemas.openxmlformats.org/drawingml/2006/main">
                <a:graphicData uri="http://schemas.microsoft.com/office/word/2010/wordprocessingShape">
                  <wps:wsp>
                    <wps:cNvSpPr txBox="1"/>
                    <wps:spPr>
                      <a:xfrm>
                        <a:off x="0" y="0"/>
                        <a:ext cx="991870" cy="345440"/>
                      </a:xfrm>
                      <a:prstGeom prst="rect">
                        <a:avLst/>
                      </a:prstGeom>
                      <a:noFill/>
                      <a:ln>
                        <a:noFill/>
                      </a:ln>
                    </wps:spPr>
                    <wps:txbx>
                      <w:txbxContent>
                        <w:p w14:paraId="5A72E3D6">
                          <w:pPr>
                            <w:rPr>
                              <w:rFonts w:ascii="Aptos" w:hAnsi="Aptos" w:eastAsia="Aptos" w:cs="Aptos"/>
                              <w:color w:val="000000"/>
                              <w:sz w:val="20"/>
                              <w:szCs w:val="20"/>
                            </w:rPr>
                          </w:pPr>
                          <w:r>
                            <w:rPr>
                              <w:rFonts w:ascii="Aptos" w:hAnsi="Aptos" w:eastAsia="Aptos" w:cs="Aptos"/>
                              <w:color w:val="000000"/>
                              <w:sz w:val="20"/>
                              <w:szCs w:val="20"/>
                            </w:rPr>
                            <w:t>Business Use</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Text Box 7" o:spid="_x0000_s1026" o:spt="202" alt="Business Use" type="#_x0000_t202" style="position:absolute;left:0pt;height:27.2pt;width:78.1pt;mso-position-horizontal:right;mso-position-horizontal-relative:page;mso-position-vertical:top;mso-position-vertical-relative:page;mso-wrap-style:none;z-index:251661312;mso-width-relative:page;mso-height-relative:page;" filled="f" stroked="f" coordsize="21600,21600" o:gfxdata="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jHdQtcAAAAEAQAADwAAAAAAAAABACAAAAAiAAAAZHJzL2Rvd25y&#10;ZXYueG1sUEsBAhQAFAAAAAgAh07iQNK2fUQ4AgAAcQQAAA4AAAAAAAAAAQAgAAAAJgEAAGRycy9l&#10;Mm9Eb2MueG1sUEsFBgAAAAAGAAYAWQEAANAFAAAAAA==&#10;">
              <v:fill on="f" focussize="0,0"/>
              <v:stroke on="f"/>
              <v:imagedata o:title=""/>
              <o:lock v:ext="edit" aspectratio="f"/>
              <v:textbox inset="0mm,15pt,20pt,0mm" style="mso-fit-shape-to-text:t;">
                <w:txbxContent>
                  <w:p w14:paraId="5A72E3D6">
                    <w:pPr>
                      <w:rPr>
                        <w:rFonts w:ascii="Aptos" w:hAnsi="Aptos" w:eastAsia="Aptos" w:cs="Aptos"/>
                        <w:color w:val="000000"/>
                        <w:sz w:val="20"/>
                        <w:szCs w:val="20"/>
                      </w:rPr>
                    </w:pPr>
                    <w:r>
                      <w:rPr>
                        <w:rFonts w:ascii="Aptos" w:hAnsi="Aptos" w:eastAsia="Aptos" w:cs="Aptos"/>
                        <w:color w:val="000000"/>
                        <w:sz w:val="20"/>
                        <w:szCs w:val="20"/>
                      </w:rPr>
                      <w:t>Business Use</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C803">
    <w:pPr>
      <w:pStyle w:val="53"/>
    </w:pPr>
    <w:r>
      <w:rPr>
        <w:rFonts w:hint="eastAsia"/>
      </w:rPr>
      <w:t xml:space="preserve">T/CAFFCI </w:t>
    </w:r>
    <w:r>
      <w:t>XXXXX—202</w:t>
    </w:r>
    <w:r>
      <w:rPr>
        <w:rFonts w:hint="eastAsia"/>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A201E"/>
    <w:multiLevelType w:val="singleLevel"/>
    <w:tmpl w:val="816A201E"/>
    <w:lvl w:ilvl="0" w:tentative="0">
      <w:start w:val="1"/>
      <w:numFmt w:val="lowerLetter"/>
      <w:suff w:val="nothing"/>
      <w:lvlText w:val="%1）"/>
      <w:lvlJc w:val="left"/>
    </w:lvl>
  </w:abstractNum>
  <w:abstractNum w:abstractNumId="1">
    <w:nsid w:val="891C2B39"/>
    <w:multiLevelType w:val="singleLevel"/>
    <w:tmpl w:val="891C2B39"/>
    <w:lvl w:ilvl="0" w:tentative="0">
      <w:start w:val="1"/>
      <w:numFmt w:val="lowerLetter"/>
      <w:suff w:val="nothing"/>
      <w:lvlText w:val="%1）"/>
      <w:lvlJc w:val="left"/>
    </w:lvl>
  </w:abstractNum>
  <w:abstractNum w:abstractNumId="2">
    <w:nsid w:val="BB20016D"/>
    <w:multiLevelType w:val="singleLevel"/>
    <w:tmpl w:val="BB20016D"/>
    <w:lvl w:ilvl="0" w:tentative="0">
      <w:start w:val="1"/>
      <w:numFmt w:val="lowerLetter"/>
      <w:suff w:val="nothing"/>
      <w:lvlText w:val="%1）"/>
      <w:lvlJc w:val="left"/>
    </w:lvl>
  </w:abstractNum>
  <w:abstractNum w:abstractNumId="3">
    <w:nsid w:val="D0991379"/>
    <w:multiLevelType w:val="singleLevel"/>
    <w:tmpl w:val="D0991379"/>
    <w:lvl w:ilvl="0" w:tentative="0">
      <w:start w:val="1"/>
      <w:numFmt w:val="lowerLetter"/>
      <w:suff w:val="nothing"/>
      <w:lvlText w:val="%1）"/>
      <w:lvlJc w:val="left"/>
    </w:lvl>
  </w:abstractNum>
  <w:abstractNum w:abstractNumId="4">
    <w:nsid w:val="DF45AD71"/>
    <w:multiLevelType w:val="singleLevel"/>
    <w:tmpl w:val="DF45AD71"/>
    <w:lvl w:ilvl="0" w:tentative="0">
      <w:start w:val="1"/>
      <w:numFmt w:val="lowerLetter"/>
      <w:suff w:val="nothing"/>
      <w:lvlText w:val="%1）"/>
      <w:lvlJc w:val="left"/>
    </w:lvl>
  </w:abstractNum>
  <w:abstractNum w:abstractNumId="5">
    <w:nsid w:val="E041AE02"/>
    <w:multiLevelType w:val="singleLevel"/>
    <w:tmpl w:val="E041AE02"/>
    <w:lvl w:ilvl="0" w:tentative="0">
      <w:start w:val="1"/>
      <w:numFmt w:val="lowerLetter"/>
      <w:suff w:val="nothing"/>
      <w:lvlText w:val="%1）"/>
      <w:lvlJc w:val="left"/>
    </w:lvl>
  </w:abstractNum>
  <w:abstractNum w:abstractNumId="6">
    <w:nsid w:val="E0EE7453"/>
    <w:multiLevelType w:val="singleLevel"/>
    <w:tmpl w:val="E0EE7453"/>
    <w:lvl w:ilvl="0" w:tentative="0">
      <w:start w:val="1"/>
      <w:numFmt w:val="lowerLetter"/>
      <w:suff w:val="nothing"/>
      <w:lvlText w:val="%1）"/>
      <w:lvlJc w:val="left"/>
    </w:lvl>
  </w:abstractNum>
  <w:abstractNum w:abstractNumId="7">
    <w:nsid w:val="0D731F0B"/>
    <w:multiLevelType w:val="singleLevel"/>
    <w:tmpl w:val="0D731F0B"/>
    <w:lvl w:ilvl="0" w:tentative="0">
      <w:start w:val="1"/>
      <w:numFmt w:val="lowerLetter"/>
      <w:suff w:val="nothing"/>
      <w:lvlText w:val="%1）"/>
      <w:lvlJc w:val="left"/>
    </w:lvl>
  </w:abstractNum>
  <w:abstractNum w:abstractNumId="8">
    <w:nsid w:val="1DBF583A"/>
    <w:multiLevelType w:val="multilevel"/>
    <w:tmpl w:val="1DBF583A"/>
    <w:lvl w:ilvl="0" w:tentative="0">
      <w:start w:val="1"/>
      <w:numFmt w:val="decimal"/>
      <w:pStyle w:val="7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9">
    <w:nsid w:val="1FC91163"/>
    <w:multiLevelType w:val="multilevel"/>
    <w:tmpl w:val="1FC91163"/>
    <w:lvl w:ilvl="0" w:tentative="0">
      <w:start w:val="1"/>
      <w:numFmt w:val="decimal"/>
      <w:pStyle w:val="5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5"/>
      <w:suff w:val="nothing"/>
      <w:lvlText w:val="%1.%2.%3　"/>
      <w:lvlJc w:val="left"/>
      <w:pPr>
        <w:ind w:left="1701" w:firstLine="0"/>
      </w:pPr>
      <w:rPr>
        <w:rFonts w:hint="eastAsia" w:ascii="黑体" w:hAnsi="Times New Roman" w:eastAsia="黑体"/>
        <w:b w:val="0"/>
        <w:i w:val="0"/>
        <w:sz w:val="21"/>
      </w:rPr>
    </w:lvl>
    <w:lvl w:ilvl="3" w:tentative="0">
      <w:start w:val="1"/>
      <w:numFmt w:val="decimal"/>
      <w:pStyle w:val="60"/>
      <w:suff w:val="nothing"/>
      <w:lvlText w:val="%1.%2.%3.%4　"/>
      <w:lvlJc w:val="left"/>
      <w:pPr>
        <w:ind w:left="0" w:firstLine="0"/>
      </w:pPr>
      <w:rPr>
        <w:rFonts w:hint="eastAsia" w:ascii="黑体" w:hAnsi="Times New Roman" w:eastAsia="黑体"/>
        <w:b w:val="0"/>
        <w:i w:val="0"/>
        <w:sz w:val="21"/>
      </w:rPr>
    </w:lvl>
    <w:lvl w:ilvl="4" w:tentative="0">
      <w:start w:val="1"/>
      <w:numFmt w:val="decimal"/>
      <w:pStyle w:val="64"/>
      <w:suff w:val="nothing"/>
      <w:lvlText w:val="%1.%2.%3.%4.%5　"/>
      <w:lvlJc w:val="left"/>
      <w:pPr>
        <w:ind w:left="0" w:firstLine="0"/>
      </w:pPr>
      <w:rPr>
        <w:rFonts w:hint="eastAsia" w:ascii="黑体" w:hAnsi="Times New Roman" w:eastAsia="黑体"/>
        <w:b w:val="0"/>
        <w:i w:val="0"/>
        <w:sz w:val="21"/>
      </w:rPr>
    </w:lvl>
    <w:lvl w:ilvl="5" w:tentative="0">
      <w:start w:val="1"/>
      <w:numFmt w:val="decimal"/>
      <w:pStyle w:val="6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21F913D8"/>
    <w:multiLevelType w:val="singleLevel"/>
    <w:tmpl w:val="21F913D8"/>
    <w:lvl w:ilvl="0" w:tentative="0">
      <w:start w:val="1"/>
      <w:numFmt w:val="lowerLetter"/>
      <w:suff w:val="nothing"/>
      <w:lvlText w:val="%1）"/>
      <w:lvlJc w:val="left"/>
    </w:lvl>
  </w:abstractNum>
  <w:abstractNum w:abstractNumId="11">
    <w:nsid w:val="2A8F7113"/>
    <w:multiLevelType w:val="multilevel"/>
    <w:tmpl w:val="2A8F7113"/>
    <w:lvl w:ilvl="0" w:tentative="0">
      <w:start w:val="1"/>
      <w:numFmt w:val="upperLetter"/>
      <w:pStyle w:val="107"/>
      <w:suff w:val="space"/>
      <w:lvlText w:val="%1"/>
      <w:lvlJc w:val="left"/>
      <w:pPr>
        <w:ind w:left="623" w:hanging="425"/>
      </w:pPr>
      <w:rPr>
        <w:rFonts w:hint="eastAsia"/>
      </w:rPr>
    </w:lvl>
    <w:lvl w:ilvl="1" w:tentative="0">
      <w:start w:val="1"/>
      <w:numFmt w:val="decimal"/>
      <w:pStyle w:val="10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2">
    <w:nsid w:val="2C55B818"/>
    <w:multiLevelType w:val="singleLevel"/>
    <w:tmpl w:val="2C55B818"/>
    <w:lvl w:ilvl="0" w:tentative="0">
      <w:start w:val="1"/>
      <w:numFmt w:val="lowerLetter"/>
      <w:suff w:val="nothing"/>
      <w:lvlText w:val="%1）"/>
      <w:lvlJc w:val="left"/>
    </w:lvl>
  </w:abstractNum>
  <w:abstractNum w:abstractNumId="13">
    <w:nsid w:val="2C5917C3"/>
    <w:multiLevelType w:val="multilevel"/>
    <w:tmpl w:val="2C5917C3"/>
    <w:lvl w:ilvl="0" w:tentative="0">
      <w:start w:val="1"/>
      <w:numFmt w:val="none"/>
      <w:pStyle w:val="57"/>
      <w:suff w:val="nothing"/>
      <w:lvlText w:val="%1——"/>
      <w:lvlJc w:val="left"/>
      <w:pPr>
        <w:ind w:left="833" w:hanging="408"/>
      </w:pPr>
      <w:rPr>
        <w:rFonts w:hint="eastAsia"/>
      </w:rPr>
    </w:lvl>
    <w:lvl w:ilvl="1" w:tentative="0">
      <w:start w:val="1"/>
      <w:numFmt w:val="bullet"/>
      <w:pStyle w:val="58"/>
      <w:lvlText w:val=""/>
      <w:lvlJc w:val="left"/>
      <w:pPr>
        <w:tabs>
          <w:tab w:val="left" w:pos="760"/>
        </w:tabs>
        <w:ind w:left="1264" w:hanging="413"/>
      </w:pPr>
      <w:rPr>
        <w:rFonts w:hint="default" w:ascii="Symbol" w:hAnsi="Symbol"/>
        <w:color w:val="auto"/>
      </w:rPr>
    </w:lvl>
    <w:lvl w:ilvl="2" w:tentative="0">
      <w:start w:val="1"/>
      <w:numFmt w:val="bullet"/>
      <w:pStyle w:val="6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5">
    <w:nsid w:val="44C50F90"/>
    <w:multiLevelType w:val="multilevel"/>
    <w:tmpl w:val="44C50F90"/>
    <w:lvl w:ilvl="0" w:tentative="0">
      <w:start w:val="1"/>
      <w:numFmt w:val="lowerLetter"/>
      <w:pStyle w:val="6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3"/>
      <w:lvlText w:val="%2)"/>
      <w:lvlJc w:val="left"/>
      <w:pPr>
        <w:tabs>
          <w:tab w:val="left" w:pos="1260"/>
        </w:tabs>
        <w:ind w:left="1259" w:hanging="419"/>
      </w:pPr>
      <w:rPr>
        <w:rFonts w:hint="eastAsia"/>
      </w:rPr>
    </w:lvl>
    <w:lvl w:ilvl="2" w:tentative="0">
      <w:start w:val="1"/>
      <w:numFmt w:val="decimal"/>
      <w:pStyle w:val="7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D96D67E"/>
    <w:multiLevelType w:val="singleLevel"/>
    <w:tmpl w:val="4D96D67E"/>
    <w:lvl w:ilvl="0" w:tentative="0">
      <w:start w:val="1"/>
      <w:numFmt w:val="lowerLetter"/>
      <w:suff w:val="nothing"/>
      <w:lvlText w:val="%1）"/>
      <w:lvlJc w:val="left"/>
    </w:lvl>
  </w:abstractNum>
  <w:abstractNum w:abstractNumId="17">
    <w:nsid w:val="54A64EEA"/>
    <w:multiLevelType w:val="singleLevel"/>
    <w:tmpl w:val="54A64EEA"/>
    <w:lvl w:ilvl="0" w:tentative="0">
      <w:start w:val="1"/>
      <w:numFmt w:val="lowerLetter"/>
      <w:suff w:val="nothing"/>
      <w:lvlText w:val="%1）"/>
      <w:lvlJc w:val="left"/>
    </w:lvl>
  </w:abstractNum>
  <w:abstractNum w:abstractNumId="18">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14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60B55DC2"/>
    <w:multiLevelType w:val="multilevel"/>
    <w:tmpl w:val="60B55DC2"/>
    <w:lvl w:ilvl="0" w:tentative="0">
      <w:start w:val="1"/>
      <w:numFmt w:val="upperLetter"/>
      <w:pStyle w:val="95"/>
      <w:lvlText w:val="%1"/>
      <w:lvlJc w:val="left"/>
      <w:pPr>
        <w:tabs>
          <w:tab w:val="left" w:pos="0"/>
        </w:tabs>
        <w:ind w:left="0" w:hanging="425"/>
      </w:pPr>
      <w:rPr>
        <w:rFonts w:hint="eastAsia"/>
      </w:rPr>
    </w:lvl>
    <w:lvl w:ilvl="1" w:tentative="0">
      <w:start w:val="1"/>
      <w:numFmt w:val="decimal"/>
      <w:pStyle w:val="9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0">
    <w:nsid w:val="657D3FBC"/>
    <w:multiLevelType w:val="multilevel"/>
    <w:tmpl w:val="657D3FBC"/>
    <w:lvl w:ilvl="0" w:tentative="0">
      <w:start w:val="1"/>
      <w:numFmt w:val="upperLetter"/>
      <w:pStyle w:val="9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2"/>
      <w:suff w:val="nothing"/>
      <w:lvlText w:val="%1.%2.%3　"/>
      <w:lvlJc w:val="left"/>
      <w:pPr>
        <w:ind w:left="0" w:firstLine="0"/>
      </w:pPr>
      <w:rPr>
        <w:rFonts w:hint="eastAsia" w:ascii="黑体" w:hAnsi="Times New Roman" w:eastAsia="黑体"/>
        <w:b w:val="0"/>
        <w:i w:val="0"/>
        <w:sz w:val="21"/>
      </w:rPr>
    </w:lvl>
    <w:lvl w:ilvl="3" w:tentative="0">
      <w:start w:val="1"/>
      <w:numFmt w:val="decimal"/>
      <w:pStyle w:val="97"/>
      <w:suff w:val="nothing"/>
      <w:lvlText w:val="%1.%2.%3.%4　"/>
      <w:lvlJc w:val="left"/>
      <w:pPr>
        <w:ind w:left="0" w:firstLine="0"/>
      </w:pPr>
      <w:rPr>
        <w:rFonts w:hint="eastAsia" w:ascii="黑体" w:hAnsi="Times New Roman" w:eastAsia="黑体"/>
        <w:b w:val="0"/>
        <w:i w:val="0"/>
        <w:sz w:val="21"/>
      </w:rPr>
    </w:lvl>
    <w:lvl w:ilvl="4" w:tentative="0">
      <w:start w:val="1"/>
      <w:numFmt w:val="decimal"/>
      <w:pStyle w:val="102"/>
      <w:suff w:val="nothing"/>
      <w:lvlText w:val="%1.%2.%3.%4.%5　"/>
      <w:lvlJc w:val="left"/>
      <w:pPr>
        <w:ind w:left="0" w:firstLine="0"/>
      </w:pPr>
      <w:rPr>
        <w:rFonts w:hint="eastAsia" w:ascii="黑体" w:hAnsi="Times New Roman" w:eastAsia="黑体"/>
        <w:b w:val="0"/>
        <w:i w:val="0"/>
        <w:sz w:val="21"/>
      </w:rPr>
    </w:lvl>
    <w:lvl w:ilvl="5" w:tentative="0">
      <w:start w:val="1"/>
      <w:numFmt w:val="decimal"/>
      <w:pStyle w:val="105"/>
      <w:suff w:val="nothing"/>
      <w:lvlText w:val="%1.%2.%3.%4.%5.%6　"/>
      <w:lvlJc w:val="left"/>
      <w:pPr>
        <w:ind w:left="0" w:firstLine="0"/>
      </w:pPr>
      <w:rPr>
        <w:rFonts w:hint="eastAsia" w:ascii="黑体" w:hAnsi="Times New Roman" w:eastAsia="黑体"/>
        <w:b w:val="0"/>
        <w:i w:val="0"/>
        <w:sz w:val="21"/>
      </w:rPr>
    </w:lvl>
    <w:lvl w:ilvl="6" w:tentative="0">
      <w:start w:val="1"/>
      <w:numFmt w:val="decimal"/>
      <w:pStyle w:val="10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67E4CAE2"/>
    <w:multiLevelType w:val="singleLevel"/>
    <w:tmpl w:val="67E4CAE2"/>
    <w:lvl w:ilvl="0" w:tentative="0">
      <w:start w:val="1"/>
      <w:numFmt w:val="lowerLetter"/>
      <w:suff w:val="nothing"/>
      <w:lvlText w:val="%1）"/>
      <w:lvlJc w:val="left"/>
    </w:lvl>
  </w:abstractNum>
  <w:abstractNum w:abstractNumId="22">
    <w:nsid w:val="68030550"/>
    <w:multiLevelType w:val="singleLevel"/>
    <w:tmpl w:val="68030550"/>
    <w:lvl w:ilvl="0" w:tentative="0">
      <w:start w:val="1"/>
      <w:numFmt w:val="lowerLetter"/>
      <w:suff w:val="nothing"/>
      <w:lvlText w:val="%1）"/>
      <w:lvlJc w:val="left"/>
    </w:lvl>
  </w:abstractNum>
  <w:abstractNum w:abstractNumId="23">
    <w:nsid w:val="6D6C07CD"/>
    <w:multiLevelType w:val="multilevel"/>
    <w:tmpl w:val="6D6C07CD"/>
    <w:lvl w:ilvl="0" w:tentative="0">
      <w:start w:val="1"/>
      <w:numFmt w:val="lowerLetter"/>
      <w:pStyle w:val="114"/>
      <w:lvlText w:val="%1)"/>
      <w:lvlJc w:val="left"/>
      <w:pPr>
        <w:tabs>
          <w:tab w:val="left" w:pos="839"/>
        </w:tabs>
        <w:ind w:left="839" w:hanging="419"/>
      </w:pPr>
      <w:rPr>
        <w:rFonts w:hint="eastAsia" w:ascii="宋体" w:eastAsia="宋体"/>
        <w:b w:val="0"/>
        <w:i w:val="0"/>
        <w:sz w:val="21"/>
      </w:rPr>
    </w:lvl>
    <w:lvl w:ilvl="1" w:tentative="0">
      <w:start w:val="1"/>
      <w:numFmt w:val="decimal"/>
      <w:pStyle w:val="10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4">
    <w:nsid w:val="7637FEB4"/>
    <w:multiLevelType w:val="singleLevel"/>
    <w:tmpl w:val="7637FEB4"/>
    <w:lvl w:ilvl="0" w:tentative="0">
      <w:start w:val="1"/>
      <w:numFmt w:val="lowerLetter"/>
      <w:suff w:val="nothing"/>
      <w:lvlText w:val="%1）"/>
      <w:lvlJc w:val="left"/>
    </w:lvl>
  </w:abstractNum>
  <w:abstractNum w:abstractNumId="25">
    <w:nsid w:val="766DCB54"/>
    <w:multiLevelType w:val="singleLevel"/>
    <w:tmpl w:val="766DCB54"/>
    <w:lvl w:ilvl="0" w:tentative="0">
      <w:start w:val="1"/>
      <w:numFmt w:val="lowerLetter"/>
      <w:suff w:val="nothing"/>
      <w:lvlText w:val="%1）"/>
      <w:lvlJc w:val="left"/>
    </w:lvl>
  </w:abstractNum>
  <w:num w:numId="1">
    <w:abstractNumId w:val="14"/>
  </w:num>
  <w:num w:numId="2">
    <w:abstractNumId w:val="9"/>
  </w:num>
  <w:num w:numId="3">
    <w:abstractNumId w:val="13"/>
  </w:num>
  <w:num w:numId="4">
    <w:abstractNumId w:val="15"/>
  </w:num>
  <w:num w:numId="5">
    <w:abstractNumId w:val="8"/>
  </w:num>
  <w:num w:numId="6">
    <w:abstractNumId w:val="20"/>
  </w:num>
  <w:num w:numId="7">
    <w:abstractNumId w:val="19"/>
  </w:num>
  <w:num w:numId="8">
    <w:abstractNumId w:val="23"/>
  </w:num>
  <w:num w:numId="9">
    <w:abstractNumId w:val="11"/>
  </w:num>
  <w:num w:numId="10">
    <w:abstractNumId w:val="18"/>
  </w:num>
  <w:num w:numId="11">
    <w:abstractNumId w:val="25"/>
  </w:num>
  <w:num w:numId="12">
    <w:abstractNumId w:val="0"/>
  </w:num>
  <w:num w:numId="13">
    <w:abstractNumId w:val="3"/>
  </w:num>
  <w:num w:numId="14">
    <w:abstractNumId w:val="21"/>
  </w:num>
  <w:num w:numId="15">
    <w:abstractNumId w:val="4"/>
  </w:num>
  <w:num w:numId="16">
    <w:abstractNumId w:val="1"/>
  </w:num>
  <w:num w:numId="17">
    <w:abstractNumId w:val="16"/>
  </w:num>
  <w:num w:numId="18">
    <w:abstractNumId w:val="22"/>
  </w:num>
  <w:num w:numId="19">
    <w:abstractNumId w:val="2"/>
  </w:num>
  <w:num w:numId="20">
    <w:abstractNumId w:val="12"/>
  </w:num>
  <w:num w:numId="21">
    <w:abstractNumId w:val="10"/>
  </w:num>
  <w:num w:numId="22">
    <w:abstractNumId w:val="7"/>
  </w:num>
  <w:num w:numId="23">
    <w:abstractNumId w:val="6"/>
  </w:num>
  <w:num w:numId="24">
    <w:abstractNumId w:val="24"/>
  </w:num>
  <w:num w:numId="25">
    <w:abstractNumId w:val="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xN2M3ODljMzY0Y2ViN2VhZDJjOWNlMmY3ZTQzZmYifQ=="/>
  </w:docVars>
  <w:rsids>
    <w:rsidRoot w:val="00172A27"/>
    <w:rsid w:val="00000244"/>
    <w:rsid w:val="00000AAF"/>
    <w:rsid w:val="00000C3D"/>
    <w:rsid w:val="000014E3"/>
    <w:rsid w:val="0000185F"/>
    <w:rsid w:val="0000333C"/>
    <w:rsid w:val="00004DC2"/>
    <w:rsid w:val="0000586F"/>
    <w:rsid w:val="00006238"/>
    <w:rsid w:val="00006436"/>
    <w:rsid w:val="0001077C"/>
    <w:rsid w:val="00010F8C"/>
    <w:rsid w:val="000127C0"/>
    <w:rsid w:val="00013D86"/>
    <w:rsid w:val="00013E02"/>
    <w:rsid w:val="00014435"/>
    <w:rsid w:val="0002002C"/>
    <w:rsid w:val="0002019E"/>
    <w:rsid w:val="0002143C"/>
    <w:rsid w:val="000218F9"/>
    <w:rsid w:val="00021B4A"/>
    <w:rsid w:val="00022DB7"/>
    <w:rsid w:val="00025023"/>
    <w:rsid w:val="00025A65"/>
    <w:rsid w:val="00026C31"/>
    <w:rsid w:val="00027280"/>
    <w:rsid w:val="00030D56"/>
    <w:rsid w:val="000320A7"/>
    <w:rsid w:val="000320F1"/>
    <w:rsid w:val="00032444"/>
    <w:rsid w:val="00033191"/>
    <w:rsid w:val="00035925"/>
    <w:rsid w:val="00040390"/>
    <w:rsid w:val="00040774"/>
    <w:rsid w:val="0004152E"/>
    <w:rsid w:val="00042127"/>
    <w:rsid w:val="00043CB2"/>
    <w:rsid w:val="000459DF"/>
    <w:rsid w:val="00046BFD"/>
    <w:rsid w:val="0005097F"/>
    <w:rsid w:val="00050F4D"/>
    <w:rsid w:val="000518F9"/>
    <w:rsid w:val="00052365"/>
    <w:rsid w:val="00053383"/>
    <w:rsid w:val="0005338B"/>
    <w:rsid w:val="00054BD0"/>
    <w:rsid w:val="00054FE4"/>
    <w:rsid w:val="00055D82"/>
    <w:rsid w:val="00056BFC"/>
    <w:rsid w:val="00056CD7"/>
    <w:rsid w:val="000609AE"/>
    <w:rsid w:val="000615D5"/>
    <w:rsid w:val="000617F3"/>
    <w:rsid w:val="00063AD5"/>
    <w:rsid w:val="0006481D"/>
    <w:rsid w:val="000662B1"/>
    <w:rsid w:val="00067CDF"/>
    <w:rsid w:val="000725DD"/>
    <w:rsid w:val="00072B20"/>
    <w:rsid w:val="0007365F"/>
    <w:rsid w:val="00073C8D"/>
    <w:rsid w:val="00074969"/>
    <w:rsid w:val="00074FBE"/>
    <w:rsid w:val="000768F3"/>
    <w:rsid w:val="00076D6C"/>
    <w:rsid w:val="00077570"/>
    <w:rsid w:val="00077C0C"/>
    <w:rsid w:val="00082F27"/>
    <w:rsid w:val="00083A09"/>
    <w:rsid w:val="00084D70"/>
    <w:rsid w:val="000865EA"/>
    <w:rsid w:val="0009005E"/>
    <w:rsid w:val="00091A8A"/>
    <w:rsid w:val="00091F9C"/>
    <w:rsid w:val="00092857"/>
    <w:rsid w:val="00093855"/>
    <w:rsid w:val="00093E52"/>
    <w:rsid w:val="000949B4"/>
    <w:rsid w:val="00097264"/>
    <w:rsid w:val="00097EF9"/>
    <w:rsid w:val="000A05EA"/>
    <w:rsid w:val="000A06F0"/>
    <w:rsid w:val="000A1EFE"/>
    <w:rsid w:val="000A20A9"/>
    <w:rsid w:val="000A3C73"/>
    <w:rsid w:val="000A48B1"/>
    <w:rsid w:val="000A4A52"/>
    <w:rsid w:val="000A4AB1"/>
    <w:rsid w:val="000B0682"/>
    <w:rsid w:val="000B222F"/>
    <w:rsid w:val="000B3143"/>
    <w:rsid w:val="000B32BA"/>
    <w:rsid w:val="000B3684"/>
    <w:rsid w:val="000B69D0"/>
    <w:rsid w:val="000B69F7"/>
    <w:rsid w:val="000B78CF"/>
    <w:rsid w:val="000C5E5C"/>
    <w:rsid w:val="000C5EE1"/>
    <w:rsid w:val="000C64DA"/>
    <w:rsid w:val="000C6B05"/>
    <w:rsid w:val="000C6DD6"/>
    <w:rsid w:val="000C6EB6"/>
    <w:rsid w:val="000C73D4"/>
    <w:rsid w:val="000D01A8"/>
    <w:rsid w:val="000D3D4C"/>
    <w:rsid w:val="000D4F51"/>
    <w:rsid w:val="000D5E0F"/>
    <w:rsid w:val="000D60AD"/>
    <w:rsid w:val="000D61EF"/>
    <w:rsid w:val="000D6AD8"/>
    <w:rsid w:val="000D718B"/>
    <w:rsid w:val="000E0C46"/>
    <w:rsid w:val="000E1861"/>
    <w:rsid w:val="000E1906"/>
    <w:rsid w:val="000E305C"/>
    <w:rsid w:val="000E6585"/>
    <w:rsid w:val="000E66A2"/>
    <w:rsid w:val="000F030C"/>
    <w:rsid w:val="000F0E5A"/>
    <w:rsid w:val="000F129C"/>
    <w:rsid w:val="000F1B29"/>
    <w:rsid w:val="000F5277"/>
    <w:rsid w:val="000F6E1A"/>
    <w:rsid w:val="000F7E4C"/>
    <w:rsid w:val="00102E17"/>
    <w:rsid w:val="001056DE"/>
    <w:rsid w:val="0010622C"/>
    <w:rsid w:val="001068C2"/>
    <w:rsid w:val="001075F5"/>
    <w:rsid w:val="0011057E"/>
    <w:rsid w:val="001117A7"/>
    <w:rsid w:val="00111C2D"/>
    <w:rsid w:val="00112149"/>
    <w:rsid w:val="001124C0"/>
    <w:rsid w:val="001139A8"/>
    <w:rsid w:val="0011624B"/>
    <w:rsid w:val="00124120"/>
    <w:rsid w:val="00130076"/>
    <w:rsid w:val="001311A5"/>
    <w:rsid w:val="0013175F"/>
    <w:rsid w:val="00132564"/>
    <w:rsid w:val="001344B3"/>
    <w:rsid w:val="00134C7A"/>
    <w:rsid w:val="00134CAA"/>
    <w:rsid w:val="00134E0A"/>
    <w:rsid w:val="00137801"/>
    <w:rsid w:val="00140CB5"/>
    <w:rsid w:val="00143585"/>
    <w:rsid w:val="00145433"/>
    <w:rsid w:val="00146E49"/>
    <w:rsid w:val="00146F58"/>
    <w:rsid w:val="001500C2"/>
    <w:rsid w:val="001512B4"/>
    <w:rsid w:val="001524E4"/>
    <w:rsid w:val="0015323C"/>
    <w:rsid w:val="00153BD1"/>
    <w:rsid w:val="00153E66"/>
    <w:rsid w:val="0015654E"/>
    <w:rsid w:val="00161B95"/>
    <w:rsid w:val="001620A5"/>
    <w:rsid w:val="00162684"/>
    <w:rsid w:val="00162C3D"/>
    <w:rsid w:val="00163579"/>
    <w:rsid w:val="00163921"/>
    <w:rsid w:val="00164E53"/>
    <w:rsid w:val="0016699D"/>
    <w:rsid w:val="00170249"/>
    <w:rsid w:val="00170DD6"/>
    <w:rsid w:val="00172A27"/>
    <w:rsid w:val="00173C76"/>
    <w:rsid w:val="00174508"/>
    <w:rsid w:val="00175159"/>
    <w:rsid w:val="00176208"/>
    <w:rsid w:val="00177053"/>
    <w:rsid w:val="001771B1"/>
    <w:rsid w:val="00177813"/>
    <w:rsid w:val="001819E8"/>
    <w:rsid w:val="0018211B"/>
    <w:rsid w:val="001840D3"/>
    <w:rsid w:val="00186E00"/>
    <w:rsid w:val="00187A73"/>
    <w:rsid w:val="001900F8"/>
    <w:rsid w:val="00190309"/>
    <w:rsid w:val="00191258"/>
    <w:rsid w:val="001923DA"/>
    <w:rsid w:val="00192680"/>
    <w:rsid w:val="00193037"/>
    <w:rsid w:val="00193A2C"/>
    <w:rsid w:val="001A15B5"/>
    <w:rsid w:val="001A18F2"/>
    <w:rsid w:val="001A288E"/>
    <w:rsid w:val="001A4EA4"/>
    <w:rsid w:val="001A5C25"/>
    <w:rsid w:val="001A7F8C"/>
    <w:rsid w:val="001B0100"/>
    <w:rsid w:val="001B03F0"/>
    <w:rsid w:val="001B4868"/>
    <w:rsid w:val="001B4E6B"/>
    <w:rsid w:val="001B64E7"/>
    <w:rsid w:val="001B6DC2"/>
    <w:rsid w:val="001C149C"/>
    <w:rsid w:val="001C217F"/>
    <w:rsid w:val="001C21AC"/>
    <w:rsid w:val="001C3DCF"/>
    <w:rsid w:val="001C47BA"/>
    <w:rsid w:val="001C59EA"/>
    <w:rsid w:val="001C7AC5"/>
    <w:rsid w:val="001D1D3F"/>
    <w:rsid w:val="001D21C6"/>
    <w:rsid w:val="001D3848"/>
    <w:rsid w:val="001D406C"/>
    <w:rsid w:val="001D41EE"/>
    <w:rsid w:val="001D4A9A"/>
    <w:rsid w:val="001D5FE1"/>
    <w:rsid w:val="001D79E3"/>
    <w:rsid w:val="001E0380"/>
    <w:rsid w:val="001E04AF"/>
    <w:rsid w:val="001E05F2"/>
    <w:rsid w:val="001E13B1"/>
    <w:rsid w:val="001E2D11"/>
    <w:rsid w:val="001E31D5"/>
    <w:rsid w:val="001E432E"/>
    <w:rsid w:val="001E46A9"/>
    <w:rsid w:val="001E5364"/>
    <w:rsid w:val="001E5604"/>
    <w:rsid w:val="001E595A"/>
    <w:rsid w:val="001E6132"/>
    <w:rsid w:val="001F0AC5"/>
    <w:rsid w:val="001F379C"/>
    <w:rsid w:val="001F3A19"/>
    <w:rsid w:val="001F3B0A"/>
    <w:rsid w:val="001F59D9"/>
    <w:rsid w:val="001F5A97"/>
    <w:rsid w:val="001F5AB7"/>
    <w:rsid w:val="001F6E0F"/>
    <w:rsid w:val="001F7C47"/>
    <w:rsid w:val="00202635"/>
    <w:rsid w:val="00203E6B"/>
    <w:rsid w:val="0021181B"/>
    <w:rsid w:val="00211A0B"/>
    <w:rsid w:val="00216787"/>
    <w:rsid w:val="002213E3"/>
    <w:rsid w:val="0022281E"/>
    <w:rsid w:val="00224EFE"/>
    <w:rsid w:val="00225A3B"/>
    <w:rsid w:val="002271D1"/>
    <w:rsid w:val="00230430"/>
    <w:rsid w:val="002317DD"/>
    <w:rsid w:val="00231BA8"/>
    <w:rsid w:val="00234467"/>
    <w:rsid w:val="002347AD"/>
    <w:rsid w:val="00236EBD"/>
    <w:rsid w:val="002372F8"/>
    <w:rsid w:val="00237C2D"/>
    <w:rsid w:val="00237C78"/>
    <w:rsid w:val="00237D8D"/>
    <w:rsid w:val="00237E24"/>
    <w:rsid w:val="002408EB"/>
    <w:rsid w:val="00241011"/>
    <w:rsid w:val="00241DA2"/>
    <w:rsid w:val="00241E63"/>
    <w:rsid w:val="00247FEE"/>
    <w:rsid w:val="00250399"/>
    <w:rsid w:val="00250E7D"/>
    <w:rsid w:val="002520CF"/>
    <w:rsid w:val="002529F5"/>
    <w:rsid w:val="00252F0A"/>
    <w:rsid w:val="00253AFD"/>
    <w:rsid w:val="00253BC4"/>
    <w:rsid w:val="002565D5"/>
    <w:rsid w:val="00257470"/>
    <w:rsid w:val="002603DB"/>
    <w:rsid w:val="00260AE6"/>
    <w:rsid w:val="002612AF"/>
    <w:rsid w:val="002622C0"/>
    <w:rsid w:val="00262501"/>
    <w:rsid w:val="00262A60"/>
    <w:rsid w:val="00264A53"/>
    <w:rsid w:val="00265873"/>
    <w:rsid w:val="00266B52"/>
    <w:rsid w:val="0026760F"/>
    <w:rsid w:val="0026770F"/>
    <w:rsid w:val="00267F11"/>
    <w:rsid w:val="00270445"/>
    <w:rsid w:val="00270FCB"/>
    <w:rsid w:val="0027270D"/>
    <w:rsid w:val="002773D4"/>
    <w:rsid w:val="002778AE"/>
    <w:rsid w:val="00277B4F"/>
    <w:rsid w:val="00277D40"/>
    <w:rsid w:val="00281B22"/>
    <w:rsid w:val="0028269A"/>
    <w:rsid w:val="002832D3"/>
    <w:rsid w:val="00283590"/>
    <w:rsid w:val="00285158"/>
    <w:rsid w:val="00286973"/>
    <w:rsid w:val="00287E0F"/>
    <w:rsid w:val="00291218"/>
    <w:rsid w:val="00291662"/>
    <w:rsid w:val="002920B8"/>
    <w:rsid w:val="00292D81"/>
    <w:rsid w:val="00293CDC"/>
    <w:rsid w:val="00294186"/>
    <w:rsid w:val="00294E70"/>
    <w:rsid w:val="002952BE"/>
    <w:rsid w:val="00295B6A"/>
    <w:rsid w:val="002976D3"/>
    <w:rsid w:val="002A063A"/>
    <w:rsid w:val="002A06D3"/>
    <w:rsid w:val="002A142B"/>
    <w:rsid w:val="002A14D8"/>
    <w:rsid w:val="002A1924"/>
    <w:rsid w:val="002A324F"/>
    <w:rsid w:val="002A41C0"/>
    <w:rsid w:val="002A5076"/>
    <w:rsid w:val="002A7420"/>
    <w:rsid w:val="002A7A3C"/>
    <w:rsid w:val="002B0F12"/>
    <w:rsid w:val="002B1308"/>
    <w:rsid w:val="002B2961"/>
    <w:rsid w:val="002B2AE3"/>
    <w:rsid w:val="002B2F99"/>
    <w:rsid w:val="002B3BA5"/>
    <w:rsid w:val="002B3DF6"/>
    <w:rsid w:val="002B4554"/>
    <w:rsid w:val="002B5930"/>
    <w:rsid w:val="002B697C"/>
    <w:rsid w:val="002C08F0"/>
    <w:rsid w:val="002C1139"/>
    <w:rsid w:val="002C371A"/>
    <w:rsid w:val="002C398A"/>
    <w:rsid w:val="002C49D9"/>
    <w:rsid w:val="002C72D8"/>
    <w:rsid w:val="002D0461"/>
    <w:rsid w:val="002D0F39"/>
    <w:rsid w:val="002D11FA"/>
    <w:rsid w:val="002D1E13"/>
    <w:rsid w:val="002D24BA"/>
    <w:rsid w:val="002D5641"/>
    <w:rsid w:val="002D588E"/>
    <w:rsid w:val="002E07AD"/>
    <w:rsid w:val="002E0C59"/>
    <w:rsid w:val="002E0DDF"/>
    <w:rsid w:val="002E19B7"/>
    <w:rsid w:val="002E251B"/>
    <w:rsid w:val="002E280D"/>
    <w:rsid w:val="002E2906"/>
    <w:rsid w:val="002E37A1"/>
    <w:rsid w:val="002E4518"/>
    <w:rsid w:val="002E5635"/>
    <w:rsid w:val="002E64C3"/>
    <w:rsid w:val="002E6A2C"/>
    <w:rsid w:val="002F1D8C"/>
    <w:rsid w:val="002F21DA"/>
    <w:rsid w:val="002F4459"/>
    <w:rsid w:val="002F4608"/>
    <w:rsid w:val="002F4AEC"/>
    <w:rsid w:val="002F64BE"/>
    <w:rsid w:val="002F6D24"/>
    <w:rsid w:val="00301A99"/>
    <w:rsid w:val="00301F39"/>
    <w:rsid w:val="00302C59"/>
    <w:rsid w:val="003056B7"/>
    <w:rsid w:val="003067BD"/>
    <w:rsid w:val="00311BE1"/>
    <w:rsid w:val="00313440"/>
    <w:rsid w:val="00313D34"/>
    <w:rsid w:val="00314BB1"/>
    <w:rsid w:val="003159FC"/>
    <w:rsid w:val="0031626A"/>
    <w:rsid w:val="003163F5"/>
    <w:rsid w:val="00316B50"/>
    <w:rsid w:val="00320B54"/>
    <w:rsid w:val="003219AB"/>
    <w:rsid w:val="00325926"/>
    <w:rsid w:val="00325AFF"/>
    <w:rsid w:val="00327A8A"/>
    <w:rsid w:val="00327AB1"/>
    <w:rsid w:val="003311FB"/>
    <w:rsid w:val="003322F8"/>
    <w:rsid w:val="003345C3"/>
    <w:rsid w:val="00336610"/>
    <w:rsid w:val="003408CA"/>
    <w:rsid w:val="00340AA2"/>
    <w:rsid w:val="00343F73"/>
    <w:rsid w:val="00345060"/>
    <w:rsid w:val="0034523B"/>
    <w:rsid w:val="00345EE1"/>
    <w:rsid w:val="00347CD1"/>
    <w:rsid w:val="00350259"/>
    <w:rsid w:val="0035323B"/>
    <w:rsid w:val="00355BFD"/>
    <w:rsid w:val="00355ED7"/>
    <w:rsid w:val="00356186"/>
    <w:rsid w:val="00357D8F"/>
    <w:rsid w:val="0036074E"/>
    <w:rsid w:val="00360909"/>
    <w:rsid w:val="003609D2"/>
    <w:rsid w:val="003611CD"/>
    <w:rsid w:val="00363F22"/>
    <w:rsid w:val="003648CC"/>
    <w:rsid w:val="00365C1D"/>
    <w:rsid w:val="00371B58"/>
    <w:rsid w:val="00372118"/>
    <w:rsid w:val="00374EFB"/>
    <w:rsid w:val="00375564"/>
    <w:rsid w:val="0037629C"/>
    <w:rsid w:val="00376605"/>
    <w:rsid w:val="00383191"/>
    <w:rsid w:val="0038404F"/>
    <w:rsid w:val="003853EA"/>
    <w:rsid w:val="0038576F"/>
    <w:rsid w:val="00385BA0"/>
    <w:rsid w:val="00386DED"/>
    <w:rsid w:val="003912E7"/>
    <w:rsid w:val="00392E3F"/>
    <w:rsid w:val="00393947"/>
    <w:rsid w:val="00394132"/>
    <w:rsid w:val="00394EE1"/>
    <w:rsid w:val="003960DB"/>
    <w:rsid w:val="003A1D95"/>
    <w:rsid w:val="003A1DAF"/>
    <w:rsid w:val="003A2275"/>
    <w:rsid w:val="003A2614"/>
    <w:rsid w:val="003A296F"/>
    <w:rsid w:val="003A31F5"/>
    <w:rsid w:val="003A5957"/>
    <w:rsid w:val="003A5A38"/>
    <w:rsid w:val="003A6055"/>
    <w:rsid w:val="003A6A1B"/>
    <w:rsid w:val="003A6A4F"/>
    <w:rsid w:val="003A7088"/>
    <w:rsid w:val="003B00DF"/>
    <w:rsid w:val="003B1275"/>
    <w:rsid w:val="003B1778"/>
    <w:rsid w:val="003B1986"/>
    <w:rsid w:val="003B29B7"/>
    <w:rsid w:val="003B3150"/>
    <w:rsid w:val="003B51D5"/>
    <w:rsid w:val="003B699F"/>
    <w:rsid w:val="003B76A8"/>
    <w:rsid w:val="003B7B12"/>
    <w:rsid w:val="003C11CB"/>
    <w:rsid w:val="003C6445"/>
    <w:rsid w:val="003C75F3"/>
    <w:rsid w:val="003C78A3"/>
    <w:rsid w:val="003D08E2"/>
    <w:rsid w:val="003D1332"/>
    <w:rsid w:val="003D15FD"/>
    <w:rsid w:val="003D4870"/>
    <w:rsid w:val="003D5EFB"/>
    <w:rsid w:val="003D61D9"/>
    <w:rsid w:val="003D6582"/>
    <w:rsid w:val="003D7543"/>
    <w:rsid w:val="003E0692"/>
    <w:rsid w:val="003E1867"/>
    <w:rsid w:val="003E3BB1"/>
    <w:rsid w:val="003E4845"/>
    <w:rsid w:val="003E5729"/>
    <w:rsid w:val="003E77FA"/>
    <w:rsid w:val="003E7C2A"/>
    <w:rsid w:val="003F0298"/>
    <w:rsid w:val="003F08B9"/>
    <w:rsid w:val="003F0959"/>
    <w:rsid w:val="003F3373"/>
    <w:rsid w:val="003F4EE0"/>
    <w:rsid w:val="003F5F68"/>
    <w:rsid w:val="003F629A"/>
    <w:rsid w:val="003F71FB"/>
    <w:rsid w:val="003F7F25"/>
    <w:rsid w:val="00402153"/>
    <w:rsid w:val="004021F5"/>
    <w:rsid w:val="00402FC1"/>
    <w:rsid w:val="00404FA5"/>
    <w:rsid w:val="00411FF9"/>
    <w:rsid w:val="00413582"/>
    <w:rsid w:val="004137AD"/>
    <w:rsid w:val="00413DC8"/>
    <w:rsid w:val="004155FB"/>
    <w:rsid w:val="004161E3"/>
    <w:rsid w:val="00423B27"/>
    <w:rsid w:val="00424BCC"/>
    <w:rsid w:val="00425082"/>
    <w:rsid w:val="00426333"/>
    <w:rsid w:val="004268AB"/>
    <w:rsid w:val="00426963"/>
    <w:rsid w:val="00426FD5"/>
    <w:rsid w:val="004270AD"/>
    <w:rsid w:val="00431DEB"/>
    <w:rsid w:val="004332AE"/>
    <w:rsid w:val="004351D6"/>
    <w:rsid w:val="00435CBE"/>
    <w:rsid w:val="00435D60"/>
    <w:rsid w:val="00436734"/>
    <w:rsid w:val="004371A6"/>
    <w:rsid w:val="004377F6"/>
    <w:rsid w:val="00440C22"/>
    <w:rsid w:val="004420E0"/>
    <w:rsid w:val="0044471E"/>
    <w:rsid w:val="0044489F"/>
    <w:rsid w:val="0044508F"/>
    <w:rsid w:val="00446424"/>
    <w:rsid w:val="00446B29"/>
    <w:rsid w:val="00446E36"/>
    <w:rsid w:val="004471D6"/>
    <w:rsid w:val="00447DCD"/>
    <w:rsid w:val="00450917"/>
    <w:rsid w:val="0045160E"/>
    <w:rsid w:val="00453F9A"/>
    <w:rsid w:val="00455829"/>
    <w:rsid w:val="0046021C"/>
    <w:rsid w:val="00460915"/>
    <w:rsid w:val="0046474E"/>
    <w:rsid w:val="00465756"/>
    <w:rsid w:val="00466C35"/>
    <w:rsid w:val="0046707B"/>
    <w:rsid w:val="0047127D"/>
    <w:rsid w:val="00471A1A"/>
    <w:rsid w:val="00471E91"/>
    <w:rsid w:val="00472464"/>
    <w:rsid w:val="00473F41"/>
    <w:rsid w:val="004742AD"/>
    <w:rsid w:val="00474675"/>
    <w:rsid w:val="0047470C"/>
    <w:rsid w:val="004756B6"/>
    <w:rsid w:val="004763A9"/>
    <w:rsid w:val="004773E2"/>
    <w:rsid w:val="00477F4C"/>
    <w:rsid w:val="0048188F"/>
    <w:rsid w:val="0048306F"/>
    <w:rsid w:val="00484841"/>
    <w:rsid w:val="00487D92"/>
    <w:rsid w:val="00493163"/>
    <w:rsid w:val="00494D1B"/>
    <w:rsid w:val="00495497"/>
    <w:rsid w:val="004A0F9C"/>
    <w:rsid w:val="004A35F9"/>
    <w:rsid w:val="004A39E3"/>
    <w:rsid w:val="004A57E5"/>
    <w:rsid w:val="004A6AC9"/>
    <w:rsid w:val="004A7BF6"/>
    <w:rsid w:val="004B24C1"/>
    <w:rsid w:val="004B40D3"/>
    <w:rsid w:val="004B56AC"/>
    <w:rsid w:val="004B599A"/>
    <w:rsid w:val="004B7946"/>
    <w:rsid w:val="004B7E54"/>
    <w:rsid w:val="004C2109"/>
    <w:rsid w:val="004C292F"/>
    <w:rsid w:val="004C2BD9"/>
    <w:rsid w:val="004C3DCD"/>
    <w:rsid w:val="004C412C"/>
    <w:rsid w:val="004C43E9"/>
    <w:rsid w:val="004C4591"/>
    <w:rsid w:val="004C48D1"/>
    <w:rsid w:val="004C63F7"/>
    <w:rsid w:val="004C733E"/>
    <w:rsid w:val="004C7D34"/>
    <w:rsid w:val="004D1FFE"/>
    <w:rsid w:val="004D2A3F"/>
    <w:rsid w:val="004E1E0A"/>
    <w:rsid w:val="004E4BC3"/>
    <w:rsid w:val="004E4E1B"/>
    <w:rsid w:val="004E5D44"/>
    <w:rsid w:val="004E74ED"/>
    <w:rsid w:val="004F1516"/>
    <w:rsid w:val="004F1956"/>
    <w:rsid w:val="004F2529"/>
    <w:rsid w:val="004F51CC"/>
    <w:rsid w:val="004F5C51"/>
    <w:rsid w:val="004F5F9A"/>
    <w:rsid w:val="004F67E5"/>
    <w:rsid w:val="004F7E3B"/>
    <w:rsid w:val="00500169"/>
    <w:rsid w:val="0050168F"/>
    <w:rsid w:val="00502875"/>
    <w:rsid w:val="00504239"/>
    <w:rsid w:val="005056CC"/>
    <w:rsid w:val="00510280"/>
    <w:rsid w:val="00513D73"/>
    <w:rsid w:val="0051427B"/>
    <w:rsid w:val="00514A43"/>
    <w:rsid w:val="00514F91"/>
    <w:rsid w:val="00516628"/>
    <w:rsid w:val="00516AAE"/>
    <w:rsid w:val="005174E5"/>
    <w:rsid w:val="0051759D"/>
    <w:rsid w:val="00520C4F"/>
    <w:rsid w:val="00521355"/>
    <w:rsid w:val="00521636"/>
    <w:rsid w:val="00522393"/>
    <w:rsid w:val="00522620"/>
    <w:rsid w:val="0052280A"/>
    <w:rsid w:val="0052296F"/>
    <w:rsid w:val="00524A75"/>
    <w:rsid w:val="00525656"/>
    <w:rsid w:val="00526FCB"/>
    <w:rsid w:val="0053114B"/>
    <w:rsid w:val="005333FE"/>
    <w:rsid w:val="005346F8"/>
    <w:rsid w:val="00534C02"/>
    <w:rsid w:val="00535957"/>
    <w:rsid w:val="00535970"/>
    <w:rsid w:val="00535FA7"/>
    <w:rsid w:val="00536267"/>
    <w:rsid w:val="00536821"/>
    <w:rsid w:val="005420BB"/>
    <w:rsid w:val="0054264B"/>
    <w:rsid w:val="005431C0"/>
    <w:rsid w:val="005436BB"/>
    <w:rsid w:val="00543786"/>
    <w:rsid w:val="0054389A"/>
    <w:rsid w:val="005458E2"/>
    <w:rsid w:val="00551551"/>
    <w:rsid w:val="00551F26"/>
    <w:rsid w:val="005533D7"/>
    <w:rsid w:val="00560404"/>
    <w:rsid w:val="005616A4"/>
    <w:rsid w:val="0056576E"/>
    <w:rsid w:val="00565ADC"/>
    <w:rsid w:val="005665EB"/>
    <w:rsid w:val="005675E0"/>
    <w:rsid w:val="00567B65"/>
    <w:rsid w:val="00567E0F"/>
    <w:rsid w:val="00570268"/>
    <w:rsid w:val="005703DE"/>
    <w:rsid w:val="0057136F"/>
    <w:rsid w:val="0057142C"/>
    <w:rsid w:val="0057264B"/>
    <w:rsid w:val="0057331A"/>
    <w:rsid w:val="00573456"/>
    <w:rsid w:val="00573573"/>
    <w:rsid w:val="00573ABE"/>
    <w:rsid w:val="005751D1"/>
    <w:rsid w:val="005756D9"/>
    <w:rsid w:val="00575BD7"/>
    <w:rsid w:val="0058464E"/>
    <w:rsid w:val="0058518D"/>
    <w:rsid w:val="00587BC3"/>
    <w:rsid w:val="00590E3B"/>
    <w:rsid w:val="005931FE"/>
    <w:rsid w:val="00594137"/>
    <w:rsid w:val="00595117"/>
    <w:rsid w:val="00597ED1"/>
    <w:rsid w:val="005A01CB"/>
    <w:rsid w:val="005A0811"/>
    <w:rsid w:val="005A31A7"/>
    <w:rsid w:val="005A351A"/>
    <w:rsid w:val="005A49DB"/>
    <w:rsid w:val="005A5360"/>
    <w:rsid w:val="005A58FF"/>
    <w:rsid w:val="005A5BC5"/>
    <w:rsid w:val="005A5EAF"/>
    <w:rsid w:val="005A64C0"/>
    <w:rsid w:val="005A7465"/>
    <w:rsid w:val="005B1321"/>
    <w:rsid w:val="005B241C"/>
    <w:rsid w:val="005B3C11"/>
    <w:rsid w:val="005B49B5"/>
    <w:rsid w:val="005B4E83"/>
    <w:rsid w:val="005B505E"/>
    <w:rsid w:val="005C0D6B"/>
    <w:rsid w:val="005C1AD3"/>
    <w:rsid w:val="005C1C28"/>
    <w:rsid w:val="005C2019"/>
    <w:rsid w:val="005C326A"/>
    <w:rsid w:val="005C3536"/>
    <w:rsid w:val="005C3CBE"/>
    <w:rsid w:val="005C642A"/>
    <w:rsid w:val="005C6AF0"/>
    <w:rsid w:val="005C6DB5"/>
    <w:rsid w:val="005C6FC0"/>
    <w:rsid w:val="005C7431"/>
    <w:rsid w:val="005C7A64"/>
    <w:rsid w:val="005C7D99"/>
    <w:rsid w:val="005D31D0"/>
    <w:rsid w:val="005D3226"/>
    <w:rsid w:val="005D46A3"/>
    <w:rsid w:val="005E0A4E"/>
    <w:rsid w:val="005E19E7"/>
    <w:rsid w:val="005E22B0"/>
    <w:rsid w:val="005E26FE"/>
    <w:rsid w:val="005E2DCC"/>
    <w:rsid w:val="005E5DEC"/>
    <w:rsid w:val="005E69DB"/>
    <w:rsid w:val="005E72F3"/>
    <w:rsid w:val="005E7957"/>
    <w:rsid w:val="005F007A"/>
    <w:rsid w:val="005F1A66"/>
    <w:rsid w:val="005F26AD"/>
    <w:rsid w:val="005F29E1"/>
    <w:rsid w:val="005F2D04"/>
    <w:rsid w:val="005F34B5"/>
    <w:rsid w:val="005F353E"/>
    <w:rsid w:val="00603405"/>
    <w:rsid w:val="0060466E"/>
    <w:rsid w:val="006110FF"/>
    <w:rsid w:val="0061158F"/>
    <w:rsid w:val="0061252F"/>
    <w:rsid w:val="00612564"/>
    <w:rsid w:val="00614714"/>
    <w:rsid w:val="0061716C"/>
    <w:rsid w:val="006174CB"/>
    <w:rsid w:val="006211F3"/>
    <w:rsid w:val="006212B8"/>
    <w:rsid w:val="00623858"/>
    <w:rsid w:val="006243A1"/>
    <w:rsid w:val="006247AA"/>
    <w:rsid w:val="006259F7"/>
    <w:rsid w:val="00630C04"/>
    <w:rsid w:val="006313FA"/>
    <w:rsid w:val="006314DB"/>
    <w:rsid w:val="00632524"/>
    <w:rsid w:val="00632E56"/>
    <w:rsid w:val="00634525"/>
    <w:rsid w:val="00635CBA"/>
    <w:rsid w:val="00636651"/>
    <w:rsid w:val="00637CA1"/>
    <w:rsid w:val="00637E0D"/>
    <w:rsid w:val="00642872"/>
    <w:rsid w:val="0064318D"/>
    <w:rsid w:val="006432D1"/>
    <w:rsid w:val="0064338B"/>
    <w:rsid w:val="00643717"/>
    <w:rsid w:val="00645228"/>
    <w:rsid w:val="00646542"/>
    <w:rsid w:val="0064686A"/>
    <w:rsid w:val="00646BFD"/>
    <w:rsid w:val="006479AD"/>
    <w:rsid w:val="006504F4"/>
    <w:rsid w:val="00651B5D"/>
    <w:rsid w:val="00652250"/>
    <w:rsid w:val="00652289"/>
    <w:rsid w:val="00652C89"/>
    <w:rsid w:val="00654B90"/>
    <w:rsid w:val="00654BC9"/>
    <w:rsid w:val="006552FD"/>
    <w:rsid w:val="00655AFA"/>
    <w:rsid w:val="00661CFC"/>
    <w:rsid w:val="006629C8"/>
    <w:rsid w:val="00662CA4"/>
    <w:rsid w:val="00663AF3"/>
    <w:rsid w:val="0066402E"/>
    <w:rsid w:val="00664762"/>
    <w:rsid w:val="0066608D"/>
    <w:rsid w:val="00666B6C"/>
    <w:rsid w:val="00673DED"/>
    <w:rsid w:val="006745C8"/>
    <w:rsid w:val="006755C0"/>
    <w:rsid w:val="0067626A"/>
    <w:rsid w:val="0068059D"/>
    <w:rsid w:val="0068264D"/>
    <w:rsid w:val="00682682"/>
    <w:rsid w:val="00682702"/>
    <w:rsid w:val="0068508C"/>
    <w:rsid w:val="00686C62"/>
    <w:rsid w:val="006873D7"/>
    <w:rsid w:val="00687614"/>
    <w:rsid w:val="00687C62"/>
    <w:rsid w:val="00690306"/>
    <w:rsid w:val="00691763"/>
    <w:rsid w:val="00692368"/>
    <w:rsid w:val="00693875"/>
    <w:rsid w:val="006940C2"/>
    <w:rsid w:val="006957F1"/>
    <w:rsid w:val="006A11DA"/>
    <w:rsid w:val="006A1FC3"/>
    <w:rsid w:val="006A2EBC"/>
    <w:rsid w:val="006A3FB6"/>
    <w:rsid w:val="006A5EA0"/>
    <w:rsid w:val="006A6442"/>
    <w:rsid w:val="006A783B"/>
    <w:rsid w:val="006A7B33"/>
    <w:rsid w:val="006B300D"/>
    <w:rsid w:val="006B307C"/>
    <w:rsid w:val="006B3F88"/>
    <w:rsid w:val="006B4BEF"/>
    <w:rsid w:val="006B4E13"/>
    <w:rsid w:val="006B5887"/>
    <w:rsid w:val="006B62AC"/>
    <w:rsid w:val="006B75DD"/>
    <w:rsid w:val="006C060D"/>
    <w:rsid w:val="006C12C0"/>
    <w:rsid w:val="006C2719"/>
    <w:rsid w:val="006C3195"/>
    <w:rsid w:val="006C4FFE"/>
    <w:rsid w:val="006C67E0"/>
    <w:rsid w:val="006C7ABA"/>
    <w:rsid w:val="006C7C58"/>
    <w:rsid w:val="006C7F14"/>
    <w:rsid w:val="006D0D60"/>
    <w:rsid w:val="006D1122"/>
    <w:rsid w:val="006D1984"/>
    <w:rsid w:val="006D3537"/>
    <w:rsid w:val="006D3C00"/>
    <w:rsid w:val="006D4481"/>
    <w:rsid w:val="006D48BF"/>
    <w:rsid w:val="006D5614"/>
    <w:rsid w:val="006E040F"/>
    <w:rsid w:val="006E3675"/>
    <w:rsid w:val="006E3A5C"/>
    <w:rsid w:val="006E3BD9"/>
    <w:rsid w:val="006E49AB"/>
    <w:rsid w:val="006E4A7F"/>
    <w:rsid w:val="006E4C5A"/>
    <w:rsid w:val="006E4DA2"/>
    <w:rsid w:val="006E5E8C"/>
    <w:rsid w:val="006E7537"/>
    <w:rsid w:val="006F23A3"/>
    <w:rsid w:val="006F2B3B"/>
    <w:rsid w:val="006F3BAE"/>
    <w:rsid w:val="006F4A6A"/>
    <w:rsid w:val="006F592C"/>
    <w:rsid w:val="006F5DA8"/>
    <w:rsid w:val="006F64C2"/>
    <w:rsid w:val="006F7FEA"/>
    <w:rsid w:val="00700007"/>
    <w:rsid w:val="007003E5"/>
    <w:rsid w:val="00700B89"/>
    <w:rsid w:val="00701928"/>
    <w:rsid w:val="0070394E"/>
    <w:rsid w:val="00704A63"/>
    <w:rsid w:val="00704DF6"/>
    <w:rsid w:val="00706259"/>
    <w:rsid w:val="0070651C"/>
    <w:rsid w:val="00706EE8"/>
    <w:rsid w:val="007101AB"/>
    <w:rsid w:val="007103A7"/>
    <w:rsid w:val="00711DF5"/>
    <w:rsid w:val="0071231C"/>
    <w:rsid w:val="007132A3"/>
    <w:rsid w:val="00715765"/>
    <w:rsid w:val="0071638F"/>
    <w:rsid w:val="00716421"/>
    <w:rsid w:val="00717681"/>
    <w:rsid w:val="007200E9"/>
    <w:rsid w:val="00724884"/>
    <w:rsid w:val="00724EFB"/>
    <w:rsid w:val="00725D60"/>
    <w:rsid w:val="00731843"/>
    <w:rsid w:val="00732524"/>
    <w:rsid w:val="007335F9"/>
    <w:rsid w:val="00734834"/>
    <w:rsid w:val="00735EA5"/>
    <w:rsid w:val="00736E7E"/>
    <w:rsid w:val="007379F3"/>
    <w:rsid w:val="007407CF"/>
    <w:rsid w:val="007419C3"/>
    <w:rsid w:val="00741A7E"/>
    <w:rsid w:val="00741D1C"/>
    <w:rsid w:val="0074247B"/>
    <w:rsid w:val="00742ED0"/>
    <w:rsid w:val="007467A7"/>
    <w:rsid w:val="007469DD"/>
    <w:rsid w:val="00747176"/>
    <w:rsid w:val="0074741B"/>
    <w:rsid w:val="0074759E"/>
    <w:rsid w:val="007478EA"/>
    <w:rsid w:val="0075415C"/>
    <w:rsid w:val="00756D1F"/>
    <w:rsid w:val="007570EF"/>
    <w:rsid w:val="0075796C"/>
    <w:rsid w:val="00757F26"/>
    <w:rsid w:val="00763502"/>
    <w:rsid w:val="0076372E"/>
    <w:rsid w:val="0076632D"/>
    <w:rsid w:val="00770209"/>
    <w:rsid w:val="00771987"/>
    <w:rsid w:val="00771D66"/>
    <w:rsid w:val="00775286"/>
    <w:rsid w:val="00782C02"/>
    <w:rsid w:val="007830E8"/>
    <w:rsid w:val="007849BD"/>
    <w:rsid w:val="007850BB"/>
    <w:rsid w:val="00786B96"/>
    <w:rsid w:val="00787329"/>
    <w:rsid w:val="00790F1C"/>
    <w:rsid w:val="007913AB"/>
    <w:rsid w:val="007914F7"/>
    <w:rsid w:val="00794FC9"/>
    <w:rsid w:val="007969F9"/>
    <w:rsid w:val="007A0DCA"/>
    <w:rsid w:val="007A4010"/>
    <w:rsid w:val="007A4733"/>
    <w:rsid w:val="007A4F5B"/>
    <w:rsid w:val="007A6DDA"/>
    <w:rsid w:val="007B1450"/>
    <w:rsid w:val="007B1625"/>
    <w:rsid w:val="007B1828"/>
    <w:rsid w:val="007B1A46"/>
    <w:rsid w:val="007B4A4A"/>
    <w:rsid w:val="007B706E"/>
    <w:rsid w:val="007B71EB"/>
    <w:rsid w:val="007B7CB3"/>
    <w:rsid w:val="007C1380"/>
    <w:rsid w:val="007C222B"/>
    <w:rsid w:val="007C2468"/>
    <w:rsid w:val="007C3627"/>
    <w:rsid w:val="007C3F2D"/>
    <w:rsid w:val="007C4189"/>
    <w:rsid w:val="007C535F"/>
    <w:rsid w:val="007C552E"/>
    <w:rsid w:val="007C6205"/>
    <w:rsid w:val="007C686A"/>
    <w:rsid w:val="007C728E"/>
    <w:rsid w:val="007C7BC9"/>
    <w:rsid w:val="007D15DF"/>
    <w:rsid w:val="007D2C53"/>
    <w:rsid w:val="007D30CF"/>
    <w:rsid w:val="007D3388"/>
    <w:rsid w:val="007D3D60"/>
    <w:rsid w:val="007D3F07"/>
    <w:rsid w:val="007D6FA9"/>
    <w:rsid w:val="007E1980"/>
    <w:rsid w:val="007E2180"/>
    <w:rsid w:val="007E27FF"/>
    <w:rsid w:val="007E4B76"/>
    <w:rsid w:val="007E4E3C"/>
    <w:rsid w:val="007E5AC1"/>
    <w:rsid w:val="007E5EA8"/>
    <w:rsid w:val="007E70F3"/>
    <w:rsid w:val="007F0CF1"/>
    <w:rsid w:val="007F12A5"/>
    <w:rsid w:val="007F1837"/>
    <w:rsid w:val="007F20C6"/>
    <w:rsid w:val="007F4CF1"/>
    <w:rsid w:val="007F5B83"/>
    <w:rsid w:val="007F5E04"/>
    <w:rsid w:val="007F758D"/>
    <w:rsid w:val="007F7D16"/>
    <w:rsid w:val="007F7D52"/>
    <w:rsid w:val="00804B61"/>
    <w:rsid w:val="00804DC4"/>
    <w:rsid w:val="0080631C"/>
    <w:rsid w:val="0080654C"/>
    <w:rsid w:val="008071C6"/>
    <w:rsid w:val="00807981"/>
    <w:rsid w:val="00810EF0"/>
    <w:rsid w:val="0081159B"/>
    <w:rsid w:val="0081448D"/>
    <w:rsid w:val="00816684"/>
    <w:rsid w:val="0081723E"/>
    <w:rsid w:val="00817A00"/>
    <w:rsid w:val="008214CA"/>
    <w:rsid w:val="00822605"/>
    <w:rsid w:val="0082643F"/>
    <w:rsid w:val="00831EEF"/>
    <w:rsid w:val="0083330C"/>
    <w:rsid w:val="00835DB3"/>
    <w:rsid w:val="0083617B"/>
    <w:rsid w:val="00836963"/>
    <w:rsid w:val="00836EA9"/>
    <w:rsid w:val="008371BD"/>
    <w:rsid w:val="00837219"/>
    <w:rsid w:val="00837BA4"/>
    <w:rsid w:val="00840344"/>
    <w:rsid w:val="00840428"/>
    <w:rsid w:val="008430D9"/>
    <w:rsid w:val="00844D06"/>
    <w:rsid w:val="00847AEE"/>
    <w:rsid w:val="008504A8"/>
    <w:rsid w:val="008504D6"/>
    <w:rsid w:val="00851F7E"/>
    <w:rsid w:val="00852648"/>
    <w:rsid w:val="0085282E"/>
    <w:rsid w:val="008536B4"/>
    <w:rsid w:val="0085400A"/>
    <w:rsid w:val="008546CF"/>
    <w:rsid w:val="00856BA9"/>
    <w:rsid w:val="008571A4"/>
    <w:rsid w:val="0085790F"/>
    <w:rsid w:val="0086049B"/>
    <w:rsid w:val="00864691"/>
    <w:rsid w:val="00866B8E"/>
    <w:rsid w:val="008670C0"/>
    <w:rsid w:val="00867347"/>
    <w:rsid w:val="008702D3"/>
    <w:rsid w:val="008714F3"/>
    <w:rsid w:val="0087198C"/>
    <w:rsid w:val="00872C1F"/>
    <w:rsid w:val="00872D4A"/>
    <w:rsid w:val="00873B42"/>
    <w:rsid w:val="00873E8C"/>
    <w:rsid w:val="00874C77"/>
    <w:rsid w:val="008775E0"/>
    <w:rsid w:val="00880B4A"/>
    <w:rsid w:val="00880D41"/>
    <w:rsid w:val="00881023"/>
    <w:rsid w:val="00882750"/>
    <w:rsid w:val="0088412D"/>
    <w:rsid w:val="0088468E"/>
    <w:rsid w:val="00885561"/>
    <w:rsid w:val="008856D8"/>
    <w:rsid w:val="00887AB2"/>
    <w:rsid w:val="00887BE9"/>
    <w:rsid w:val="00891019"/>
    <w:rsid w:val="00891504"/>
    <w:rsid w:val="00891761"/>
    <w:rsid w:val="0089270A"/>
    <w:rsid w:val="00892A43"/>
    <w:rsid w:val="00892E82"/>
    <w:rsid w:val="00893AD4"/>
    <w:rsid w:val="00893F8F"/>
    <w:rsid w:val="00897008"/>
    <w:rsid w:val="00897CBE"/>
    <w:rsid w:val="008A052D"/>
    <w:rsid w:val="008A11C0"/>
    <w:rsid w:val="008A1369"/>
    <w:rsid w:val="008A1EDC"/>
    <w:rsid w:val="008A507C"/>
    <w:rsid w:val="008A6668"/>
    <w:rsid w:val="008A74AE"/>
    <w:rsid w:val="008A7AE5"/>
    <w:rsid w:val="008A7CEF"/>
    <w:rsid w:val="008B0959"/>
    <w:rsid w:val="008B15FE"/>
    <w:rsid w:val="008B38F6"/>
    <w:rsid w:val="008B403C"/>
    <w:rsid w:val="008B5A00"/>
    <w:rsid w:val="008C0C4C"/>
    <w:rsid w:val="008C0D33"/>
    <w:rsid w:val="008C1B58"/>
    <w:rsid w:val="008C39AE"/>
    <w:rsid w:val="008C590D"/>
    <w:rsid w:val="008C5DB6"/>
    <w:rsid w:val="008C731E"/>
    <w:rsid w:val="008D0C7E"/>
    <w:rsid w:val="008D1E84"/>
    <w:rsid w:val="008D3411"/>
    <w:rsid w:val="008D7226"/>
    <w:rsid w:val="008E031B"/>
    <w:rsid w:val="008E0B81"/>
    <w:rsid w:val="008E25F5"/>
    <w:rsid w:val="008E503C"/>
    <w:rsid w:val="008E6701"/>
    <w:rsid w:val="008E6837"/>
    <w:rsid w:val="008E7029"/>
    <w:rsid w:val="008E7185"/>
    <w:rsid w:val="008E7EF6"/>
    <w:rsid w:val="008F0A1D"/>
    <w:rsid w:val="008F0F45"/>
    <w:rsid w:val="008F1868"/>
    <w:rsid w:val="008F1F98"/>
    <w:rsid w:val="008F2BD4"/>
    <w:rsid w:val="008F46D1"/>
    <w:rsid w:val="008F6758"/>
    <w:rsid w:val="008F694A"/>
    <w:rsid w:val="008F783E"/>
    <w:rsid w:val="008F7ACC"/>
    <w:rsid w:val="00901B9E"/>
    <w:rsid w:val="0090200C"/>
    <w:rsid w:val="00902077"/>
    <w:rsid w:val="009034FE"/>
    <w:rsid w:val="009040DD"/>
    <w:rsid w:val="00905B47"/>
    <w:rsid w:val="00907AD7"/>
    <w:rsid w:val="00910193"/>
    <w:rsid w:val="0091331C"/>
    <w:rsid w:val="00915C57"/>
    <w:rsid w:val="00916ABE"/>
    <w:rsid w:val="00920793"/>
    <w:rsid w:val="00921902"/>
    <w:rsid w:val="009279DE"/>
    <w:rsid w:val="00930116"/>
    <w:rsid w:val="00930866"/>
    <w:rsid w:val="0093109D"/>
    <w:rsid w:val="00931B0C"/>
    <w:rsid w:val="00931C56"/>
    <w:rsid w:val="00933E28"/>
    <w:rsid w:val="00935170"/>
    <w:rsid w:val="00935BC8"/>
    <w:rsid w:val="00936AB4"/>
    <w:rsid w:val="0093785C"/>
    <w:rsid w:val="00937BC0"/>
    <w:rsid w:val="0094212C"/>
    <w:rsid w:val="00943198"/>
    <w:rsid w:val="009448D9"/>
    <w:rsid w:val="009460E7"/>
    <w:rsid w:val="00951408"/>
    <w:rsid w:val="00952EEF"/>
    <w:rsid w:val="0095318C"/>
    <w:rsid w:val="00954689"/>
    <w:rsid w:val="00956729"/>
    <w:rsid w:val="00956CE6"/>
    <w:rsid w:val="009617C9"/>
    <w:rsid w:val="00961C93"/>
    <w:rsid w:val="00961E44"/>
    <w:rsid w:val="00963756"/>
    <w:rsid w:val="00965324"/>
    <w:rsid w:val="00965593"/>
    <w:rsid w:val="0097091E"/>
    <w:rsid w:val="00975788"/>
    <w:rsid w:val="009760D3"/>
    <w:rsid w:val="00977132"/>
    <w:rsid w:val="00977F7E"/>
    <w:rsid w:val="009803A0"/>
    <w:rsid w:val="00981181"/>
    <w:rsid w:val="009813E3"/>
    <w:rsid w:val="00981A4B"/>
    <w:rsid w:val="00982501"/>
    <w:rsid w:val="00982657"/>
    <w:rsid w:val="009826CB"/>
    <w:rsid w:val="009864FE"/>
    <w:rsid w:val="009877D3"/>
    <w:rsid w:val="00990A2F"/>
    <w:rsid w:val="00991BF2"/>
    <w:rsid w:val="00991D69"/>
    <w:rsid w:val="00994E8F"/>
    <w:rsid w:val="009951DC"/>
    <w:rsid w:val="009959BB"/>
    <w:rsid w:val="00997158"/>
    <w:rsid w:val="00997C6F"/>
    <w:rsid w:val="009A1FB4"/>
    <w:rsid w:val="009A23E9"/>
    <w:rsid w:val="009A3A7C"/>
    <w:rsid w:val="009A51C1"/>
    <w:rsid w:val="009A6D23"/>
    <w:rsid w:val="009A71D4"/>
    <w:rsid w:val="009B0D0C"/>
    <w:rsid w:val="009B1023"/>
    <w:rsid w:val="009B1D51"/>
    <w:rsid w:val="009B2ADB"/>
    <w:rsid w:val="009B323E"/>
    <w:rsid w:val="009B393D"/>
    <w:rsid w:val="009B3CD6"/>
    <w:rsid w:val="009B5940"/>
    <w:rsid w:val="009B603A"/>
    <w:rsid w:val="009B6877"/>
    <w:rsid w:val="009C091E"/>
    <w:rsid w:val="009C2355"/>
    <w:rsid w:val="009C2815"/>
    <w:rsid w:val="009C2D0E"/>
    <w:rsid w:val="009C3A89"/>
    <w:rsid w:val="009C3DAC"/>
    <w:rsid w:val="009C42E0"/>
    <w:rsid w:val="009D029C"/>
    <w:rsid w:val="009D0A2C"/>
    <w:rsid w:val="009D15A6"/>
    <w:rsid w:val="009D1737"/>
    <w:rsid w:val="009D3D42"/>
    <w:rsid w:val="009D5362"/>
    <w:rsid w:val="009D5D09"/>
    <w:rsid w:val="009D69E0"/>
    <w:rsid w:val="009D6F1B"/>
    <w:rsid w:val="009E06C5"/>
    <w:rsid w:val="009E06FB"/>
    <w:rsid w:val="009E0754"/>
    <w:rsid w:val="009E0C4B"/>
    <w:rsid w:val="009E1415"/>
    <w:rsid w:val="009E1B7E"/>
    <w:rsid w:val="009E286D"/>
    <w:rsid w:val="009E32AD"/>
    <w:rsid w:val="009E4395"/>
    <w:rsid w:val="009E5F62"/>
    <w:rsid w:val="009E6116"/>
    <w:rsid w:val="009F3048"/>
    <w:rsid w:val="009F342E"/>
    <w:rsid w:val="009F4F6A"/>
    <w:rsid w:val="009F5864"/>
    <w:rsid w:val="009F5CCA"/>
    <w:rsid w:val="009F7492"/>
    <w:rsid w:val="00A02E43"/>
    <w:rsid w:val="00A0466A"/>
    <w:rsid w:val="00A04B28"/>
    <w:rsid w:val="00A065F9"/>
    <w:rsid w:val="00A07411"/>
    <w:rsid w:val="00A07F34"/>
    <w:rsid w:val="00A1035C"/>
    <w:rsid w:val="00A14386"/>
    <w:rsid w:val="00A16530"/>
    <w:rsid w:val="00A17204"/>
    <w:rsid w:val="00A22154"/>
    <w:rsid w:val="00A234B3"/>
    <w:rsid w:val="00A25C38"/>
    <w:rsid w:val="00A26378"/>
    <w:rsid w:val="00A26603"/>
    <w:rsid w:val="00A31CBC"/>
    <w:rsid w:val="00A32A02"/>
    <w:rsid w:val="00A33847"/>
    <w:rsid w:val="00A35D61"/>
    <w:rsid w:val="00A36BBE"/>
    <w:rsid w:val="00A37D6E"/>
    <w:rsid w:val="00A404ED"/>
    <w:rsid w:val="00A41556"/>
    <w:rsid w:val="00A4257D"/>
    <w:rsid w:val="00A42FD1"/>
    <w:rsid w:val="00A43019"/>
    <w:rsid w:val="00A4307A"/>
    <w:rsid w:val="00A468A7"/>
    <w:rsid w:val="00A47BDA"/>
    <w:rsid w:val="00A47E21"/>
    <w:rsid w:val="00A47EBB"/>
    <w:rsid w:val="00A50A83"/>
    <w:rsid w:val="00A51CDD"/>
    <w:rsid w:val="00A51EB4"/>
    <w:rsid w:val="00A5256B"/>
    <w:rsid w:val="00A53366"/>
    <w:rsid w:val="00A53ADF"/>
    <w:rsid w:val="00A62FBD"/>
    <w:rsid w:val="00A64EFF"/>
    <w:rsid w:val="00A6730D"/>
    <w:rsid w:val="00A67719"/>
    <w:rsid w:val="00A67B70"/>
    <w:rsid w:val="00A71625"/>
    <w:rsid w:val="00A71B9B"/>
    <w:rsid w:val="00A7355D"/>
    <w:rsid w:val="00A751C7"/>
    <w:rsid w:val="00A76C6D"/>
    <w:rsid w:val="00A77096"/>
    <w:rsid w:val="00A80CCF"/>
    <w:rsid w:val="00A81707"/>
    <w:rsid w:val="00A818B0"/>
    <w:rsid w:val="00A81A82"/>
    <w:rsid w:val="00A824BD"/>
    <w:rsid w:val="00A82C1F"/>
    <w:rsid w:val="00A840B8"/>
    <w:rsid w:val="00A8491C"/>
    <w:rsid w:val="00A8533D"/>
    <w:rsid w:val="00A856EC"/>
    <w:rsid w:val="00A85C37"/>
    <w:rsid w:val="00A87844"/>
    <w:rsid w:val="00A90E67"/>
    <w:rsid w:val="00A945D7"/>
    <w:rsid w:val="00A94763"/>
    <w:rsid w:val="00A96654"/>
    <w:rsid w:val="00A968A4"/>
    <w:rsid w:val="00AA038C"/>
    <w:rsid w:val="00AA06FD"/>
    <w:rsid w:val="00AA2BE1"/>
    <w:rsid w:val="00AA649D"/>
    <w:rsid w:val="00AA6915"/>
    <w:rsid w:val="00AA7A09"/>
    <w:rsid w:val="00AB1AB1"/>
    <w:rsid w:val="00AB2C8F"/>
    <w:rsid w:val="00AB312E"/>
    <w:rsid w:val="00AB3B50"/>
    <w:rsid w:val="00AC05B1"/>
    <w:rsid w:val="00AC06BF"/>
    <w:rsid w:val="00AC0A82"/>
    <w:rsid w:val="00AC135A"/>
    <w:rsid w:val="00AC144D"/>
    <w:rsid w:val="00AC1B62"/>
    <w:rsid w:val="00AC4583"/>
    <w:rsid w:val="00AC703C"/>
    <w:rsid w:val="00AC712F"/>
    <w:rsid w:val="00AC737C"/>
    <w:rsid w:val="00AC7A5A"/>
    <w:rsid w:val="00AC7D00"/>
    <w:rsid w:val="00AC7D20"/>
    <w:rsid w:val="00AD0350"/>
    <w:rsid w:val="00AD16F2"/>
    <w:rsid w:val="00AD356C"/>
    <w:rsid w:val="00AD4E47"/>
    <w:rsid w:val="00AD58EA"/>
    <w:rsid w:val="00AD6467"/>
    <w:rsid w:val="00AE0BAB"/>
    <w:rsid w:val="00AE1069"/>
    <w:rsid w:val="00AE2914"/>
    <w:rsid w:val="00AE2D47"/>
    <w:rsid w:val="00AE3DC1"/>
    <w:rsid w:val="00AE4FA4"/>
    <w:rsid w:val="00AE51ED"/>
    <w:rsid w:val="00AE5724"/>
    <w:rsid w:val="00AE62EF"/>
    <w:rsid w:val="00AE66F2"/>
    <w:rsid w:val="00AE6D15"/>
    <w:rsid w:val="00AE7513"/>
    <w:rsid w:val="00AE77EB"/>
    <w:rsid w:val="00AF1FA9"/>
    <w:rsid w:val="00AF3DCF"/>
    <w:rsid w:val="00AF66B6"/>
    <w:rsid w:val="00B04182"/>
    <w:rsid w:val="00B04ADB"/>
    <w:rsid w:val="00B05334"/>
    <w:rsid w:val="00B06B24"/>
    <w:rsid w:val="00B07AE3"/>
    <w:rsid w:val="00B11430"/>
    <w:rsid w:val="00B11577"/>
    <w:rsid w:val="00B116A0"/>
    <w:rsid w:val="00B12EC1"/>
    <w:rsid w:val="00B13170"/>
    <w:rsid w:val="00B14509"/>
    <w:rsid w:val="00B1561D"/>
    <w:rsid w:val="00B1713D"/>
    <w:rsid w:val="00B22DE9"/>
    <w:rsid w:val="00B23827"/>
    <w:rsid w:val="00B23F68"/>
    <w:rsid w:val="00B24EBD"/>
    <w:rsid w:val="00B250F4"/>
    <w:rsid w:val="00B26EC4"/>
    <w:rsid w:val="00B306E1"/>
    <w:rsid w:val="00B30C83"/>
    <w:rsid w:val="00B33D79"/>
    <w:rsid w:val="00B353EB"/>
    <w:rsid w:val="00B35D2F"/>
    <w:rsid w:val="00B36F86"/>
    <w:rsid w:val="00B42743"/>
    <w:rsid w:val="00B43600"/>
    <w:rsid w:val="00B439C4"/>
    <w:rsid w:val="00B4465B"/>
    <w:rsid w:val="00B44B05"/>
    <w:rsid w:val="00B4535E"/>
    <w:rsid w:val="00B46449"/>
    <w:rsid w:val="00B47A42"/>
    <w:rsid w:val="00B52A8C"/>
    <w:rsid w:val="00B53A7B"/>
    <w:rsid w:val="00B53BAA"/>
    <w:rsid w:val="00B5448F"/>
    <w:rsid w:val="00B54A44"/>
    <w:rsid w:val="00B55293"/>
    <w:rsid w:val="00B62EFF"/>
    <w:rsid w:val="00B6309B"/>
    <w:rsid w:val="00B636A8"/>
    <w:rsid w:val="00B64220"/>
    <w:rsid w:val="00B652DB"/>
    <w:rsid w:val="00B665C6"/>
    <w:rsid w:val="00B67217"/>
    <w:rsid w:val="00B67777"/>
    <w:rsid w:val="00B7119B"/>
    <w:rsid w:val="00B72F89"/>
    <w:rsid w:val="00B7767E"/>
    <w:rsid w:val="00B805AF"/>
    <w:rsid w:val="00B806D7"/>
    <w:rsid w:val="00B81CC6"/>
    <w:rsid w:val="00B82047"/>
    <w:rsid w:val="00B8228C"/>
    <w:rsid w:val="00B822CA"/>
    <w:rsid w:val="00B83202"/>
    <w:rsid w:val="00B83377"/>
    <w:rsid w:val="00B86323"/>
    <w:rsid w:val="00B869EC"/>
    <w:rsid w:val="00B87CBB"/>
    <w:rsid w:val="00B90439"/>
    <w:rsid w:val="00B9397A"/>
    <w:rsid w:val="00B9633D"/>
    <w:rsid w:val="00BA0261"/>
    <w:rsid w:val="00BA0394"/>
    <w:rsid w:val="00BA20D3"/>
    <w:rsid w:val="00BA251F"/>
    <w:rsid w:val="00BA2EBE"/>
    <w:rsid w:val="00BB072C"/>
    <w:rsid w:val="00BB0ABD"/>
    <w:rsid w:val="00BB0F28"/>
    <w:rsid w:val="00BB18D9"/>
    <w:rsid w:val="00BB289D"/>
    <w:rsid w:val="00BB3EB1"/>
    <w:rsid w:val="00BB458A"/>
    <w:rsid w:val="00BB6DDA"/>
    <w:rsid w:val="00BB7D4A"/>
    <w:rsid w:val="00BC1122"/>
    <w:rsid w:val="00BC2997"/>
    <w:rsid w:val="00BC2CE8"/>
    <w:rsid w:val="00BC37D5"/>
    <w:rsid w:val="00BC4836"/>
    <w:rsid w:val="00BD00D3"/>
    <w:rsid w:val="00BD1659"/>
    <w:rsid w:val="00BD2623"/>
    <w:rsid w:val="00BD3678"/>
    <w:rsid w:val="00BD3AA9"/>
    <w:rsid w:val="00BD4A18"/>
    <w:rsid w:val="00BD6DB2"/>
    <w:rsid w:val="00BE002B"/>
    <w:rsid w:val="00BE11CF"/>
    <w:rsid w:val="00BE2030"/>
    <w:rsid w:val="00BE21AB"/>
    <w:rsid w:val="00BE3EEC"/>
    <w:rsid w:val="00BE55CB"/>
    <w:rsid w:val="00BE56D3"/>
    <w:rsid w:val="00BF1458"/>
    <w:rsid w:val="00BF1908"/>
    <w:rsid w:val="00BF1DED"/>
    <w:rsid w:val="00BF617A"/>
    <w:rsid w:val="00BF6E70"/>
    <w:rsid w:val="00BF765A"/>
    <w:rsid w:val="00BF7BE5"/>
    <w:rsid w:val="00C00349"/>
    <w:rsid w:val="00C00556"/>
    <w:rsid w:val="00C024A2"/>
    <w:rsid w:val="00C028E0"/>
    <w:rsid w:val="00C0379D"/>
    <w:rsid w:val="00C03931"/>
    <w:rsid w:val="00C053B2"/>
    <w:rsid w:val="00C05FE3"/>
    <w:rsid w:val="00C063F9"/>
    <w:rsid w:val="00C10E7E"/>
    <w:rsid w:val="00C122DB"/>
    <w:rsid w:val="00C125FB"/>
    <w:rsid w:val="00C139D5"/>
    <w:rsid w:val="00C149D4"/>
    <w:rsid w:val="00C17B4F"/>
    <w:rsid w:val="00C2136D"/>
    <w:rsid w:val="00C214EE"/>
    <w:rsid w:val="00C21F95"/>
    <w:rsid w:val="00C2314B"/>
    <w:rsid w:val="00C24971"/>
    <w:rsid w:val="00C2554E"/>
    <w:rsid w:val="00C26BE5"/>
    <w:rsid w:val="00C26E4D"/>
    <w:rsid w:val="00C277CB"/>
    <w:rsid w:val="00C27909"/>
    <w:rsid w:val="00C27B03"/>
    <w:rsid w:val="00C314E1"/>
    <w:rsid w:val="00C32781"/>
    <w:rsid w:val="00C32947"/>
    <w:rsid w:val="00C333F7"/>
    <w:rsid w:val="00C34397"/>
    <w:rsid w:val="00C353D4"/>
    <w:rsid w:val="00C4095D"/>
    <w:rsid w:val="00C41286"/>
    <w:rsid w:val="00C42AD3"/>
    <w:rsid w:val="00C44BDB"/>
    <w:rsid w:val="00C4558E"/>
    <w:rsid w:val="00C50AE6"/>
    <w:rsid w:val="00C513EB"/>
    <w:rsid w:val="00C54729"/>
    <w:rsid w:val="00C55174"/>
    <w:rsid w:val="00C561C9"/>
    <w:rsid w:val="00C601D2"/>
    <w:rsid w:val="00C60830"/>
    <w:rsid w:val="00C612FD"/>
    <w:rsid w:val="00C6471A"/>
    <w:rsid w:val="00C65393"/>
    <w:rsid w:val="00C65527"/>
    <w:rsid w:val="00C657AB"/>
    <w:rsid w:val="00C65BCC"/>
    <w:rsid w:val="00C6611D"/>
    <w:rsid w:val="00C66970"/>
    <w:rsid w:val="00C803E3"/>
    <w:rsid w:val="00C80829"/>
    <w:rsid w:val="00C831E3"/>
    <w:rsid w:val="00C8589A"/>
    <w:rsid w:val="00C86198"/>
    <w:rsid w:val="00C8691C"/>
    <w:rsid w:val="00C87D94"/>
    <w:rsid w:val="00C90631"/>
    <w:rsid w:val="00C95B9E"/>
    <w:rsid w:val="00C95D44"/>
    <w:rsid w:val="00C97358"/>
    <w:rsid w:val="00CA168A"/>
    <w:rsid w:val="00CA2B0E"/>
    <w:rsid w:val="00CA2CB9"/>
    <w:rsid w:val="00CA33D6"/>
    <w:rsid w:val="00CA357E"/>
    <w:rsid w:val="00CA4277"/>
    <w:rsid w:val="00CA44F9"/>
    <w:rsid w:val="00CA4A69"/>
    <w:rsid w:val="00CA73D3"/>
    <w:rsid w:val="00CA7E94"/>
    <w:rsid w:val="00CB1883"/>
    <w:rsid w:val="00CB59B5"/>
    <w:rsid w:val="00CB749C"/>
    <w:rsid w:val="00CC0526"/>
    <w:rsid w:val="00CC3E0C"/>
    <w:rsid w:val="00CC4934"/>
    <w:rsid w:val="00CC58D3"/>
    <w:rsid w:val="00CC5FC9"/>
    <w:rsid w:val="00CC784D"/>
    <w:rsid w:val="00CD07FE"/>
    <w:rsid w:val="00CD20E4"/>
    <w:rsid w:val="00CD340C"/>
    <w:rsid w:val="00CD34F2"/>
    <w:rsid w:val="00CD5574"/>
    <w:rsid w:val="00CD5DFB"/>
    <w:rsid w:val="00CE0AA1"/>
    <w:rsid w:val="00CE1412"/>
    <w:rsid w:val="00CE1D01"/>
    <w:rsid w:val="00CE37DF"/>
    <w:rsid w:val="00CE4323"/>
    <w:rsid w:val="00CE4FDB"/>
    <w:rsid w:val="00CE6A33"/>
    <w:rsid w:val="00CE6BB3"/>
    <w:rsid w:val="00CF0469"/>
    <w:rsid w:val="00CF237B"/>
    <w:rsid w:val="00CF42A7"/>
    <w:rsid w:val="00CF6949"/>
    <w:rsid w:val="00CF7455"/>
    <w:rsid w:val="00CF7C8A"/>
    <w:rsid w:val="00CF7D4A"/>
    <w:rsid w:val="00D01DB8"/>
    <w:rsid w:val="00D026AA"/>
    <w:rsid w:val="00D0337B"/>
    <w:rsid w:val="00D03578"/>
    <w:rsid w:val="00D03E0E"/>
    <w:rsid w:val="00D04D23"/>
    <w:rsid w:val="00D05425"/>
    <w:rsid w:val="00D05DCD"/>
    <w:rsid w:val="00D07912"/>
    <w:rsid w:val="00D079B2"/>
    <w:rsid w:val="00D114E9"/>
    <w:rsid w:val="00D1215F"/>
    <w:rsid w:val="00D12232"/>
    <w:rsid w:val="00D12E71"/>
    <w:rsid w:val="00D146F8"/>
    <w:rsid w:val="00D17C06"/>
    <w:rsid w:val="00D20662"/>
    <w:rsid w:val="00D20B9B"/>
    <w:rsid w:val="00D217CA"/>
    <w:rsid w:val="00D2245F"/>
    <w:rsid w:val="00D27CE7"/>
    <w:rsid w:val="00D301A4"/>
    <w:rsid w:val="00D308C5"/>
    <w:rsid w:val="00D33004"/>
    <w:rsid w:val="00D34F71"/>
    <w:rsid w:val="00D36178"/>
    <w:rsid w:val="00D36577"/>
    <w:rsid w:val="00D366CC"/>
    <w:rsid w:val="00D40A16"/>
    <w:rsid w:val="00D40F00"/>
    <w:rsid w:val="00D429C6"/>
    <w:rsid w:val="00D43378"/>
    <w:rsid w:val="00D454BB"/>
    <w:rsid w:val="00D47748"/>
    <w:rsid w:val="00D5127A"/>
    <w:rsid w:val="00D524AA"/>
    <w:rsid w:val="00D52E84"/>
    <w:rsid w:val="00D53F08"/>
    <w:rsid w:val="00D53F0B"/>
    <w:rsid w:val="00D54ACB"/>
    <w:rsid w:val="00D54CC3"/>
    <w:rsid w:val="00D5640D"/>
    <w:rsid w:val="00D569CD"/>
    <w:rsid w:val="00D57498"/>
    <w:rsid w:val="00D6041A"/>
    <w:rsid w:val="00D6105A"/>
    <w:rsid w:val="00D61B4A"/>
    <w:rsid w:val="00D61F10"/>
    <w:rsid w:val="00D633EB"/>
    <w:rsid w:val="00D63405"/>
    <w:rsid w:val="00D63C98"/>
    <w:rsid w:val="00D6447F"/>
    <w:rsid w:val="00D64BD4"/>
    <w:rsid w:val="00D65169"/>
    <w:rsid w:val="00D65C08"/>
    <w:rsid w:val="00D70A9D"/>
    <w:rsid w:val="00D71766"/>
    <w:rsid w:val="00D73A9C"/>
    <w:rsid w:val="00D80547"/>
    <w:rsid w:val="00D80FB3"/>
    <w:rsid w:val="00D81411"/>
    <w:rsid w:val="00D82FF7"/>
    <w:rsid w:val="00D847FE"/>
    <w:rsid w:val="00D8560D"/>
    <w:rsid w:val="00D86B76"/>
    <w:rsid w:val="00D93425"/>
    <w:rsid w:val="00D93486"/>
    <w:rsid w:val="00D93BA5"/>
    <w:rsid w:val="00D9557B"/>
    <w:rsid w:val="00D964EA"/>
    <w:rsid w:val="00D966D0"/>
    <w:rsid w:val="00D969F6"/>
    <w:rsid w:val="00DA0C59"/>
    <w:rsid w:val="00DA3991"/>
    <w:rsid w:val="00DA40C8"/>
    <w:rsid w:val="00DA4375"/>
    <w:rsid w:val="00DA43AF"/>
    <w:rsid w:val="00DA4AAF"/>
    <w:rsid w:val="00DA526D"/>
    <w:rsid w:val="00DA608F"/>
    <w:rsid w:val="00DB0C94"/>
    <w:rsid w:val="00DB5A50"/>
    <w:rsid w:val="00DB6648"/>
    <w:rsid w:val="00DB6FFF"/>
    <w:rsid w:val="00DB7E6C"/>
    <w:rsid w:val="00DC2591"/>
    <w:rsid w:val="00DC2827"/>
    <w:rsid w:val="00DC3D75"/>
    <w:rsid w:val="00DC452B"/>
    <w:rsid w:val="00DC4BD7"/>
    <w:rsid w:val="00DC5035"/>
    <w:rsid w:val="00DC58E9"/>
    <w:rsid w:val="00DC6ED5"/>
    <w:rsid w:val="00DC764C"/>
    <w:rsid w:val="00DC799F"/>
    <w:rsid w:val="00DD5A29"/>
    <w:rsid w:val="00DD5D9D"/>
    <w:rsid w:val="00DE35CB"/>
    <w:rsid w:val="00DE60E5"/>
    <w:rsid w:val="00DE7F88"/>
    <w:rsid w:val="00DF21E9"/>
    <w:rsid w:val="00DF3727"/>
    <w:rsid w:val="00DF43B0"/>
    <w:rsid w:val="00DF5BF8"/>
    <w:rsid w:val="00DF6F4E"/>
    <w:rsid w:val="00E00F14"/>
    <w:rsid w:val="00E034AB"/>
    <w:rsid w:val="00E06386"/>
    <w:rsid w:val="00E0740E"/>
    <w:rsid w:val="00E07452"/>
    <w:rsid w:val="00E1369D"/>
    <w:rsid w:val="00E140F1"/>
    <w:rsid w:val="00E15D13"/>
    <w:rsid w:val="00E15F9B"/>
    <w:rsid w:val="00E164BF"/>
    <w:rsid w:val="00E1670A"/>
    <w:rsid w:val="00E215DD"/>
    <w:rsid w:val="00E21766"/>
    <w:rsid w:val="00E225A9"/>
    <w:rsid w:val="00E24EB4"/>
    <w:rsid w:val="00E25D55"/>
    <w:rsid w:val="00E2606E"/>
    <w:rsid w:val="00E271E3"/>
    <w:rsid w:val="00E320ED"/>
    <w:rsid w:val="00E32A7D"/>
    <w:rsid w:val="00E33202"/>
    <w:rsid w:val="00E33AFB"/>
    <w:rsid w:val="00E34218"/>
    <w:rsid w:val="00E3447C"/>
    <w:rsid w:val="00E36152"/>
    <w:rsid w:val="00E36BF5"/>
    <w:rsid w:val="00E36EC2"/>
    <w:rsid w:val="00E37676"/>
    <w:rsid w:val="00E421C8"/>
    <w:rsid w:val="00E46282"/>
    <w:rsid w:val="00E47064"/>
    <w:rsid w:val="00E47A67"/>
    <w:rsid w:val="00E51465"/>
    <w:rsid w:val="00E5216E"/>
    <w:rsid w:val="00E538AB"/>
    <w:rsid w:val="00E54890"/>
    <w:rsid w:val="00E554F7"/>
    <w:rsid w:val="00E56C73"/>
    <w:rsid w:val="00E6009C"/>
    <w:rsid w:val="00E61E0F"/>
    <w:rsid w:val="00E6610D"/>
    <w:rsid w:val="00E70AAF"/>
    <w:rsid w:val="00E71002"/>
    <w:rsid w:val="00E71D99"/>
    <w:rsid w:val="00E71F2D"/>
    <w:rsid w:val="00E74101"/>
    <w:rsid w:val="00E749F5"/>
    <w:rsid w:val="00E74A2B"/>
    <w:rsid w:val="00E754E3"/>
    <w:rsid w:val="00E759E9"/>
    <w:rsid w:val="00E75C8D"/>
    <w:rsid w:val="00E809C8"/>
    <w:rsid w:val="00E80E5C"/>
    <w:rsid w:val="00E81F52"/>
    <w:rsid w:val="00E820A0"/>
    <w:rsid w:val="00E82344"/>
    <w:rsid w:val="00E82B00"/>
    <w:rsid w:val="00E8399C"/>
    <w:rsid w:val="00E84C82"/>
    <w:rsid w:val="00E84D64"/>
    <w:rsid w:val="00E84F17"/>
    <w:rsid w:val="00E8633C"/>
    <w:rsid w:val="00E873DD"/>
    <w:rsid w:val="00E87408"/>
    <w:rsid w:val="00E87EB3"/>
    <w:rsid w:val="00E903C9"/>
    <w:rsid w:val="00E914C4"/>
    <w:rsid w:val="00E92CEB"/>
    <w:rsid w:val="00E934F5"/>
    <w:rsid w:val="00E93B6F"/>
    <w:rsid w:val="00E948F4"/>
    <w:rsid w:val="00E952ED"/>
    <w:rsid w:val="00E96961"/>
    <w:rsid w:val="00EA0B92"/>
    <w:rsid w:val="00EA14AC"/>
    <w:rsid w:val="00EA1941"/>
    <w:rsid w:val="00EA4783"/>
    <w:rsid w:val="00EA52E3"/>
    <w:rsid w:val="00EA52E9"/>
    <w:rsid w:val="00EA53AF"/>
    <w:rsid w:val="00EA5F28"/>
    <w:rsid w:val="00EA72EC"/>
    <w:rsid w:val="00EB0E03"/>
    <w:rsid w:val="00EB11CB"/>
    <w:rsid w:val="00EB1F77"/>
    <w:rsid w:val="00EB275A"/>
    <w:rsid w:val="00EB3AE5"/>
    <w:rsid w:val="00EB786A"/>
    <w:rsid w:val="00EC0595"/>
    <w:rsid w:val="00EC1023"/>
    <w:rsid w:val="00EC1578"/>
    <w:rsid w:val="00EC19C1"/>
    <w:rsid w:val="00EC1C72"/>
    <w:rsid w:val="00EC2BD6"/>
    <w:rsid w:val="00EC3CC9"/>
    <w:rsid w:val="00EC6086"/>
    <w:rsid w:val="00EC61C4"/>
    <w:rsid w:val="00EC657E"/>
    <w:rsid w:val="00EC680A"/>
    <w:rsid w:val="00ED2281"/>
    <w:rsid w:val="00ED4838"/>
    <w:rsid w:val="00ED48A2"/>
    <w:rsid w:val="00ED5810"/>
    <w:rsid w:val="00ED597F"/>
    <w:rsid w:val="00ED6670"/>
    <w:rsid w:val="00EE14FD"/>
    <w:rsid w:val="00EE2BED"/>
    <w:rsid w:val="00EE374B"/>
    <w:rsid w:val="00EE748C"/>
    <w:rsid w:val="00EF23A2"/>
    <w:rsid w:val="00EF2DAB"/>
    <w:rsid w:val="00EF4E29"/>
    <w:rsid w:val="00EF6B01"/>
    <w:rsid w:val="00F0103C"/>
    <w:rsid w:val="00F01E51"/>
    <w:rsid w:val="00F03575"/>
    <w:rsid w:val="00F07DF3"/>
    <w:rsid w:val="00F11BB5"/>
    <w:rsid w:val="00F11FEE"/>
    <w:rsid w:val="00F1209E"/>
    <w:rsid w:val="00F12881"/>
    <w:rsid w:val="00F12B6E"/>
    <w:rsid w:val="00F132C7"/>
    <w:rsid w:val="00F137B7"/>
    <w:rsid w:val="00F1417B"/>
    <w:rsid w:val="00F16CDA"/>
    <w:rsid w:val="00F2114A"/>
    <w:rsid w:val="00F2115E"/>
    <w:rsid w:val="00F219DC"/>
    <w:rsid w:val="00F240F9"/>
    <w:rsid w:val="00F24AAC"/>
    <w:rsid w:val="00F26119"/>
    <w:rsid w:val="00F27204"/>
    <w:rsid w:val="00F3161B"/>
    <w:rsid w:val="00F3248B"/>
    <w:rsid w:val="00F3452E"/>
    <w:rsid w:val="00F34B99"/>
    <w:rsid w:val="00F353E9"/>
    <w:rsid w:val="00F371EC"/>
    <w:rsid w:val="00F400BD"/>
    <w:rsid w:val="00F40F5E"/>
    <w:rsid w:val="00F425B4"/>
    <w:rsid w:val="00F4290C"/>
    <w:rsid w:val="00F449C7"/>
    <w:rsid w:val="00F4725F"/>
    <w:rsid w:val="00F479A4"/>
    <w:rsid w:val="00F52DAB"/>
    <w:rsid w:val="00F543F0"/>
    <w:rsid w:val="00F54432"/>
    <w:rsid w:val="00F552C4"/>
    <w:rsid w:val="00F65326"/>
    <w:rsid w:val="00F6572B"/>
    <w:rsid w:val="00F70001"/>
    <w:rsid w:val="00F702F4"/>
    <w:rsid w:val="00F70452"/>
    <w:rsid w:val="00F70F21"/>
    <w:rsid w:val="00F72C51"/>
    <w:rsid w:val="00F73BAA"/>
    <w:rsid w:val="00F74019"/>
    <w:rsid w:val="00F744F2"/>
    <w:rsid w:val="00F81235"/>
    <w:rsid w:val="00F81D29"/>
    <w:rsid w:val="00F86127"/>
    <w:rsid w:val="00F914A7"/>
    <w:rsid w:val="00F91C4D"/>
    <w:rsid w:val="00F91DD9"/>
    <w:rsid w:val="00F92FD9"/>
    <w:rsid w:val="00F9460B"/>
    <w:rsid w:val="00F9591F"/>
    <w:rsid w:val="00F96BD8"/>
    <w:rsid w:val="00F97DB5"/>
    <w:rsid w:val="00FA01E6"/>
    <w:rsid w:val="00FA6684"/>
    <w:rsid w:val="00FA6C2D"/>
    <w:rsid w:val="00FA731E"/>
    <w:rsid w:val="00FA73F3"/>
    <w:rsid w:val="00FA7E6A"/>
    <w:rsid w:val="00FB107D"/>
    <w:rsid w:val="00FB1EAA"/>
    <w:rsid w:val="00FB28C8"/>
    <w:rsid w:val="00FB2B38"/>
    <w:rsid w:val="00FB2E95"/>
    <w:rsid w:val="00FB36B9"/>
    <w:rsid w:val="00FB51AF"/>
    <w:rsid w:val="00FB6D76"/>
    <w:rsid w:val="00FB73AA"/>
    <w:rsid w:val="00FC0CCF"/>
    <w:rsid w:val="00FC5360"/>
    <w:rsid w:val="00FC55B0"/>
    <w:rsid w:val="00FC6358"/>
    <w:rsid w:val="00FC6717"/>
    <w:rsid w:val="00FC6FE7"/>
    <w:rsid w:val="00FC7317"/>
    <w:rsid w:val="00FC7687"/>
    <w:rsid w:val="00FD1766"/>
    <w:rsid w:val="00FD2CC6"/>
    <w:rsid w:val="00FD320D"/>
    <w:rsid w:val="00FD343F"/>
    <w:rsid w:val="00FD3481"/>
    <w:rsid w:val="00FD5430"/>
    <w:rsid w:val="00FD594E"/>
    <w:rsid w:val="00FE23DE"/>
    <w:rsid w:val="00FE4B6E"/>
    <w:rsid w:val="00FE55D3"/>
    <w:rsid w:val="00FE5DA7"/>
    <w:rsid w:val="00FE5EC5"/>
    <w:rsid w:val="00FE7F84"/>
    <w:rsid w:val="00FF027E"/>
    <w:rsid w:val="00FF036E"/>
    <w:rsid w:val="01371D3B"/>
    <w:rsid w:val="01B841E6"/>
    <w:rsid w:val="01BD17FD"/>
    <w:rsid w:val="03457CFC"/>
    <w:rsid w:val="04542F1C"/>
    <w:rsid w:val="0458580D"/>
    <w:rsid w:val="04784101"/>
    <w:rsid w:val="047A43A8"/>
    <w:rsid w:val="055665E1"/>
    <w:rsid w:val="05980631"/>
    <w:rsid w:val="05A764C0"/>
    <w:rsid w:val="068E3537"/>
    <w:rsid w:val="06AF3BB6"/>
    <w:rsid w:val="06B331CE"/>
    <w:rsid w:val="07866B35"/>
    <w:rsid w:val="07C3191B"/>
    <w:rsid w:val="07C477BF"/>
    <w:rsid w:val="08EC0C19"/>
    <w:rsid w:val="08F25346"/>
    <w:rsid w:val="09B45BF3"/>
    <w:rsid w:val="0AA572D2"/>
    <w:rsid w:val="0AD33E3F"/>
    <w:rsid w:val="0ADD7FE9"/>
    <w:rsid w:val="0B512FB6"/>
    <w:rsid w:val="0B700690"/>
    <w:rsid w:val="0B942573"/>
    <w:rsid w:val="0BA17532"/>
    <w:rsid w:val="0CB657C6"/>
    <w:rsid w:val="0CBB2DDD"/>
    <w:rsid w:val="0D5656E6"/>
    <w:rsid w:val="0D5C75BC"/>
    <w:rsid w:val="0D611BD6"/>
    <w:rsid w:val="0DB00467"/>
    <w:rsid w:val="0DDC2B9B"/>
    <w:rsid w:val="0E2B3F92"/>
    <w:rsid w:val="0E7B46D0"/>
    <w:rsid w:val="0E7F2DAB"/>
    <w:rsid w:val="0F0518DA"/>
    <w:rsid w:val="0F6F57B0"/>
    <w:rsid w:val="112E1DCF"/>
    <w:rsid w:val="112F5B47"/>
    <w:rsid w:val="113D0264"/>
    <w:rsid w:val="11C9530B"/>
    <w:rsid w:val="12130FC5"/>
    <w:rsid w:val="12774B05"/>
    <w:rsid w:val="12B502CE"/>
    <w:rsid w:val="12B87084"/>
    <w:rsid w:val="12C47099"/>
    <w:rsid w:val="133D454B"/>
    <w:rsid w:val="137B1518"/>
    <w:rsid w:val="14283E94"/>
    <w:rsid w:val="147475C1"/>
    <w:rsid w:val="15D31197"/>
    <w:rsid w:val="16184DFC"/>
    <w:rsid w:val="171A0BFF"/>
    <w:rsid w:val="17892F26"/>
    <w:rsid w:val="17A83445"/>
    <w:rsid w:val="197A5B64"/>
    <w:rsid w:val="19B117EF"/>
    <w:rsid w:val="19FB7B2A"/>
    <w:rsid w:val="1AA41354"/>
    <w:rsid w:val="1BA66B10"/>
    <w:rsid w:val="1BB235FD"/>
    <w:rsid w:val="1CDA69B6"/>
    <w:rsid w:val="1D631052"/>
    <w:rsid w:val="1E965458"/>
    <w:rsid w:val="1EA06671"/>
    <w:rsid w:val="1EA60BDB"/>
    <w:rsid w:val="1F071EB1"/>
    <w:rsid w:val="1FA92F69"/>
    <w:rsid w:val="20230F6D"/>
    <w:rsid w:val="205F67F9"/>
    <w:rsid w:val="20AC67DD"/>
    <w:rsid w:val="20C4005A"/>
    <w:rsid w:val="21132C81"/>
    <w:rsid w:val="211B2D72"/>
    <w:rsid w:val="21450B78"/>
    <w:rsid w:val="21A659B2"/>
    <w:rsid w:val="21D77046"/>
    <w:rsid w:val="22041389"/>
    <w:rsid w:val="220D693F"/>
    <w:rsid w:val="2221070E"/>
    <w:rsid w:val="228E21A6"/>
    <w:rsid w:val="22F04A70"/>
    <w:rsid w:val="231D6147"/>
    <w:rsid w:val="238B4E5F"/>
    <w:rsid w:val="23E32EED"/>
    <w:rsid w:val="241509AA"/>
    <w:rsid w:val="24286B52"/>
    <w:rsid w:val="243C2329"/>
    <w:rsid w:val="24840CB0"/>
    <w:rsid w:val="248C70E1"/>
    <w:rsid w:val="249146F7"/>
    <w:rsid w:val="24DF2E35"/>
    <w:rsid w:val="252F3F10"/>
    <w:rsid w:val="257C53A7"/>
    <w:rsid w:val="25BB5C0C"/>
    <w:rsid w:val="262877F8"/>
    <w:rsid w:val="26440E82"/>
    <w:rsid w:val="26474A7A"/>
    <w:rsid w:val="265005E2"/>
    <w:rsid w:val="273D2914"/>
    <w:rsid w:val="289A0911"/>
    <w:rsid w:val="2A36189D"/>
    <w:rsid w:val="2A3A138D"/>
    <w:rsid w:val="2A9D36CA"/>
    <w:rsid w:val="2AF21C68"/>
    <w:rsid w:val="2B050629"/>
    <w:rsid w:val="2BB532F3"/>
    <w:rsid w:val="2CE069E5"/>
    <w:rsid w:val="2CEEBF69"/>
    <w:rsid w:val="2D3D2D13"/>
    <w:rsid w:val="2D7921CC"/>
    <w:rsid w:val="2D8B27C7"/>
    <w:rsid w:val="2DB75556"/>
    <w:rsid w:val="2E50117F"/>
    <w:rsid w:val="2E5A1FFE"/>
    <w:rsid w:val="2F1E91D9"/>
    <w:rsid w:val="2F6FC253"/>
    <w:rsid w:val="300466C5"/>
    <w:rsid w:val="30202DD3"/>
    <w:rsid w:val="30741AD8"/>
    <w:rsid w:val="30A752A2"/>
    <w:rsid w:val="313A1B9E"/>
    <w:rsid w:val="31992E3D"/>
    <w:rsid w:val="31D94909"/>
    <w:rsid w:val="32215DF4"/>
    <w:rsid w:val="32660414"/>
    <w:rsid w:val="33014239"/>
    <w:rsid w:val="33291F9F"/>
    <w:rsid w:val="338853A8"/>
    <w:rsid w:val="33AA1331"/>
    <w:rsid w:val="33B421B0"/>
    <w:rsid w:val="33EE42E8"/>
    <w:rsid w:val="34414057"/>
    <w:rsid w:val="34533777"/>
    <w:rsid w:val="34766F9A"/>
    <w:rsid w:val="34C9456A"/>
    <w:rsid w:val="357F059C"/>
    <w:rsid w:val="35880EF0"/>
    <w:rsid w:val="35C12A47"/>
    <w:rsid w:val="36054F45"/>
    <w:rsid w:val="37863E63"/>
    <w:rsid w:val="37895702"/>
    <w:rsid w:val="38211DDE"/>
    <w:rsid w:val="385304B2"/>
    <w:rsid w:val="389246A7"/>
    <w:rsid w:val="38995A89"/>
    <w:rsid w:val="39CD7B28"/>
    <w:rsid w:val="39DC5FBD"/>
    <w:rsid w:val="3A630432"/>
    <w:rsid w:val="3ABB2076"/>
    <w:rsid w:val="3BAC19BF"/>
    <w:rsid w:val="3C1557B6"/>
    <w:rsid w:val="3C690E6D"/>
    <w:rsid w:val="3C9B215F"/>
    <w:rsid w:val="3CB70EEF"/>
    <w:rsid w:val="3DBA7D5E"/>
    <w:rsid w:val="3E126451"/>
    <w:rsid w:val="3F9FA52D"/>
    <w:rsid w:val="3FBA4D47"/>
    <w:rsid w:val="3FFB3665"/>
    <w:rsid w:val="4012098A"/>
    <w:rsid w:val="4093139F"/>
    <w:rsid w:val="410F5C01"/>
    <w:rsid w:val="411B561D"/>
    <w:rsid w:val="416228CE"/>
    <w:rsid w:val="41A85454"/>
    <w:rsid w:val="42E47F12"/>
    <w:rsid w:val="43C56DCD"/>
    <w:rsid w:val="43E73283"/>
    <w:rsid w:val="440E1469"/>
    <w:rsid w:val="44191BBB"/>
    <w:rsid w:val="447A6AFE"/>
    <w:rsid w:val="44DE2CD3"/>
    <w:rsid w:val="45B7168C"/>
    <w:rsid w:val="46205483"/>
    <w:rsid w:val="468E3F7E"/>
    <w:rsid w:val="471C2EFA"/>
    <w:rsid w:val="47A04ACD"/>
    <w:rsid w:val="47AC75EA"/>
    <w:rsid w:val="48B84099"/>
    <w:rsid w:val="494D658F"/>
    <w:rsid w:val="49C50D0C"/>
    <w:rsid w:val="49C51A47"/>
    <w:rsid w:val="4A301A0D"/>
    <w:rsid w:val="4A9106FD"/>
    <w:rsid w:val="4ABF2599"/>
    <w:rsid w:val="4AF3760A"/>
    <w:rsid w:val="4B1530DD"/>
    <w:rsid w:val="4C5D68E8"/>
    <w:rsid w:val="4D153273"/>
    <w:rsid w:val="4D2E691A"/>
    <w:rsid w:val="4D3161C8"/>
    <w:rsid w:val="4DFD5F97"/>
    <w:rsid w:val="4E0B6A19"/>
    <w:rsid w:val="4E232EC6"/>
    <w:rsid w:val="4E3E0B9C"/>
    <w:rsid w:val="4FCD667C"/>
    <w:rsid w:val="4FDA2B47"/>
    <w:rsid w:val="516E7314"/>
    <w:rsid w:val="521C38B5"/>
    <w:rsid w:val="5233653E"/>
    <w:rsid w:val="52A511EA"/>
    <w:rsid w:val="537D289B"/>
    <w:rsid w:val="53AB6CD4"/>
    <w:rsid w:val="53C25DCC"/>
    <w:rsid w:val="541A1764"/>
    <w:rsid w:val="54275885"/>
    <w:rsid w:val="55865F44"/>
    <w:rsid w:val="55890622"/>
    <w:rsid w:val="55F80179"/>
    <w:rsid w:val="57823299"/>
    <w:rsid w:val="57C87E53"/>
    <w:rsid w:val="57EF1A7A"/>
    <w:rsid w:val="58563727"/>
    <w:rsid w:val="586D09FC"/>
    <w:rsid w:val="593037D7"/>
    <w:rsid w:val="598F04FE"/>
    <w:rsid w:val="59CA7C8B"/>
    <w:rsid w:val="59F64A21"/>
    <w:rsid w:val="5A05144D"/>
    <w:rsid w:val="5A33357F"/>
    <w:rsid w:val="5A875679"/>
    <w:rsid w:val="5A9164F8"/>
    <w:rsid w:val="5B0171D9"/>
    <w:rsid w:val="5CDF5BEB"/>
    <w:rsid w:val="5CFD1C22"/>
    <w:rsid w:val="5D7F6ADB"/>
    <w:rsid w:val="5E5D506F"/>
    <w:rsid w:val="5E6651A7"/>
    <w:rsid w:val="5EEE3F19"/>
    <w:rsid w:val="5EFE5723"/>
    <w:rsid w:val="5F1FB895"/>
    <w:rsid w:val="5FB24F46"/>
    <w:rsid w:val="5FE570CA"/>
    <w:rsid w:val="5FE658C9"/>
    <w:rsid w:val="60912DAE"/>
    <w:rsid w:val="60F27648"/>
    <w:rsid w:val="61695AD8"/>
    <w:rsid w:val="623460E6"/>
    <w:rsid w:val="63816DF0"/>
    <w:rsid w:val="639E415F"/>
    <w:rsid w:val="63A159FD"/>
    <w:rsid w:val="63DF0D56"/>
    <w:rsid w:val="64300B2F"/>
    <w:rsid w:val="643A375C"/>
    <w:rsid w:val="64721148"/>
    <w:rsid w:val="64E9765C"/>
    <w:rsid w:val="65242442"/>
    <w:rsid w:val="66811B16"/>
    <w:rsid w:val="672972F0"/>
    <w:rsid w:val="673152EA"/>
    <w:rsid w:val="67931B01"/>
    <w:rsid w:val="690B15BE"/>
    <w:rsid w:val="69B31FE7"/>
    <w:rsid w:val="6A5E3244"/>
    <w:rsid w:val="6A939DF8"/>
    <w:rsid w:val="6AEB3D85"/>
    <w:rsid w:val="6B105217"/>
    <w:rsid w:val="6B250CC2"/>
    <w:rsid w:val="6BF50F14"/>
    <w:rsid w:val="6C102155"/>
    <w:rsid w:val="6CC831CF"/>
    <w:rsid w:val="6CF74183"/>
    <w:rsid w:val="6D337EEE"/>
    <w:rsid w:val="6DB8311E"/>
    <w:rsid w:val="6DD93FE6"/>
    <w:rsid w:val="6DFA775A"/>
    <w:rsid w:val="6E0B264E"/>
    <w:rsid w:val="6E1D0E7C"/>
    <w:rsid w:val="6EBB199E"/>
    <w:rsid w:val="6F0A3B05"/>
    <w:rsid w:val="6F9D0543"/>
    <w:rsid w:val="6FB73476"/>
    <w:rsid w:val="6FCBDF7D"/>
    <w:rsid w:val="6FEFE409"/>
    <w:rsid w:val="70CA0605"/>
    <w:rsid w:val="714A76D4"/>
    <w:rsid w:val="716D5171"/>
    <w:rsid w:val="73101E5C"/>
    <w:rsid w:val="7313F8CC"/>
    <w:rsid w:val="73522870"/>
    <w:rsid w:val="73B9A392"/>
    <w:rsid w:val="73FDEA74"/>
    <w:rsid w:val="740C0C71"/>
    <w:rsid w:val="74283D1E"/>
    <w:rsid w:val="74C432FA"/>
    <w:rsid w:val="74F31E31"/>
    <w:rsid w:val="75A5137D"/>
    <w:rsid w:val="76737266"/>
    <w:rsid w:val="77204A34"/>
    <w:rsid w:val="773D2B41"/>
    <w:rsid w:val="77B7CD7D"/>
    <w:rsid w:val="77F947A1"/>
    <w:rsid w:val="78177BE5"/>
    <w:rsid w:val="781E39A0"/>
    <w:rsid w:val="78713799"/>
    <w:rsid w:val="787BBB7F"/>
    <w:rsid w:val="78852DA0"/>
    <w:rsid w:val="791D56CF"/>
    <w:rsid w:val="791F1447"/>
    <w:rsid w:val="7974480C"/>
    <w:rsid w:val="7A280C55"/>
    <w:rsid w:val="7B3B3EC4"/>
    <w:rsid w:val="7B51165F"/>
    <w:rsid w:val="7B9737B7"/>
    <w:rsid w:val="7B97FB20"/>
    <w:rsid w:val="7BAC2D3A"/>
    <w:rsid w:val="7BE157A5"/>
    <w:rsid w:val="7C281499"/>
    <w:rsid w:val="7D055AB0"/>
    <w:rsid w:val="7D84512F"/>
    <w:rsid w:val="7DAF8A25"/>
    <w:rsid w:val="7EA41F22"/>
    <w:rsid w:val="7ECB61FC"/>
    <w:rsid w:val="7F2A46A1"/>
    <w:rsid w:val="7F6F5D82"/>
    <w:rsid w:val="7FB02E10"/>
    <w:rsid w:val="7FD6CBEC"/>
    <w:rsid w:val="7FF27586"/>
    <w:rsid w:val="7FF699B8"/>
    <w:rsid w:val="7FFF5519"/>
    <w:rsid w:val="97FD9AC4"/>
    <w:rsid w:val="9AFB2E3E"/>
    <w:rsid w:val="9FD63416"/>
    <w:rsid w:val="ADFB01D4"/>
    <w:rsid w:val="B72F1684"/>
    <w:rsid w:val="BBC79C25"/>
    <w:rsid w:val="BCBF1C8C"/>
    <w:rsid w:val="BDFF7D2B"/>
    <w:rsid w:val="BF7F749B"/>
    <w:rsid w:val="BF9D47E5"/>
    <w:rsid w:val="BFCB11BE"/>
    <w:rsid w:val="BFFFD280"/>
    <w:rsid w:val="D7DF101B"/>
    <w:rsid w:val="D7F8FADD"/>
    <w:rsid w:val="DCBF7E69"/>
    <w:rsid w:val="DFFE03E6"/>
    <w:rsid w:val="DFFE7EA8"/>
    <w:rsid w:val="ED57C568"/>
    <w:rsid w:val="EDFFB9E6"/>
    <w:rsid w:val="EFEC69FF"/>
    <w:rsid w:val="EFEE312C"/>
    <w:rsid w:val="F0DD92AE"/>
    <w:rsid w:val="F2F0B860"/>
    <w:rsid w:val="F3D3B812"/>
    <w:rsid w:val="F7E9E2D8"/>
    <w:rsid w:val="F9377DC4"/>
    <w:rsid w:val="FBCB4AAC"/>
    <w:rsid w:val="FDD6C808"/>
    <w:rsid w:val="FDFFAB3D"/>
    <w:rsid w:val="FEBFD8C5"/>
    <w:rsid w:val="FF7FA192"/>
    <w:rsid w:val="FFE560F3"/>
    <w:rsid w:val="FFEEA694"/>
    <w:rsid w:val="FFFB45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5"/>
    <w:qFormat/>
    <w:uiPriority w:val="9"/>
    <w:pPr>
      <w:keepNext/>
      <w:keepLines/>
      <w:spacing w:before="240" w:after="240"/>
      <w:ind w:left="1021" w:hanging="420"/>
      <w:outlineLvl w:val="0"/>
    </w:pPr>
    <w:rPr>
      <w:rFonts w:eastAsia="仿宋"/>
      <w:b/>
      <w:bCs/>
      <w:kern w:val="44"/>
      <w:sz w:val="24"/>
      <w:szCs w:val="32"/>
    </w:rPr>
  </w:style>
  <w:style w:type="paragraph" w:styleId="3">
    <w:name w:val="heading 2"/>
    <w:basedOn w:val="1"/>
    <w:next w:val="1"/>
    <w:qFormat/>
    <w:uiPriority w:val="9"/>
    <w:pPr>
      <w:spacing w:before="140" w:after="140"/>
      <w:jc w:val="left"/>
      <w:outlineLvl w:val="1"/>
    </w:pPr>
    <w:rPr>
      <w:b/>
      <w:bCs/>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5">
    <w:name w:val="heading 4"/>
    <w:basedOn w:val="1"/>
    <w:next w:val="1"/>
    <w:link w:val="16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tabs>
        <w:tab w:val="right" w:leader="dot" w:pos="9241"/>
      </w:tabs>
      <w:ind w:firstLine="500"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annotation text"/>
    <w:basedOn w:val="1"/>
    <w:link w:val="152"/>
    <w:qFormat/>
    <w:uiPriority w:val="0"/>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Body Text"/>
    <w:basedOn w:val="1"/>
    <w:qFormat/>
    <w:uiPriority w:val="1"/>
    <w:pPr>
      <w:ind w:left="120"/>
    </w:pPr>
    <w:rPr>
      <w:rFonts w:ascii="宋体" w:hAnsi="宋体"/>
      <w:sz w:val="24"/>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0" w:firstLineChars="100"/>
      <w:jc w:val="left"/>
    </w:pPr>
    <w:rPr>
      <w:rFonts w:ascii="宋体"/>
      <w:szCs w:val="21"/>
    </w:rPr>
  </w:style>
  <w:style w:type="paragraph" w:styleId="17">
    <w:name w:val="toc 8"/>
    <w:basedOn w:val="1"/>
    <w:next w:val="1"/>
    <w:semiHidden/>
    <w:qFormat/>
    <w:uiPriority w:val="0"/>
    <w:pPr>
      <w:tabs>
        <w:tab w:val="right" w:leader="dot" w:pos="9241"/>
      </w:tabs>
      <w:ind w:firstLine="607"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endnote text"/>
    <w:basedOn w:val="1"/>
    <w:semiHidden/>
    <w:qFormat/>
    <w:uiPriority w:val="0"/>
    <w:pPr>
      <w:snapToGrid w:val="0"/>
      <w:jc w:val="left"/>
    </w:pPr>
  </w:style>
  <w:style w:type="paragraph" w:styleId="20">
    <w:name w:val="Balloon Text"/>
    <w:basedOn w:val="1"/>
    <w:link w:val="156"/>
    <w:qFormat/>
    <w:uiPriority w:val="0"/>
    <w:rPr>
      <w:sz w:val="18"/>
      <w:szCs w:val="18"/>
    </w:rPr>
  </w:style>
  <w:style w:type="paragraph" w:styleId="21">
    <w:name w:val="footer"/>
    <w:basedOn w:val="1"/>
    <w:link w:val="159"/>
    <w:qFormat/>
    <w:uiPriority w:val="99"/>
    <w:pPr>
      <w:snapToGrid w:val="0"/>
      <w:ind w:right="210" w:rightChars="100"/>
      <w:jc w:val="right"/>
    </w:pPr>
    <w:rPr>
      <w:sz w:val="18"/>
      <w:szCs w:val="18"/>
    </w:rPr>
  </w:style>
  <w:style w:type="paragraph" w:styleId="22">
    <w:name w:val="header"/>
    <w:basedOn w:val="1"/>
    <w:link w:val="158"/>
    <w:qFormat/>
    <w:uiPriority w:val="99"/>
    <w:pPr>
      <w:snapToGrid w:val="0"/>
      <w:jc w:val="left"/>
    </w:pPr>
    <w:rPr>
      <w:sz w:val="18"/>
      <w:szCs w:val="18"/>
    </w:rPr>
  </w:style>
  <w:style w:type="paragraph" w:styleId="23">
    <w:name w:val="toc 1"/>
    <w:basedOn w:val="1"/>
    <w:next w:val="1"/>
    <w:qFormat/>
    <w:uiPriority w:val="39"/>
    <w:pPr>
      <w:tabs>
        <w:tab w:val="right" w:leader="dot" w:pos="9242"/>
      </w:tabs>
      <w:spacing w:before="25" w:beforeLines="25" w:after="25" w:afterLines="25"/>
      <w:jc w:val="left"/>
    </w:pPr>
    <w:rPr>
      <w:rFonts w:ascii="宋体"/>
      <w:szCs w:val="21"/>
    </w:rPr>
  </w:style>
  <w:style w:type="paragraph" w:styleId="24">
    <w:name w:val="toc 4"/>
    <w:basedOn w:val="1"/>
    <w:next w:val="1"/>
    <w:semiHidden/>
    <w:qFormat/>
    <w:uiPriority w:val="0"/>
    <w:pPr>
      <w:tabs>
        <w:tab w:val="right" w:leader="dot" w:pos="9241"/>
      </w:tabs>
      <w:ind w:firstLine="200" w:firstLineChars="200"/>
      <w:jc w:val="left"/>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5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Subtitle"/>
    <w:basedOn w:val="1"/>
    <w:next w:val="1"/>
    <w:qFormat/>
    <w:uiPriority w:val="0"/>
    <w:pPr>
      <w:spacing w:before="240" w:after="240"/>
      <w:outlineLvl w:val="1"/>
    </w:pPr>
    <w:rPr>
      <w:rFonts w:ascii="Cambria" w:hAnsi="Cambria" w:eastAsia="仿宋"/>
      <w:b/>
      <w:bCs/>
      <w:kern w:val="28"/>
      <w:sz w:val="24"/>
      <w:szCs w:val="32"/>
    </w:rPr>
  </w:style>
  <w:style w:type="paragraph" w:styleId="29">
    <w:name w:val="footnote text"/>
    <w:basedOn w:val="1"/>
    <w:link w:val="162"/>
    <w:qFormat/>
    <w:uiPriority w:val="99"/>
    <w:pPr>
      <w:numPr>
        <w:ilvl w:val="0"/>
        <w:numId w:val="1"/>
      </w:numPr>
      <w:snapToGrid w:val="0"/>
      <w:jc w:val="left"/>
    </w:pPr>
    <w:rPr>
      <w:rFonts w:ascii="宋体"/>
      <w:sz w:val="18"/>
      <w:szCs w:val="18"/>
    </w:rPr>
  </w:style>
  <w:style w:type="paragraph" w:styleId="30">
    <w:name w:val="toc 6"/>
    <w:basedOn w:val="1"/>
    <w:next w:val="1"/>
    <w:semiHidden/>
    <w:qFormat/>
    <w:uiPriority w:val="0"/>
    <w:pPr>
      <w:tabs>
        <w:tab w:val="right" w:leader="dot" w:pos="9241"/>
      </w:tabs>
      <w:ind w:firstLine="400"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oc 2"/>
    <w:basedOn w:val="1"/>
    <w:next w:val="1"/>
    <w:semiHidden/>
    <w:qFormat/>
    <w:uiPriority w:val="0"/>
    <w:pPr>
      <w:tabs>
        <w:tab w:val="right" w:leader="dot" w:pos="9242"/>
      </w:tabs>
    </w:pPr>
    <w:rPr>
      <w:rFonts w:ascii="宋体"/>
      <w:szCs w:val="21"/>
    </w:rPr>
  </w:style>
  <w:style w:type="paragraph" w:styleId="34">
    <w:name w:val="toc 9"/>
    <w:basedOn w:val="1"/>
    <w:next w:val="1"/>
    <w:semiHidden/>
    <w:qFormat/>
    <w:uiPriority w:val="0"/>
    <w:pPr>
      <w:ind w:left="1470"/>
      <w:jc w:val="left"/>
    </w:pPr>
    <w:rPr>
      <w:sz w:val="20"/>
      <w:szCs w:val="20"/>
    </w:rPr>
  </w:style>
  <w:style w:type="paragraph" w:styleId="35">
    <w:name w:val="Normal (Web)"/>
    <w:basedOn w:val="1"/>
    <w:qFormat/>
    <w:uiPriority w:val="99"/>
    <w:pPr>
      <w:spacing w:beforeAutospacing="1" w:afterAutospacing="1"/>
      <w:jc w:val="left"/>
    </w:pPr>
    <w:rPr>
      <w:kern w:val="0"/>
      <w:sz w:val="24"/>
    </w:rPr>
  </w:style>
  <w:style w:type="paragraph" w:styleId="36">
    <w:name w:val="index 2"/>
    <w:basedOn w:val="1"/>
    <w:next w:val="1"/>
    <w:qFormat/>
    <w:uiPriority w:val="0"/>
    <w:pPr>
      <w:ind w:left="420" w:hanging="210"/>
      <w:jc w:val="left"/>
    </w:pPr>
    <w:rPr>
      <w:rFonts w:ascii="Calibri" w:hAnsi="Calibri"/>
      <w:sz w:val="20"/>
      <w:szCs w:val="20"/>
    </w:rPr>
  </w:style>
  <w:style w:type="paragraph" w:styleId="37">
    <w:name w:val="annotation subject"/>
    <w:basedOn w:val="11"/>
    <w:next w:val="11"/>
    <w:link w:val="153"/>
    <w:qFormat/>
    <w:uiPriority w:val="0"/>
    <w:rPr>
      <w:b/>
      <w:bCs/>
    </w:rPr>
  </w:style>
  <w:style w:type="table" w:styleId="39">
    <w:name w:val="Table Grid"/>
    <w:basedOn w:val="38"/>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0"/>
    <w:rPr>
      <w:b/>
    </w:rPr>
  </w:style>
  <w:style w:type="character" w:styleId="42">
    <w:name w:val="endnote reference"/>
    <w:semiHidden/>
    <w:qFormat/>
    <w:uiPriority w:val="0"/>
    <w:rPr>
      <w:vertAlign w:val="superscript"/>
    </w:rPr>
  </w:style>
  <w:style w:type="character" w:styleId="43">
    <w:name w:val="page number"/>
    <w:qFormat/>
    <w:uiPriority w:val="0"/>
    <w:rPr>
      <w:rFonts w:ascii="Times New Roman" w:hAnsi="Times New Roman" w:eastAsia="宋体"/>
      <w:sz w:val="18"/>
    </w:rPr>
  </w:style>
  <w:style w:type="character" w:styleId="44">
    <w:name w:val="FollowedHyperlink"/>
    <w:qFormat/>
    <w:uiPriority w:val="0"/>
    <w:rPr>
      <w:color w:val="800080"/>
      <w:u w:val="single"/>
    </w:rPr>
  </w:style>
  <w:style w:type="character" w:styleId="45">
    <w:name w:val="Emphasis"/>
    <w:basedOn w:val="40"/>
    <w:qFormat/>
    <w:uiPriority w:val="0"/>
    <w:rPr>
      <w:i/>
    </w:rPr>
  </w:style>
  <w:style w:type="character" w:styleId="46">
    <w:name w:val="Hyperlink"/>
    <w:qFormat/>
    <w:uiPriority w:val="99"/>
    <w:rPr>
      <w:color w:val="0000FF"/>
      <w:spacing w:val="0"/>
      <w:w w:val="100"/>
      <w:szCs w:val="21"/>
      <w:u w:val="single"/>
    </w:rPr>
  </w:style>
  <w:style w:type="character" w:styleId="47">
    <w:name w:val="HTML Code"/>
    <w:basedOn w:val="40"/>
    <w:qFormat/>
    <w:uiPriority w:val="0"/>
    <w:rPr>
      <w:rFonts w:ascii="Courier New" w:hAnsi="Courier New"/>
      <w:sz w:val="20"/>
    </w:rPr>
  </w:style>
  <w:style w:type="character" w:styleId="48">
    <w:name w:val="annotation reference"/>
    <w:basedOn w:val="40"/>
    <w:qFormat/>
    <w:uiPriority w:val="0"/>
    <w:rPr>
      <w:sz w:val="21"/>
      <w:szCs w:val="21"/>
    </w:rPr>
  </w:style>
  <w:style w:type="character" w:styleId="49">
    <w:name w:val="footnote reference"/>
    <w:semiHidden/>
    <w:qFormat/>
    <w:uiPriority w:val="0"/>
    <w:rPr>
      <w:vertAlign w:val="superscript"/>
    </w:rPr>
  </w:style>
  <w:style w:type="character" w:customStyle="1" w:styleId="50">
    <w:name w:val="段 Char"/>
    <w:link w:val="27"/>
    <w:qFormat/>
    <w:uiPriority w:val="0"/>
    <w:rPr>
      <w:rFonts w:ascii="宋体"/>
      <w:sz w:val="21"/>
      <w:lang w:val="en-US" w:eastAsia="zh-CN" w:bidi="ar-SA"/>
    </w:rPr>
  </w:style>
  <w:style w:type="paragraph" w:customStyle="1" w:styleId="51">
    <w:name w:val="一级条标题"/>
    <w:next w:val="27"/>
    <w:qFormat/>
    <w:uiPriority w:val="0"/>
    <w:pPr>
      <w:keepNext/>
      <w:numPr>
        <w:ilvl w:val="1"/>
        <w:numId w:val="2"/>
      </w:numPr>
      <w:spacing w:before="50" w:beforeLines="50" w:after="50" w:afterLines="50"/>
      <w:outlineLvl w:val="2"/>
    </w:pPr>
    <w:rPr>
      <w:rFonts w:ascii="黑体" w:hAnsi="Times New Roman" w:eastAsia="黑体" w:cs="Times New Roman"/>
      <w:sz w:val="21"/>
      <w:szCs w:val="21"/>
      <w:lang w:val="en-US" w:eastAsia="zh-CN" w:bidi="ar-SA"/>
    </w:rPr>
  </w:style>
  <w:style w:type="paragraph" w:customStyle="1" w:styleId="5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4">
    <w:name w:val="章标题"/>
    <w:next w:val="27"/>
    <w:qFormat/>
    <w:uiPriority w:val="0"/>
    <w:pPr>
      <w:keepNext/>
      <w:numPr>
        <w:ilvl w:val="0"/>
        <w:numId w:val="2"/>
      </w:numPr>
      <w:spacing w:before="100" w:beforeLines="100" w:after="100" w:afterLines="100"/>
      <w:jc w:val="both"/>
      <w:outlineLvl w:val="1"/>
    </w:pPr>
    <w:rPr>
      <w:rFonts w:ascii="黑体" w:hAnsi="Times New Roman" w:eastAsia="黑体" w:cs="Times New Roman"/>
      <w:sz w:val="21"/>
      <w:lang w:val="en-US" w:eastAsia="zh-CN" w:bidi="ar-SA"/>
    </w:rPr>
  </w:style>
  <w:style w:type="paragraph" w:customStyle="1" w:styleId="55">
    <w:name w:val="二级条标题"/>
    <w:basedOn w:val="51"/>
    <w:next w:val="27"/>
    <w:qFormat/>
    <w:uiPriority w:val="0"/>
    <w:pPr>
      <w:numPr>
        <w:ilvl w:val="2"/>
      </w:numPr>
      <w:outlineLvl w:val="3"/>
    </w:pPr>
  </w:style>
  <w:style w:type="paragraph" w:customStyle="1" w:styleId="5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9">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0">
    <w:name w:val="三级条标题"/>
    <w:basedOn w:val="55"/>
    <w:next w:val="27"/>
    <w:qFormat/>
    <w:uiPriority w:val="0"/>
    <w:pPr>
      <w:numPr>
        <w:ilvl w:val="3"/>
      </w:numPr>
      <w:outlineLvl w:val="4"/>
    </w:pPr>
  </w:style>
  <w:style w:type="paragraph" w:customStyle="1" w:styleId="61">
    <w:name w:val="示例"/>
    <w:next w:val="62"/>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6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3">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64">
    <w:name w:val="四级条标题"/>
    <w:basedOn w:val="60"/>
    <w:next w:val="27"/>
    <w:qFormat/>
    <w:uiPriority w:val="0"/>
    <w:pPr>
      <w:numPr>
        <w:ilvl w:val="4"/>
      </w:numPr>
      <w:outlineLvl w:val="5"/>
    </w:pPr>
  </w:style>
  <w:style w:type="paragraph" w:customStyle="1" w:styleId="65">
    <w:name w:val="五级条标题"/>
    <w:basedOn w:val="64"/>
    <w:next w:val="27"/>
    <w:qFormat/>
    <w:uiPriority w:val="0"/>
    <w:pPr>
      <w:numPr>
        <w:ilvl w:val="5"/>
      </w:numPr>
      <w:outlineLvl w:val="6"/>
    </w:pPr>
  </w:style>
  <w:style w:type="paragraph" w:customStyle="1" w:styleId="66">
    <w:name w:val="注："/>
    <w:next w:val="27"/>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7">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8">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9">
    <w:name w:val="列项◆（三级）"/>
    <w:basedOn w:val="1"/>
    <w:qFormat/>
    <w:uiPriority w:val="0"/>
    <w:pPr>
      <w:numPr>
        <w:ilvl w:val="2"/>
        <w:numId w:val="3"/>
      </w:numPr>
    </w:pPr>
    <w:rPr>
      <w:rFonts w:ascii="宋体"/>
      <w:szCs w:val="21"/>
    </w:rPr>
  </w:style>
  <w:style w:type="paragraph" w:customStyle="1" w:styleId="70">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71">
    <w:name w:val="示例×："/>
    <w:basedOn w:val="54"/>
    <w:qFormat/>
    <w:uiPriority w:val="0"/>
    <w:pPr>
      <w:numPr>
        <w:numId w:val="0"/>
      </w:numPr>
      <w:spacing w:before="0" w:beforeLines="0" w:after="0" w:afterLines="0"/>
      <w:ind w:firstLine="363"/>
      <w:outlineLvl w:val="9"/>
    </w:pPr>
    <w:rPr>
      <w:rFonts w:ascii="宋体" w:eastAsia="宋体"/>
      <w:sz w:val="18"/>
      <w:szCs w:val="18"/>
    </w:rPr>
  </w:style>
  <w:style w:type="paragraph" w:customStyle="1" w:styleId="72">
    <w:name w:val="二级无"/>
    <w:basedOn w:val="55"/>
    <w:qFormat/>
    <w:uiPriority w:val="0"/>
    <w:pPr>
      <w:spacing w:before="0" w:beforeLines="0" w:after="0" w:afterLines="0"/>
    </w:pPr>
    <w:rPr>
      <w:rFonts w:ascii="宋体" w:eastAsia="宋体"/>
    </w:rPr>
  </w:style>
  <w:style w:type="paragraph" w:customStyle="1" w:styleId="73">
    <w:name w:val="注：（正文）"/>
    <w:basedOn w:val="66"/>
    <w:next w:val="27"/>
    <w:qFormat/>
    <w:uiPriority w:val="0"/>
  </w:style>
  <w:style w:type="paragraph" w:customStyle="1" w:styleId="74">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7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8">
    <w:name w:val="标准书眉_偶数页"/>
    <w:basedOn w:val="53"/>
    <w:next w:val="1"/>
    <w:qFormat/>
    <w:uiPriority w:val="0"/>
    <w:pPr>
      <w:jc w:val="left"/>
    </w:pPr>
  </w:style>
  <w:style w:type="paragraph" w:customStyle="1" w:styleId="79">
    <w:name w:val="标准书眉一"/>
    <w:qFormat/>
    <w:uiPriority w:val="0"/>
    <w:pPr>
      <w:jc w:val="both"/>
    </w:pPr>
    <w:rPr>
      <w:rFonts w:ascii="Times New Roman" w:hAnsi="Times New Roman" w:eastAsia="宋体" w:cs="Times New Roman"/>
      <w:lang w:val="en-US" w:eastAsia="zh-CN" w:bidi="ar-SA"/>
    </w:rPr>
  </w:style>
  <w:style w:type="paragraph" w:customStyle="1" w:styleId="80">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1">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2">
    <w:name w:val="发布"/>
    <w:qFormat/>
    <w:uiPriority w:val="0"/>
    <w:rPr>
      <w:rFonts w:ascii="黑体" w:eastAsia="黑体"/>
      <w:spacing w:val="85"/>
      <w:w w:val="100"/>
      <w:position w:val="3"/>
      <w:sz w:val="28"/>
      <w:szCs w:val="28"/>
    </w:rPr>
  </w:style>
  <w:style w:type="paragraph" w:customStyle="1" w:styleId="83">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8">
    <w:name w:val="封面标准英文名称"/>
    <w:basedOn w:val="87"/>
    <w:qFormat/>
    <w:uiPriority w:val="0"/>
    <w:pPr>
      <w:framePr w:wrap="around"/>
      <w:spacing w:before="370" w:line="400" w:lineRule="exact"/>
    </w:pPr>
    <w:rPr>
      <w:rFonts w:ascii="Times New Roman"/>
      <w:sz w:val="28"/>
      <w:szCs w:val="28"/>
    </w:rPr>
  </w:style>
  <w:style w:type="paragraph" w:customStyle="1" w:styleId="89">
    <w:name w:val="封面一致性程度标识"/>
    <w:basedOn w:val="88"/>
    <w:qFormat/>
    <w:uiPriority w:val="0"/>
    <w:pPr>
      <w:framePr w:wrap="around"/>
      <w:spacing w:before="440"/>
    </w:pPr>
    <w:rPr>
      <w:rFonts w:ascii="宋体" w:eastAsia="宋体"/>
    </w:rPr>
  </w:style>
  <w:style w:type="paragraph" w:customStyle="1" w:styleId="90">
    <w:name w:val="封面标准文稿类别"/>
    <w:basedOn w:val="89"/>
    <w:qFormat/>
    <w:uiPriority w:val="0"/>
    <w:pPr>
      <w:framePr w:wrap="around"/>
      <w:spacing w:after="160" w:line="240" w:lineRule="auto"/>
    </w:pPr>
    <w:rPr>
      <w:sz w:val="24"/>
    </w:rPr>
  </w:style>
  <w:style w:type="paragraph" w:customStyle="1" w:styleId="91">
    <w:name w:val="封面标准文稿编辑信息"/>
    <w:basedOn w:val="90"/>
    <w:qFormat/>
    <w:uiPriority w:val="0"/>
    <w:pPr>
      <w:framePr w:wrap="around"/>
      <w:spacing w:before="180" w:line="180" w:lineRule="exact"/>
    </w:pPr>
    <w:rPr>
      <w:sz w:val="21"/>
    </w:rPr>
  </w:style>
  <w:style w:type="paragraph" w:customStyle="1" w:styleId="92">
    <w:name w:val="封面正文"/>
    <w:qFormat/>
    <w:uiPriority w:val="0"/>
    <w:pPr>
      <w:jc w:val="both"/>
    </w:pPr>
    <w:rPr>
      <w:rFonts w:ascii="Times New Roman" w:hAnsi="Times New Roman" w:eastAsia="宋体" w:cs="Times New Roman"/>
      <w:lang w:val="en-US" w:eastAsia="zh-CN" w:bidi="ar-SA"/>
    </w:rPr>
  </w:style>
  <w:style w:type="paragraph" w:customStyle="1" w:styleId="93">
    <w:name w:val="附录标识"/>
    <w:basedOn w:val="1"/>
    <w:next w:val="27"/>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4">
    <w:name w:val="附录标题"/>
    <w:basedOn w:val="27"/>
    <w:next w:val="27"/>
    <w:qFormat/>
    <w:uiPriority w:val="0"/>
    <w:pPr>
      <w:ind w:firstLine="0" w:firstLineChars="0"/>
      <w:jc w:val="center"/>
    </w:pPr>
    <w:rPr>
      <w:rFonts w:ascii="黑体" w:eastAsia="黑体"/>
    </w:rPr>
  </w:style>
  <w:style w:type="paragraph" w:customStyle="1" w:styleId="95">
    <w:name w:val="附录表标号"/>
    <w:basedOn w:val="1"/>
    <w:next w:val="27"/>
    <w:qFormat/>
    <w:uiPriority w:val="0"/>
    <w:pPr>
      <w:numPr>
        <w:ilvl w:val="0"/>
        <w:numId w:val="7"/>
      </w:numPr>
      <w:tabs>
        <w:tab w:val="clear" w:pos="0"/>
      </w:tabs>
      <w:spacing w:line="14" w:lineRule="exact"/>
      <w:ind w:left="811" w:hanging="448"/>
      <w:jc w:val="center"/>
      <w:outlineLvl w:val="0"/>
    </w:pPr>
    <w:rPr>
      <w:color w:val="FFFFFF"/>
    </w:rPr>
  </w:style>
  <w:style w:type="paragraph" w:customStyle="1" w:styleId="96">
    <w:name w:val="附录表标题"/>
    <w:basedOn w:val="1"/>
    <w:next w:val="27"/>
    <w:qFormat/>
    <w:uiPriority w:val="0"/>
    <w:pPr>
      <w:numPr>
        <w:ilvl w:val="1"/>
        <w:numId w:val="7"/>
      </w:numPr>
      <w:tabs>
        <w:tab w:val="left" w:pos="180"/>
      </w:tabs>
      <w:spacing w:before="50" w:beforeLines="50" w:after="50" w:afterLines="50"/>
      <w:ind w:left="0" w:firstLine="0"/>
      <w:jc w:val="center"/>
    </w:pPr>
    <w:rPr>
      <w:rFonts w:ascii="黑体" w:eastAsia="黑体"/>
      <w:szCs w:val="21"/>
    </w:rPr>
  </w:style>
  <w:style w:type="paragraph" w:customStyle="1" w:styleId="97">
    <w:name w:val="附录二级条标题"/>
    <w:basedOn w:val="1"/>
    <w:next w:val="27"/>
    <w:qFormat/>
    <w:uiPriority w:val="0"/>
    <w:pPr>
      <w:widowControl/>
      <w:numPr>
        <w:ilvl w:val="3"/>
        <w:numId w:val="6"/>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8">
    <w:name w:val="附录二级无"/>
    <w:basedOn w:val="97"/>
    <w:qFormat/>
    <w:uiPriority w:val="0"/>
    <w:pPr>
      <w:tabs>
        <w:tab w:val="clear" w:pos="360"/>
      </w:tabs>
      <w:spacing w:before="0" w:beforeLines="0" w:after="0" w:afterLines="0"/>
    </w:pPr>
    <w:rPr>
      <w:rFonts w:ascii="宋体" w:eastAsia="宋体"/>
      <w:szCs w:val="21"/>
    </w:rPr>
  </w:style>
  <w:style w:type="paragraph" w:customStyle="1" w:styleId="99">
    <w:name w:val="附录公式"/>
    <w:basedOn w:val="27"/>
    <w:next w:val="27"/>
    <w:link w:val="100"/>
    <w:qFormat/>
    <w:uiPriority w:val="0"/>
  </w:style>
  <w:style w:type="character" w:customStyle="1" w:styleId="100">
    <w:name w:val="附录公式 Char"/>
    <w:basedOn w:val="50"/>
    <w:link w:val="99"/>
    <w:qFormat/>
    <w:uiPriority w:val="0"/>
    <w:rPr>
      <w:rFonts w:ascii="宋体"/>
      <w:sz w:val="21"/>
      <w:lang w:val="en-US" w:eastAsia="zh-CN" w:bidi="ar-SA"/>
    </w:rPr>
  </w:style>
  <w:style w:type="paragraph" w:customStyle="1" w:styleId="101">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102">
    <w:name w:val="附录三级条标题"/>
    <w:basedOn w:val="97"/>
    <w:next w:val="27"/>
    <w:qFormat/>
    <w:uiPriority w:val="0"/>
    <w:pPr>
      <w:numPr>
        <w:ilvl w:val="4"/>
      </w:numPr>
      <w:outlineLvl w:val="4"/>
    </w:pPr>
  </w:style>
  <w:style w:type="paragraph" w:customStyle="1" w:styleId="103">
    <w:name w:val="附录三级无"/>
    <w:basedOn w:val="102"/>
    <w:qFormat/>
    <w:uiPriority w:val="0"/>
    <w:pPr>
      <w:tabs>
        <w:tab w:val="clear" w:pos="360"/>
      </w:tabs>
      <w:spacing w:before="0" w:beforeLines="0" w:after="0" w:afterLines="0"/>
    </w:pPr>
    <w:rPr>
      <w:rFonts w:ascii="宋体" w:eastAsia="宋体"/>
      <w:szCs w:val="21"/>
    </w:rPr>
  </w:style>
  <w:style w:type="paragraph" w:customStyle="1" w:styleId="104">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105">
    <w:name w:val="附录四级条标题"/>
    <w:basedOn w:val="102"/>
    <w:next w:val="27"/>
    <w:qFormat/>
    <w:uiPriority w:val="0"/>
    <w:pPr>
      <w:numPr>
        <w:ilvl w:val="5"/>
      </w:numPr>
      <w:outlineLvl w:val="5"/>
    </w:pPr>
  </w:style>
  <w:style w:type="paragraph" w:customStyle="1" w:styleId="106">
    <w:name w:val="附录四级无"/>
    <w:basedOn w:val="105"/>
    <w:qFormat/>
    <w:uiPriority w:val="0"/>
    <w:pPr>
      <w:tabs>
        <w:tab w:val="clear" w:pos="360"/>
      </w:tabs>
      <w:spacing w:before="0" w:beforeLines="0" w:after="0" w:afterLines="0"/>
    </w:pPr>
    <w:rPr>
      <w:rFonts w:ascii="宋体" w:eastAsia="宋体"/>
      <w:szCs w:val="21"/>
    </w:rPr>
  </w:style>
  <w:style w:type="paragraph" w:customStyle="1" w:styleId="107">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108">
    <w:name w:val="附录图标题"/>
    <w:basedOn w:val="1"/>
    <w:next w:val="27"/>
    <w:qFormat/>
    <w:uiPriority w:val="0"/>
    <w:pPr>
      <w:numPr>
        <w:ilvl w:val="1"/>
        <w:numId w:val="9"/>
      </w:numPr>
      <w:tabs>
        <w:tab w:val="left" w:pos="363"/>
      </w:tabs>
      <w:spacing w:before="50" w:beforeLines="50" w:after="50" w:afterLines="50"/>
      <w:ind w:left="0" w:firstLine="0"/>
      <w:jc w:val="center"/>
    </w:pPr>
    <w:rPr>
      <w:rFonts w:ascii="黑体" w:eastAsia="黑体"/>
      <w:szCs w:val="21"/>
    </w:rPr>
  </w:style>
  <w:style w:type="paragraph" w:customStyle="1" w:styleId="109">
    <w:name w:val="附录五级条标题"/>
    <w:basedOn w:val="105"/>
    <w:next w:val="27"/>
    <w:qFormat/>
    <w:uiPriority w:val="0"/>
    <w:pPr>
      <w:numPr>
        <w:ilvl w:val="6"/>
      </w:numPr>
      <w:outlineLvl w:val="6"/>
    </w:pPr>
  </w:style>
  <w:style w:type="paragraph" w:customStyle="1" w:styleId="110">
    <w:name w:val="附录五级无"/>
    <w:basedOn w:val="109"/>
    <w:qFormat/>
    <w:uiPriority w:val="0"/>
    <w:pPr>
      <w:tabs>
        <w:tab w:val="clear" w:pos="360"/>
      </w:tabs>
      <w:spacing w:before="0" w:beforeLines="0" w:after="0" w:afterLines="0"/>
    </w:pPr>
    <w:rPr>
      <w:rFonts w:ascii="宋体" w:eastAsia="宋体"/>
      <w:szCs w:val="21"/>
    </w:rPr>
  </w:style>
  <w:style w:type="paragraph" w:customStyle="1" w:styleId="111">
    <w:name w:val="附录章标题"/>
    <w:next w:val="27"/>
    <w:qFormat/>
    <w:uiPriority w:val="0"/>
    <w:pPr>
      <w:numPr>
        <w:ilvl w:val="1"/>
        <w:numId w:val="6"/>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2">
    <w:name w:val="附录一级条标题"/>
    <w:basedOn w:val="111"/>
    <w:next w:val="27"/>
    <w:qFormat/>
    <w:uiPriority w:val="0"/>
    <w:pPr>
      <w:numPr>
        <w:ilvl w:val="2"/>
      </w:numPr>
      <w:autoSpaceDN w:val="0"/>
      <w:spacing w:before="50" w:beforeLines="50" w:after="50" w:afterLines="50"/>
      <w:outlineLvl w:val="2"/>
    </w:pPr>
  </w:style>
  <w:style w:type="paragraph" w:customStyle="1" w:styleId="113">
    <w:name w:val="附录一级无"/>
    <w:basedOn w:val="112"/>
    <w:qFormat/>
    <w:uiPriority w:val="0"/>
    <w:pPr>
      <w:tabs>
        <w:tab w:val="clear" w:pos="360"/>
      </w:tabs>
      <w:spacing w:before="0" w:beforeLines="0" w:after="0" w:afterLines="0"/>
    </w:pPr>
    <w:rPr>
      <w:rFonts w:ascii="宋体" w:eastAsia="宋体"/>
      <w:szCs w:val="21"/>
    </w:rPr>
  </w:style>
  <w:style w:type="paragraph" w:customStyle="1" w:styleId="114">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11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其他标准标志"/>
    <w:basedOn w:val="75"/>
    <w:qFormat/>
    <w:uiPriority w:val="0"/>
    <w:pPr>
      <w:framePr w:w="6101" w:wrap="around" w:vAnchor="page" w:hAnchor="page" w:x="4673" w:y="942"/>
    </w:pPr>
    <w:rPr>
      <w:w w:val="130"/>
    </w:rPr>
  </w:style>
  <w:style w:type="paragraph" w:customStyle="1" w:styleId="11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0">
    <w:name w:val="其他发布部门"/>
    <w:basedOn w:val="83"/>
    <w:qFormat/>
    <w:uiPriority w:val="0"/>
    <w:pPr>
      <w:framePr w:wrap="around" w:y="15310"/>
      <w:spacing w:line="0" w:lineRule="atLeast"/>
    </w:pPr>
    <w:rPr>
      <w:rFonts w:ascii="黑体" w:eastAsia="黑体"/>
      <w:b w:val="0"/>
    </w:rPr>
  </w:style>
  <w:style w:type="paragraph" w:customStyle="1" w:styleId="121">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2">
    <w:name w:val="三级无"/>
    <w:basedOn w:val="60"/>
    <w:qFormat/>
    <w:uiPriority w:val="0"/>
    <w:pPr>
      <w:spacing w:before="0" w:beforeLines="0" w:after="0" w:afterLines="0"/>
    </w:pPr>
    <w:rPr>
      <w:rFonts w:ascii="宋体" w:eastAsia="宋体"/>
    </w:rPr>
  </w:style>
  <w:style w:type="paragraph" w:customStyle="1" w:styleId="123">
    <w:name w:val="实施日期"/>
    <w:basedOn w:val="84"/>
    <w:qFormat/>
    <w:uiPriority w:val="0"/>
    <w:pPr>
      <w:framePr w:wrap="around" w:vAnchor="page" w:hAnchor="text"/>
      <w:jc w:val="right"/>
    </w:pPr>
  </w:style>
  <w:style w:type="paragraph" w:customStyle="1" w:styleId="124">
    <w:name w:val="示例后文字"/>
    <w:basedOn w:val="27"/>
    <w:next w:val="27"/>
    <w:qFormat/>
    <w:uiPriority w:val="0"/>
    <w:pPr>
      <w:ind w:firstLine="360"/>
    </w:pPr>
    <w:rPr>
      <w:sz w:val="18"/>
    </w:rPr>
  </w:style>
  <w:style w:type="paragraph" w:customStyle="1" w:styleId="125">
    <w:name w:val="首示例"/>
    <w:next w:val="27"/>
    <w:link w:val="126"/>
    <w:qFormat/>
    <w:uiPriority w:val="0"/>
    <w:pPr>
      <w:tabs>
        <w:tab w:val="left" w:pos="360"/>
      </w:tabs>
    </w:pPr>
    <w:rPr>
      <w:rFonts w:ascii="宋体" w:hAnsi="宋体" w:eastAsia="宋体" w:cs="Times New Roman"/>
      <w:kern w:val="2"/>
      <w:sz w:val="18"/>
      <w:szCs w:val="18"/>
      <w:lang w:val="en-US" w:eastAsia="zh-CN" w:bidi="ar-SA"/>
    </w:rPr>
  </w:style>
  <w:style w:type="character" w:customStyle="1" w:styleId="126">
    <w:name w:val="首示例 Char"/>
    <w:link w:val="125"/>
    <w:qFormat/>
    <w:uiPriority w:val="0"/>
    <w:rPr>
      <w:rFonts w:ascii="宋体" w:hAnsi="宋体"/>
      <w:kern w:val="2"/>
      <w:sz w:val="18"/>
      <w:szCs w:val="18"/>
    </w:rPr>
  </w:style>
  <w:style w:type="paragraph" w:customStyle="1" w:styleId="127">
    <w:name w:val="四级无"/>
    <w:basedOn w:val="64"/>
    <w:qFormat/>
    <w:uiPriority w:val="0"/>
    <w:pPr>
      <w:spacing w:before="0" w:beforeLines="0" w:after="0" w:afterLines="0"/>
    </w:pPr>
    <w:rPr>
      <w:rFonts w:ascii="宋体" w:eastAsia="宋体"/>
    </w:rPr>
  </w:style>
  <w:style w:type="paragraph" w:customStyle="1" w:styleId="128">
    <w:name w:val="条文脚注"/>
    <w:basedOn w:val="29"/>
    <w:qFormat/>
    <w:uiPriority w:val="0"/>
    <w:pPr>
      <w:numPr>
        <w:numId w:val="0"/>
      </w:numPr>
      <w:jc w:val="both"/>
    </w:pPr>
  </w:style>
  <w:style w:type="paragraph" w:customStyle="1" w:styleId="129">
    <w:name w:val="图标脚注说明"/>
    <w:basedOn w:val="27"/>
    <w:qFormat/>
    <w:uiPriority w:val="0"/>
    <w:pPr>
      <w:ind w:left="840" w:hanging="420" w:firstLineChars="0"/>
    </w:pPr>
    <w:rPr>
      <w:sz w:val="18"/>
      <w:szCs w:val="18"/>
    </w:rPr>
  </w:style>
  <w:style w:type="paragraph" w:customStyle="1" w:styleId="130">
    <w:name w:val="图表脚注说明"/>
    <w:basedOn w:val="1"/>
    <w:qFormat/>
    <w:uiPriority w:val="0"/>
    <w:pPr>
      <w:ind w:left="544" w:hanging="181"/>
    </w:pPr>
    <w:rPr>
      <w:rFonts w:ascii="宋体"/>
      <w:sz w:val="18"/>
      <w:szCs w:val="18"/>
    </w:rPr>
  </w:style>
  <w:style w:type="paragraph" w:customStyle="1" w:styleId="131">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3">
    <w:name w:val="五级无"/>
    <w:basedOn w:val="65"/>
    <w:qFormat/>
    <w:uiPriority w:val="0"/>
    <w:pPr>
      <w:spacing w:before="0" w:beforeLines="0" w:after="0" w:afterLines="0"/>
    </w:pPr>
    <w:rPr>
      <w:rFonts w:ascii="宋体" w:eastAsia="宋体"/>
    </w:rPr>
  </w:style>
  <w:style w:type="paragraph" w:customStyle="1" w:styleId="134">
    <w:name w:val="一级无"/>
    <w:basedOn w:val="51"/>
    <w:qFormat/>
    <w:uiPriority w:val="0"/>
    <w:pPr>
      <w:spacing w:before="0" w:beforeLines="0" w:after="0" w:afterLines="0"/>
    </w:pPr>
    <w:rPr>
      <w:rFonts w:ascii="宋体" w:eastAsia="宋体"/>
    </w:rPr>
  </w:style>
  <w:style w:type="paragraph" w:customStyle="1" w:styleId="135">
    <w:name w:val="正文表标题"/>
    <w:next w:val="27"/>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6">
    <w:name w:val="正文公式编号制表符"/>
    <w:basedOn w:val="27"/>
    <w:next w:val="27"/>
    <w:qFormat/>
    <w:uiPriority w:val="0"/>
    <w:pPr>
      <w:ind w:firstLine="0" w:firstLineChars="0"/>
    </w:pPr>
  </w:style>
  <w:style w:type="paragraph" w:customStyle="1" w:styleId="137">
    <w:name w:val="正文图标题"/>
    <w:next w:val="27"/>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8">
    <w:name w:val="终结线"/>
    <w:basedOn w:val="1"/>
    <w:qFormat/>
    <w:uiPriority w:val="0"/>
    <w:pPr>
      <w:framePr w:hSpace="181" w:vSpace="181" w:wrap="around" w:vAnchor="text" w:hAnchor="margin" w:xAlign="center" w:y="285"/>
    </w:pPr>
  </w:style>
  <w:style w:type="paragraph" w:customStyle="1" w:styleId="139">
    <w:name w:val="其他发布日期"/>
    <w:basedOn w:val="84"/>
    <w:qFormat/>
    <w:uiPriority w:val="0"/>
    <w:pPr>
      <w:framePr w:wrap="around" w:vAnchor="page" w:hAnchor="text" w:x="1419"/>
    </w:pPr>
  </w:style>
  <w:style w:type="paragraph" w:customStyle="1" w:styleId="140">
    <w:name w:val="其他实施日期"/>
    <w:basedOn w:val="123"/>
    <w:qFormat/>
    <w:uiPriority w:val="0"/>
    <w:pPr>
      <w:framePr w:wrap="around"/>
    </w:pPr>
  </w:style>
  <w:style w:type="paragraph" w:customStyle="1" w:styleId="141">
    <w:name w:val="封面标准名称2"/>
    <w:basedOn w:val="87"/>
    <w:qFormat/>
    <w:uiPriority w:val="0"/>
    <w:pPr>
      <w:framePr w:wrap="around" w:y="4469"/>
      <w:spacing w:before="630" w:beforeLines="630"/>
    </w:pPr>
  </w:style>
  <w:style w:type="paragraph" w:customStyle="1" w:styleId="142">
    <w:name w:val="封面标准英文名称2"/>
    <w:basedOn w:val="88"/>
    <w:qFormat/>
    <w:uiPriority w:val="0"/>
    <w:pPr>
      <w:framePr w:wrap="around" w:y="4469"/>
    </w:pPr>
  </w:style>
  <w:style w:type="paragraph" w:customStyle="1" w:styleId="143">
    <w:name w:val="封面一致性程度标识2"/>
    <w:basedOn w:val="89"/>
    <w:qFormat/>
    <w:uiPriority w:val="0"/>
    <w:pPr>
      <w:framePr w:wrap="around" w:y="4469"/>
    </w:pPr>
  </w:style>
  <w:style w:type="paragraph" w:customStyle="1" w:styleId="144">
    <w:name w:val="封面标准文稿类别2"/>
    <w:basedOn w:val="90"/>
    <w:qFormat/>
    <w:uiPriority w:val="0"/>
    <w:pPr>
      <w:framePr w:wrap="around" w:y="4469"/>
    </w:pPr>
  </w:style>
  <w:style w:type="paragraph" w:customStyle="1" w:styleId="145">
    <w:name w:val="封面标准文稿编辑信息2"/>
    <w:basedOn w:val="91"/>
    <w:qFormat/>
    <w:uiPriority w:val="0"/>
    <w:pPr>
      <w:framePr w:wrap="around" w:y="4469"/>
    </w:pPr>
  </w:style>
  <w:style w:type="paragraph" w:styleId="146">
    <w:name w:val="List Paragraph"/>
    <w:basedOn w:val="1"/>
    <w:qFormat/>
    <w:uiPriority w:val="34"/>
    <w:pPr>
      <w:ind w:firstLine="420"/>
    </w:pPr>
  </w:style>
  <w:style w:type="paragraph" w:customStyle="1" w:styleId="147">
    <w:name w:val="标准文件_附录标识"/>
    <w:next w:val="148"/>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4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标准文件_附录表标题"/>
    <w:next w:val="148"/>
    <w:qFormat/>
    <w:uiPriority w:val="0"/>
    <w:pPr>
      <w:numPr>
        <w:ilvl w:val="1"/>
        <w:numId w:val="10"/>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50">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51">
    <w:name w:val="WPSOffice手动目录 1"/>
    <w:qFormat/>
    <w:uiPriority w:val="0"/>
    <w:rPr>
      <w:rFonts w:ascii="Times New Roman" w:hAnsi="Times New Roman" w:eastAsia="宋体" w:cs="Times New Roman"/>
      <w:lang w:val="en-US" w:eastAsia="zh-CN" w:bidi="ar-SA"/>
    </w:rPr>
  </w:style>
  <w:style w:type="character" w:customStyle="1" w:styleId="152">
    <w:name w:val="Comment Text Char"/>
    <w:basedOn w:val="40"/>
    <w:link w:val="11"/>
    <w:qFormat/>
    <w:uiPriority w:val="0"/>
    <w:rPr>
      <w:kern w:val="2"/>
      <w:sz w:val="21"/>
      <w:szCs w:val="24"/>
    </w:rPr>
  </w:style>
  <w:style w:type="character" w:customStyle="1" w:styleId="153">
    <w:name w:val="Comment Subject Char"/>
    <w:basedOn w:val="152"/>
    <w:link w:val="37"/>
    <w:qFormat/>
    <w:uiPriority w:val="0"/>
    <w:rPr>
      <w:b/>
      <w:bCs/>
      <w:kern w:val="2"/>
      <w:sz w:val="21"/>
      <w:szCs w:val="24"/>
    </w:rPr>
  </w:style>
  <w:style w:type="paragraph" w:customStyle="1" w:styleId="15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5">
    <w:name w:val="Heading 1 Char"/>
    <w:basedOn w:val="40"/>
    <w:link w:val="2"/>
    <w:qFormat/>
    <w:uiPriority w:val="9"/>
    <w:rPr>
      <w:rFonts w:eastAsia="仿宋"/>
      <w:b/>
      <w:bCs/>
      <w:kern w:val="44"/>
      <w:sz w:val="24"/>
      <w:szCs w:val="32"/>
    </w:rPr>
  </w:style>
  <w:style w:type="character" w:customStyle="1" w:styleId="156">
    <w:name w:val="Balloon Text Char"/>
    <w:basedOn w:val="40"/>
    <w:link w:val="20"/>
    <w:qFormat/>
    <w:uiPriority w:val="0"/>
    <w:rPr>
      <w:kern w:val="2"/>
      <w:sz w:val="18"/>
      <w:szCs w:val="18"/>
    </w:rPr>
  </w:style>
  <w:style w:type="character" w:styleId="157">
    <w:name w:val="Placeholder Text"/>
    <w:basedOn w:val="40"/>
    <w:semiHidden/>
    <w:qFormat/>
    <w:uiPriority w:val="99"/>
    <w:rPr>
      <w:color w:val="808080"/>
    </w:rPr>
  </w:style>
  <w:style w:type="character" w:customStyle="1" w:styleId="158">
    <w:name w:val="Header Char"/>
    <w:basedOn w:val="40"/>
    <w:link w:val="22"/>
    <w:qFormat/>
    <w:uiPriority w:val="99"/>
    <w:rPr>
      <w:kern w:val="2"/>
      <w:sz w:val="18"/>
      <w:szCs w:val="18"/>
    </w:rPr>
  </w:style>
  <w:style w:type="character" w:customStyle="1" w:styleId="159">
    <w:name w:val="Footer Char"/>
    <w:basedOn w:val="40"/>
    <w:link w:val="21"/>
    <w:qFormat/>
    <w:uiPriority w:val="99"/>
    <w:rPr>
      <w:kern w:val="2"/>
      <w:sz w:val="18"/>
      <w:szCs w:val="18"/>
    </w:rPr>
  </w:style>
  <w:style w:type="paragraph" w:customStyle="1" w:styleId="160">
    <w:name w:val="Meth - Equation"/>
    <w:basedOn w:val="1"/>
    <w:next w:val="1"/>
    <w:qFormat/>
    <w:uiPriority w:val="0"/>
    <w:pPr>
      <w:widowControl/>
      <w:tabs>
        <w:tab w:val="right" w:pos="9400"/>
      </w:tabs>
      <w:spacing w:before="240"/>
      <w:jc w:val="left"/>
    </w:pPr>
    <w:rPr>
      <w:b/>
      <w:kern w:val="0"/>
      <w:sz w:val="22"/>
      <w:szCs w:val="20"/>
      <w:lang w:eastAsia="en-US"/>
    </w:rPr>
  </w:style>
  <w:style w:type="paragraph" w:customStyle="1" w:styleId="161">
    <w:name w:val="Meth - Nomenclature and tables"/>
    <w:basedOn w:val="1"/>
    <w:qFormat/>
    <w:uiPriority w:val="0"/>
    <w:pPr>
      <w:widowControl/>
      <w:tabs>
        <w:tab w:val="right" w:pos="9360"/>
      </w:tabs>
      <w:jc w:val="left"/>
    </w:pPr>
    <w:rPr>
      <w:kern w:val="0"/>
      <w:sz w:val="22"/>
      <w:szCs w:val="20"/>
      <w:lang w:val="en-GB" w:eastAsia="en-US"/>
    </w:rPr>
  </w:style>
  <w:style w:type="character" w:customStyle="1" w:styleId="162">
    <w:name w:val="Footnote Text Char"/>
    <w:basedOn w:val="40"/>
    <w:link w:val="29"/>
    <w:qFormat/>
    <w:uiPriority w:val="99"/>
    <w:rPr>
      <w:rFonts w:ascii="宋体"/>
      <w:kern w:val="2"/>
      <w:sz w:val="18"/>
      <w:szCs w:val="18"/>
    </w:rPr>
  </w:style>
  <w:style w:type="paragraph" w:customStyle="1" w:styleId="16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64">
    <w:name w:val="图表标题"/>
    <w:next w:val="1"/>
    <w:link w:val="166"/>
    <w:qFormat/>
    <w:uiPriority w:val="0"/>
    <w:pPr>
      <w:keepNext/>
      <w:adjustRightInd w:val="0"/>
      <w:snapToGrid w:val="0"/>
      <w:spacing w:before="240" w:after="120"/>
      <w:jc w:val="center"/>
    </w:pPr>
    <w:rPr>
      <w:rFonts w:cs="Times New Roman" w:asciiTheme="minorEastAsia" w:hAnsiTheme="minorEastAsia" w:eastAsiaTheme="minorEastAsia"/>
      <w:kern w:val="2"/>
      <w:sz w:val="24"/>
      <w:szCs w:val="24"/>
      <w:lang w:val="en-US" w:eastAsia="zh-CN" w:bidi="ar-SA"/>
    </w:rPr>
  </w:style>
  <w:style w:type="table" w:customStyle="1" w:styleId="165">
    <w:name w:val="表格字体"/>
    <w:basedOn w:val="38"/>
    <w:qFormat/>
    <w:uiPriority w:val="99"/>
    <w:pPr>
      <w:adjustRightInd w:val="0"/>
      <w:snapToGrid w:val="0"/>
      <w:jc w:val="center"/>
    </w:pPr>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6">
    <w:name w:val="图表标题 字符"/>
    <w:basedOn w:val="40"/>
    <w:link w:val="164"/>
    <w:qFormat/>
    <w:uiPriority w:val="0"/>
    <w:rPr>
      <w:rFonts w:asciiTheme="minorEastAsia" w:hAnsiTheme="minorEastAsia" w:eastAsiaTheme="minorEastAsia"/>
      <w:kern w:val="2"/>
      <w:sz w:val="24"/>
      <w:szCs w:val="24"/>
    </w:rPr>
  </w:style>
  <w:style w:type="paragraph" w:customStyle="1" w:styleId="167">
    <w:name w:val="表格"/>
    <w:next w:val="1"/>
    <w:link w:val="168"/>
    <w:qFormat/>
    <w:uiPriority w:val="0"/>
    <w:pPr>
      <w:adjustRightInd w:val="0"/>
      <w:snapToGrid w:val="0"/>
      <w:jc w:val="center"/>
    </w:pPr>
    <w:rPr>
      <w:rFonts w:ascii="Times New Roman" w:hAnsi="Times New Roman" w:eastAsia="宋体" w:cs="Times New Roman"/>
      <w:kern w:val="2"/>
      <w:sz w:val="21"/>
      <w:szCs w:val="24"/>
      <w:lang w:val="en-US" w:eastAsia="zh-CN" w:bidi="ar-SA"/>
    </w:rPr>
  </w:style>
  <w:style w:type="character" w:customStyle="1" w:styleId="168">
    <w:name w:val="表格 字符"/>
    <w:basedOn w:val="40"/>
    <w:link w:val="167"/>
    <w:qFormat/>
    <w:uiPriority w:val="0"/>
    <w:rPr>
      <w:kern w:val="2"/>
      <w:sz w:val="21"/>
      <w:szCs w:val="24"/>
    </w:rPr>
  </w:style>
  <w:style w:type="character" w:customStyle="1" w:styleId="169">
    <w:name w:val="Heading 4 Char"/>
    <w:basedOn w:val="40"/>
    <w:link w:val="5"/>
    <w:qFormat/>
    <w:uiPriority w:val="9"/>
    <w:rPr>
      <w:rFonts w:asciiTheme="majorHAnsi" w:hAnsiTheme="majorHAnsi" w:eastAsiaTheme="majorEastAsia" w:cstheme="majorBidi"/>
      <w:b/>
      <w:bCs/>
      <w:kern w:val="2"/>
      <w:sz w:val="28"/>
      <w:szCs w:val="28"/>
    </w:rPr>
  </w:style>
  <w:style w:type="character" w:customStyle="1" w:styleId="170">
    <w:name w:val="未处理的提及1"/>
    <w:basedOn w:val="40"/>
    <w:semiHidden/>
    <w:unhideWhenUsed/>
    <w:qFormat/>
    <w:uiPriority w:val="99"/>
    <w:rPr>
      <w:color w:val="605E5C"/>
      <w:shd w:val="clear" w:color="auto" w:fill="E1DFDD"/>
    </w:rPr>
  </w:style>
  <w:style w:type="paragraph" w:customStyle="1" w:styleId="171">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17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73">
    <w:name w:val="Revision1"/>
    <w:hidden/>
    <w:unhideWhenUsed/>
    <w:qFormat/>
    <w:uiPriority w:val="99"/>
    <w:rPr>
      <w:rFonts w:ascii="Times New Roman" w:hAnsi="Times New Roman" w:eastAsia="宋体" w:cs="Times New Roman"/>
      <w:kern w:val="2"/>
      <w:sz w:val="21"/>
      <w:szCs w:val="24"/>
      <w:lang w:val="en-US" w:eastAsia="zh-CN" w:bidi="ar-SA"/>
    </w:rPr>
  </w:style>
  <w:style w:type="paragraph" w:customStyle="1" w:styleId="174">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75">
    <w:name w:val="Normal1"/>
    <w:basedOn w:val="1"/>
    <w:qFormat/>
    <w:uiPriority w:val="0"/>
    <w:pPr>
      <w:widowControl/>
    </w:pPr>
    <w:rPr>
      <w:szCs w:val="21"/>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AD5DCA-E6E3-49C0-9FC3-772C6F54FD81}">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13053</Words>
  <Characters>15431</Characters>
  <Lines>1126</Lines>
  <Paragraphs>1127</Paragraphs>
  <TotalTime>0</TotalTime>
  <ScaleCrop>false</ScaleCrop>
  <LinksUpToDate>false</LinksUpToDate>
  <CharactersWithSpaces>15875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2023-03-11T22:36:00Z</dcterms:created>
  <cp:lastPrinted>2022-01-17T14:02:00Z</cp:lastPrinted>
  <dcterms:modified xsi:type="dcterms:W3CDTF">2026-07-14T03:34:40Z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57D0C25856AD4924864B701387A8557E_13</vt:lpwstr>
  </property>
  <property fmtid="{D5CDD505-2E9C-101B-9397-08002B2CF9AE}" pid="4" name="KSOTemplateDocerSaveRecord">
    <vt:lpwstr>eyJoZGlkIjoiZDhlMzY4OTg4ZDMwMDRmZjc0ZTFmNTViMjFjMTFiZjIiLCJ1c2VySWQiOiIyNTg0OTAwODUifQ==</vt:lpwstr>
  </property>
  <property fmtid="{D5CDD505-2E9C-101B-9397-08002B2CF9AE}" pid="5" name="MSIP_Label_58deb127-d74e-4314-9590-a71dfc387b4b_Enabled">
    <vt:lpwstr>true</vt:lpwstr>
  </property>
  <property fmtid="{D5CDD505-2E9C-101B-9397-08002B2CF9AE}" pid="6" name="MSIP_Label_58deb127-d74e-4314-9590-a71dfc387b4b_SetDate">
    <vt:lpwstr>2026-05-30T10:41:43Z</vt:lpwstr>
  </property>
  <property fmtid="{D5CDD505-2E9C-101B-9397-08002B2CF9AE}" pid="7" name="MSIP_Label_58deb127-d74e-4314-9590-a71dfc387b4b_Method">
    <vt:lpwstr>Standard</vt:lpwstr>
  </property>
  <property fmtid="{D5CDD505-2E9C-101B-9397-08002B2CF9AE}" pid="8" name="MSIP_Label_58deb127-d74e-4314-9590-a71dfc387b4b_Name">
    <vt:lpwstr>defa4170-0d19-0005-0004-bc88714345d2</vt:lpwstr>
  </property>
  <property fmtid="{D5CDD505-2E9C-101B-9397-08002B2CF9AE}" pid="9" name="MSIP_Label_58deb127-d74e-4314-9590-a71dfc387b4b_SiteId">
    <vt:lpwstr>0a436641-3742-4687-8107-3a60c81e1317</vt:lpwstr>
  </property>
  <property fmtid="{D5CDD505-2E9C-101B-9397-08002B2CF9AE}" pid="10" name="MSIP_Label_58deb127-d74e-4314-9590-a71dfc387b4b_ActionId">
    <vt:lpwstr>a444ad90-7798-4e8e-aed6-d114468ec400</vt:lpwstr>
  </property>
  <property fmtid="{D5CDD505-2E9C-101B-9397-08002B2CF9AE}" pid="11" name="MSIP_Label_58deb127-d74e-4314-9590-a71dfc387b4b_ContentBits">
    <vt:lpwstr>0</vt:lpwstr>
  </property>
  <property fmtid="{D5CDD505-2E9C-101B-9397-08002B2CF9AE}" pid="12" name="MSIP_Label_58deb127-d74e-4314-9590-a71dfc387b4b_Tag">
    <vt:lpwstr>10, 3, 0, 1</vt:lpwstr>
  </property>
  <property fmtid="{D5CDD505-2E9C-101B-9397-08002B2CF9AE}" pid="13" name="ClassificationContentMarkingHeaderShapeIds">
    <vt:lpwstr>57189981,381e48b1,5a332bfc,4eaac170</vt:lpwstr>
  </property>
  <property fmtid="{D5CDD505-2E9C-101B-9397-08002B2CF9AE}" pid="14" name="ClassificationContentMarkingHeaderFontProps">
    <vt:lpwstr>#000000,10,Aptos</vt:lpwstr>
  </property>
  <property fmtid="{D5CDD505-2E9C-101B-9397-08002B2CF9AE}" pid="15" name="ClassificationContentMarkingHeaderText">
    <vt:lpwstr>Business Use</vt:lpwstr>
  </property>
  <property fmtid="{D5CDD505-2E9C-101B-9397-08002B2CF9AE}" pid="16" name="MSIP_Label_a518e53f-798e-43aa-978d-c3fda1f3a682_Enabled">
    <vt:lpwstr>true</vt:lpwstr>
  </property>
  <property fmtid="{D5CDD505-2E9C-101B-9397-08002B2CF9AE}" pid="17" name="MSIP_Label_a518e53f-798e-43aa-978d-c3fda1f3a682_SetDate">
    <vt:lpwstr>2026-06-17T07:19:18Z</vt:lpwstr>
  </property>
  <property fmtid="{D5CDD505-2E9C-101B-9397-08002B2CF9AE}" pid="18" name="MSIP_Label_a518e53f-798e-43aa-978d-c3fda1f3a682_Method">
    <vt:lpwstr>Privileged</vt:lpwstr>
  </property>
  <property fmtid="{D5CDD505-2E9C-101B-9397-08002B2CF9AE}" pid="19" name="MSIP_Label_a518e53f-798e-43aa-978d-c3fda1f3a682_Name">
    <vt:lpwstr>PG - Internal Use</vt:lpwstr>
  </property>
  <property fmtid="{D5CDD505-2E9C-101B-9397-08002B2CF9AE}" pid="20" name="MSIP_Label_a518e53f-798e-43aa-978d-c3fda1f3a682_SiteId">
    <vt:lpwstr>3596192b-fdf5-4e2c-a6fa-acb706c963d8</vt:lpwstr>
  </property>
  <property fmtid="{D5CDD505-2E9C-101B-9397-08002B2CF9AE}" pid="21" name="MSIP_Label_a518e53f-798e-43aa-978d-c3fda1f3a682_ActionId">
    <vt:lpwstr>14291268-bb2b-424a-896f-7668f43a7494</vt:lpwstr>
  </property>
  <property fmtid="{D5CDD505-2E9C-101B-9397-08002B2CF9AE}" pid="22" name="MSIP_Label_a518e53f-798e-43aa-978d-c3fda1f3a682_ContentBits">
    <vt:lpwstr>1</vt:lpwstr>
  </property>
  <property fmtid="{D5CDD505-2E9C-101B-9397-08002B2CF9AE}" pid="23" name="MSIP_Label_a518e53f-798e-43aa-978d-c3fda1f3a682_Tag">
    <vt:lpwstr>10, 0, 1, 1</vt:lpwstr>
  </property>
</Properties>
</file>