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CAD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华文中宋" w:hAnsi="华文中宋" w:eastAsia="华文中宋" w:cs="华文中宋"/>
          <w:b w:val="0"/>
          <w:bCs/>
          <w:kern w:val="44"/>
          <w:sz w:val="40"/>
          <w:szCs w:val="22"/>
          <w14:ligatures w14:val="none"/>
        </w:rPr>
      </w:pPr>
      <w:bookmarkStart w:id="0" w:name="_Hlk199234296"/>
      <w:r>
        <w:rPr>
          <w:rFonts w:hint="eastAsia" w:ascii="华文中宋" w:hAnsi="华文中宋" w:eastAsia="华文中宋" w:cs="华文中宋"/>
          <w:b w:val="0"/>
          <w:bCs/>
          <w:kern w:val="44"/>
          <w:sz w:val="40"/>
          <w:szCs w:val="22"/>
          <w14:ligatures w14:val="none"/>
        </w:rPr>
        <w:t>《化妆品安全评估师职业能力要求》</w:t>
      </w:r>
      <w:bookmarkEnd w:id="0"/>
    </w:p>
    <w:p w14:paraId="227839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华文中宋" w:hAnsi="华文中宋" w:eastAsia="华文中宋" w:cs="华文中宋"/>
          <w:b w:val="0"/>
          <w:bCs/>
          <w:kern w:val="44"/>
          <w:sz w:val="40"/>
          <w:szCs w:val="22"/>
          <w14:ligatures w14:val="none"/>
        </w:rPr>
      </w:pPr>
      <w:r>
        <w:rPr>
          <w:rFonts w:hint="eastAsia" w:ascii="华文中宋" w:hAnsi="华文中宋" w:eastAsia="华文中宋" w:cs="华文中宋"/>
          <w:b w:val="0"/>
          <w:bCs/>
          <w:kern w:val="44"/>
          <w:sz w:val="40"/>
          <w:szCs w:val="22"/>
          <w14:ligatures w14:val="none"/>
        </w:rPr>
        <w:t>团体标准编</w:t>
      </w:r>
      <w:bookmarkStart w:id="1" w:name="_GoBack"/>
      <w:bookmarkEnd w:id="1"/>
      <w:r>
        <w:rPr>
          <w:rFonts w:hint="eastAsia" w:ascii="华文中宋" w:hAnsi="华文中宋" w:eastAsia="华文中宋" w:cs="华文中宋"/>
          <w:b w:val="0"/>
          <w:bCs/>
          <w:kern w:val="44"/>
          <w:sz w:val="40"/>
          <w:szCs w:val="22"/>
          <w14:ligatures w14:val="none"/>
        </w:rPr>
        <w:t>制说明</w:t>
      </w:r>
    </w:p>
    <w:p w14:paraId="7946BC1B">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黑体" w:hAnsi="黑体" w:eastAsia="黑体" w:cs="黑体"/>
          <w:b w:val="0"/>
          <w:bCs/>
        </w:rPr>
      </w:pPr>
      <w:r>
        <w:rPr>
          <w:rFonts w:hint="eastAsia" w:ascii="黑体" w:hAnsi="黑体" w:eastAsia="黑体" w:cs="黑体"/>
          <w:b w:val="0"/>
          <w:bCs/>
        </w:rPr>
        <w:t>一、工作简况</w:t>
      </w:r>
    </w:p>
    <w:p w14:paraId="47EE9B77">
      <w:pPr>
        <w:pStyle w:val="3"/>
        <w:pageBreakBefore w:val="0"/>
        <w:widowControl w:val="0"/>
        <w:kinsoku/>
        <w:wordWrap/>
        <w:overflowPunct/>
        <w:topLinePunct w:val="0"/>
        <w:autoSpaceDE/>
        <w:autoSpaceDN/>
        <w:bidi w:val="0"/>
        <w:adjustRightInd/>
        <w:snapToGrid/>
        <w:spacing w:before="0" w:after="0"/>
        <w:ind w:firstLine="422" w:firstLineChars="200"/>
        <w:textAlignment w:val="auto"/>
        <w:rPr>
          <w:rFonts w:ascii="Times New Roman" w:hAnsi="Times New Roman" w:eastAsia="仿宋" w:cstheme="minorBidi"/>
          <w:b/>
          <w:bCs/>
          <w:kern w:val="2"/>
          <w:sz w:val="21"/>
          <w:szCs w:val="21"/>
          <w:lang w:val="en-US" w:eastAsia="zh-CN" w:bidi="ar-SA"/>
          <w14:ligatures w14:val="standardContextual"/>
        </w:rPr>
      </w:pPr>
      <w:r>
        <w:rPr>
          <w:rFonts w:hint="eastAsia" w:ascii="Times New Roman" w:hAnsi="Times New Roman" w:eastAsia="仿宋" w:cstheme="minorBidi"/>
          <w:b/>
          <w:bCs/>
          <w:kern w:val="2"/>
          <w:sz w:val="21"/>
          <w:szCs w:val="21"/>
          <w:lang w:val="en-US" w:eastAsia="zh-CN" w:bidi="ar-SA"/>
          <w14:ligatures w14:val="standardContextual"/>
        </w:rPr>
        <w:t>主要工作过程</w:t>
      </w:r>
    </w:p>
    <w:p w14:paraId="27CEF215">
      <w:pPr>
        <w:ind w:firstLine="420"/>
        <w:rPr>
          <w:szCs w:val="21"/>
        </w:rPr>
      </w:pPr>
      <w:r>
        <w:rPr>
          <w:rFonts w:hint="eastAsia"/>
          <w:szCs w:val="21"/>
        </w:rPr>
        <w:t>2025年12月，</w:t>
      </w:r>
      <w:r>
        <w:rPr>
          <w:szCs w:val="21"/>
        </w:rPr>
        <w:t>中国香料香精化妆品工业协会</w:t>
      </w:r>
      <w:r>
        <w:rPr>
          <w:rFonts w:hint="eastAsia"/>
          <w:szCs w:val="21"/>
        </w:rPr>
        <w:t>人才建设专业委员会提出编制《化妆品安全评估师职业能力要求》团体标准计划，列入2026年度协会人才培养重点工作之一。</w:t>
      </w:r>
    </w:p>
    <w:p w14:paraId="4929DEE7">
      <w:pPr>
        <w:ind w:firstLine="420"/>
        <w:rPr>
          <w:szCs w:val="21"/>
        </w:rPr>
      </w:pPr>
      <w:r>
        <w:rPr>
          <w:rFonts w:hint="eastAsia"/>
          <w:szCs w:val="21"/>
        </w:rPr>
        <w:t>2026年1月—4月，开展团体标准相关调研，明确标准编制的基本思路和计划进度，形成立项提案基础材料，推动标准立项。</w:t>
      </w:r>
    </w:p>
    <w:p w14:paraId="66592480">
      <w:pPr>
        <w:ind w:firstLine="420"/>
        <w:rPr>
          <w:szCs w:val="21"/>
        </w:rPr>
      </w:pPr>
      <w:r>
        <w:rPr>
          <w:rFonts w:hint="eastAsia"/>
          <w:szCs w:val="21"/>
        </w:rPr>
        <w:t>2026年5月，北京工商大学和中国药科大学向中国香料香精化妆品工业协会提出《化妆品安全评估师职业能力要求》团体标准立项提案。</w:t>
      </w:r>
    </w:p>
    <w:p w14:paraId="04DA2183">
      <w:pPr>
        <w:ind w:firstLine="420"/>
        <w:rPr>
          <w:szCs w:val="21"/>
        </w:rPr>
      </w:pPr>
      <w:r>
        <w:rPr>
          <w:rFonts w:hint="eastAsia"/>
          <w:szCs w:val="21"/>
        </w:rPr>
        <w:t>2026年6月11日，经中国香料香精化妆品工业协会初审并征求行业专家立项论证和审核，《化妆品安全评估师职业能力要求》团体标准正式获批立项，并在协会官方网站进行了为期15日的公示。</w:t>
      </w:r>
    </w:p>
    <w:p w14:paraId="3F445E5B">
      <w:pPr>
        <w:ind w:firstLine="420"/>
        <w:rPr>
          <w:szCs w:val="21"/>
        </w:rPr>
      </w:pPr>
      <w:r>
        <w:rPr>
          <w:rFonts w:hint="eastAsia"/>
          <w:szCs w:val="21"/>
        </w:rPr>
        <w:t>2026年7月9日，组织召开《化妆品安全评估师职业能力要求》团体标准启动会暨草案研讨会，阐明了本团体标准制定的重要意义，确定了标准编制的定位、文本框架、编写原则、核心内容以及工作安排。</w:t>
      </w:r>
    </w:p>
    <w:p w14:paraId="3CE492A4">
      <w:pPr>
        <w:ind w:firstLine="420"/>
        <w:rPr>
          <w:szCs w:val="21"/>
        </w:rPr>
      </w:pPr>
      <w:r>
        <w:rPr>
          <w:rFonts w:hint="eastAsia"/>
          <w:szCs w:val="21"/>
        </w:rPr>
        <w:t>2026年7月10日—1</w:t>
      </w:r>
      <w:r>
        <w:rPr>
          <w:rFonts w:hint="eastAsia"/>
          <w:szCs w:val="21"/>
          <w:lang w:val="en-US" w:eastAsia="zh-CN"/>
        </w:rPr>
        <w:t>5</w:t>
      </w:r>
      <w:r>
        <w:rPr>
          <w:rFonts w:hint="eastAsia"/>
          <w:szCs w:val="21"/>
        </w:rPr>
        <w:t>日，起草组根据启动会暨草案研讨会专家意见，进一步修改完善标准文本，形成标准征求意见稿。</w:t>
      </w:r>
    </w:p>
    <w:p w14:paraId="27DA5F4B">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黑体" w:hAnsi="黑体" w:eastAsia="黑体" w:cs="黑体"/>
          <w:b w:val="0"/>
          <w:bCs/>
        </w:rPr>
      </w:pPr>
      <w:r>
        <w:rPr>
          <w:rFonts w:hint="eastAsia" w:ascii="黑体" w:hAnsi="黑体" w:eastAsia="黑体" w:cs="黑体"/>
          <w:b w:val="0"/>
          <w:bCs/>
        </w:rPr>
        <w:t>二、与我国有关法律法规和其他标准的关系</w:t>
      </w:r>
    </w:p>
    <w:p w14:paraId="7F867F2F">
      <w:pPr>
        <w:ind w:firstLine="420"/>
        <w:rPr>
          <w:szCs w:val="21"/>
        </w:rPr>
      </w:pPr>
      <w:r>
        <w:rPr>
          <w:rFonts w:hint="eastAsia"/>
          <w:szCs w:val="21"/>
        </w:rPr>
        <w:t>化妆品安全评估是保障产品上市安全、维护消费者健康权益的核心环节。当前，全球化妆品监管科学加速演进，安全评估方法已由依赖动物试验转向基于新途径方法的风险评估模式。我国自《化妆品监督管理条例》实施以来，以法规形式确立了安全评估在注册备案前的法定地位，并对从业人员资质作出明确要求。</w:t>
      </w:r>
    </w:p>
    <w:p w14:paraId="65CA1E17">
      <w:pPr>
        <w:ind w:firstLine="420"/>
        <w:rPr>
          <w:szCs w:val="21"/>
        </w:rPr>
      </w:pPr>
      <w:r>
        <w:rPr>
          <w:rFonts w:hint="eastAsia"/>
          <w:szCs w:val="21"/>
        </w:rPr>
        <w:t>《化妆品监督管理条例》第二十一条明确规定：“化妆品新原料和化妆品注册、备案前，注册申请人、备案人应当自行或者委托专业机构开展安全评估。从事安全评估的人员应当具备化妆品质量安全相关专业知识，并具有5年以上相关专业从业经历。”</w:t>
      </w:r>
    </w:p>
    <w:p w14:paraId="644FD51B">
      <w:pPr>
        <w:ind w:firstLine="420"/>
        <w:rPr>
          <w:rFonts w:hint="eastAsia"/>
          <w:szCs w:val="21"/>
        </w:rPr>
      </w:pPr>
      <w:r>
        <w:rPr>
          <w:rFonts w:hint="eastAsia"/>
          <w:szCs w:val="21"/>
        </w:rPr>
        <w:t>《化妆品安全评估技术导则》（2021年版）对安全评估人员的能力要求作出了进一步细化，</w:t>
      </w:r>
      <w:r>
        <w:rPr>
          <w:rFonts w:hint="eastAsia" w:eastAsia="仿宋"/>
          <w:szCs w:val="21"/>
        </w:rPr>
        <w:t>化妆品安全评估人员应符合以下要求：</w:t>
      </w:r>
      <w:r>
        <w:rPr>
          <w:rFonts w:hint="eastAsia"/>
          <w:szCs w:val="21"/>
          <w:lang w:eastAsia="zh-CN"/>
        </w:rPr>
        <w:t>“</w:t>
      </w:r>
      <w:r>
        <w:rPr>
          <w:rFonts w:hint="eastAsia"/>
          <w:szCs w:val="21"/>
        </w:rPr>
        <w:t>具有医学、药学、生物学、化学或毒理学等化妆品质量安全相关专业知识，了解化妆品成品或原料生产过程和质量安全控制要求，并具有5年以上相关专业从业经历</w:t>
      </w:r>
      <w:r>
        <w:rPr>
          <w:rFonts w:hint="eastAsia"/>
          <w:i w:val="0"/>
          <w:iCs w:val="0"/>
          <w:szCs w:val="21"/>
          <w:lang w:eastAsia="zh-CN"/>
        </w:rPr>
        <w:t>；</w:t>
      </w:r>
      <w:r>
        <w:rPr>
          <w:rFonts w:hint="eastAsia"/>
          <w:szCs w:val="21"/>
        </w:rPr>
        <w:t>能查阅和分析化学、毒理学等相关文献信息，分析、评估和解释相关数据</w:t>
      </w:r>
      <w:r>
        <w:rPr>
          <w:rFonts w:hint="eastAsia"/>
          <w:i w:val="0"/>
          <w:iCs w:val="0"/>
          <w:szCs w:val="21"/>
          <w:lang w:eastAsia="zh-CN"/>
        </w:rPr>
        <w:t>；</w:t>
      </w:r>
      <w:r>
        <w:rPr>
          <w:rFonts w:hint="eastAsia"/>
          <w:szCs w:val="21"/>
        </w:rPr>
        <w:t>能公平、客观地分析化妆品的安全性，在全面分析所有可获得的数据和暴露条件的基础上，开展安全评估工作，并对评估报告的科学性、准确性、真实性和可靠性负责</w:t>
      </w:r>
      <w:r>
        <w:rPr>
          <w:rFonts w:hint="eastAsia"/>
          <w:i w:val="0"/>
          <w:iCs w:val="0"/>
          <w:szCs w:val="21"/>
          <w:lang w:eastAsia="zh-CN"/>
        </w:rPr>
        <w:t>；</w:t>
      </w:r>
      <w:r>
        <w:rPr>
          <w:rFonts w:hint="eastAsia"/>
          <w:szCs w:val="21"/>
        </w:rPr>
        <w:t>能通过定期接受相应的专业培训等方式，学习安全评估的相关知识，了解和掌握新的安全评估理论、技术和方法，并用于实践。</w:t>
      </w:r>
      <w:r>
        <w:rPr>
          <w:rFonts w:hint="eastAsia"/>
          <w:szCs w:val="21"/>
          <w:lang w:eastAsia="zh-CN"/>
        </w:rPr>
        <w:t>”</w:t>
      </w:r>
    </w:p>
    <w:p w14:paraId="75A04F7B">
      <w:pPr>
        <w:ind w:firstLine="420"/>
        <w:rPr>
          <w:szCs w:val="21"/>
        </w:rPr>
      </w:pPr>
      <w:r>
        <w:rPr>
          <w:rFonts w:hint="eastAsia"/>
          <w:szCs w:val="21"/>
        </w:rPr>
        <w:t>上述条款构成了现行法规和技术文件对化妆品安全评估人员的完整要求体系：《化妆品监督管理条例》确立了安全评估的法定前置地位和从业年限门槛，《化妆品安全评估技术导则》（2021年版）在此基础上进一步明确了评估人员的专业背景、文献数据能力、评估工作能力、持续学习能力等具体要求，并对评估报告出具和人员简历附件作出了程序性规定。然而，上述法规和技术文件侧重于规范“评估行为”与“评估报告”，尚未建立针对评估人员职业能力的系统评价标准。当前，国家标准与行业标准中亦无专门针对化妆品安全评估职业的评价规范。</w:t>
      </w:r>
    </w:p>
    <w:p w14:paraId="2216281B">
      <w:pPr>
        <w:ind w:firstLine="420"/>
        <w:rPr>
          <w:szCs w:val="21"/>
        </w:rPr>
      </w:pPr>
      <w:r>
        <w:rPr>
          <w:rFonts w:hint="eastAsia"/>
          <w:szCs w:val="21"/>
        </w:rPr>
        <w:t>本文件以《化妆品监督管理条例》的法定要求为根本遵循，以《化妆品安全评估技术导则》（2021年版）的能力要求为基准，进一步将“具有相应能力”这一原则性规定细化为三个职业等级（三级/助理化妆品安全评估师、二级/化妆品安全评估师、一级/高级化妆品安全评估师）的具体能力标准，明确各等级在申报条件、知识结构、技能要求和能力水平上的递进关系，为行业培养、评价和管理安全评估人员提供可操作的标准依据。</w:t>
      </w:r>
    </w:p>
    <w:p w14:paraId="470D688D">
      <w:pPr>
        <w:ind w:firstLine="420"/>
        <w:rPr>
          <w:szCs w:val="21"/>
        </w:rPr>
      </w:pPr>
      <w:r>
        <w:rPr>
          <w:rFonts w:hint="eastAsia"/>
          <w:szCs w:val="21"/>
        </w:rPr>
        <w:t>本文件与现行法规技术文件形成“法定要求—能力标准”的互补关系，在保持与上位法规协调一致的基础上，填补了化妆品安全评估人员职业能力评价领域的标准空白。</w:t>
      </w:r>
    </w:p>
    <w:p w14:paraId="6870D3C5">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黑体" w:hAnsi="黑体" w:eastAsia="黑体" w:cs="黑体"/>
          <w:b w:val="0"/>
          <w:bCs/>
        </w:rPr>
      </w:pPr>
      <w:r>
        <w:rPr>
          <w:rFonts w:hint="eastAsia" w:ascii="黑体" w:hAnsi="黑体" w:eastAsia="黑体" w:cs="黑体"/>
          <w:b w:val="0"/>
          <w:bCs/>
        </w:rPr>
        <w:t>三、国外有关法律、法规和标准情况的说明</w:t>
      </w:r>
    </w:p>
    <w:p w14:paraId="4B7911A5">
      <w:pPr>
        <w:ind w:firstLine="420"/>
        <w:rPr>
          <w:szCs w:val="21"/>
        </w:rPr>
      </w:pPr>
      <w:r>
        <w:rPr>
          <w:rFonts w:hint="eastAsia"/>
          <w:szCs w:val="21"/>
        </w:rPr>
        <w:t>本项目检索并查阅了国外化妆品安全评估人员相关的法规、标准及技术文件：</w:t>
      </w:r>
    </w:p>
    <w:p w14:paraId="7EA6C20D">
      <w:pPr>
        <w:ind w:firstLine="420"/>
        <w:rPr>
          <w:szCs w:val="21"/>
        </w:rPr>
      </w:pPr>
      <w:r>
        <w:rPr>
          <w:rFonts w:hint="eastAsia"/>
          <w:szCs w:val="21"/>
        </w:rPr>
        <w:t>欧盟《化妆品法规》第10条规定，化妆品投放欧洲市场前须通过安全性评估，并按附录I要求编制化妆品产品安全报告（CPSR），该报告是产品信息档案（PIF）的核心组成部分。第10条第2款进一步要求，执行安全评估的人员须持有大学文凭或其他正式资格证明，证明其已完成药学、毒理学、医学或类似学科的理论与实践课程。安全评估报告须由具备资质的评估人员签字，其姓名和地址须列于报告中，资质证明（文凭副本及等效性证明）须一并提交。但上述法规及指南均未对人员等级划分和具体技能评价作出系统规定。</w:t>
      </w:r>
    </w:p>
    <w:p w14:paraId="5E6F6821">
      <w:pPr>
        <w:ind w:firstLine="420"/>
        <w:rPr>
          <w:szCs w:val="21"/>
        </w:rPr>
      </w:pPr>
      <w:r>
        <w:rPr>
          <w:rFonts w:hint="eastAsia"/>
          <w:szCs w:val="21"/>
        </w:rPr>
        <w:t>美国《化妆品监管现代化法案》（MoCRA）首次要求在美国销售的化妆品须具备“充分的安全性证明”，定义为“经具备科学培训和经验的专家认为足以支持产品安全合理确定性的测试、研究、分析或其他证据”。MoCRA未统一规定安评人员具体资质条件，但企业普遍聘用拥有毒理学、药学或化学硕士/博士学位且具多年消费品毒理学评估经验的资深人员。</w:t>
      </w:r>
    </w:p>
    <w:p w14:paraId="72FA9A1E">
      <w:pPr>
        <w:ind w:firstLine="420"/>
        <w:rPr>
          <w:szCs w:val="21"/>
        </w:rPr>
      </w:pPr>
      <w:r>
        <w:rPr>
          <w:rFonts w:hint="eastAsia"/>
          <w:szCs w:val="21"/>
        </w:rPr>
        <w:t>东盟化妆品指令（ACD）要求化妆品上市前完成人体健康安全评估，涵盖成分、化学结构及暴露水平。在人员资质上，东盟指南明确规定安评人员应持有药学、毒理学、皮肤病学、医学或类似学科文凭，并经过适当培训，须具备公认的专业能力和职业道德，且不得参与产品商业活动。ACD同样未建立人员等级或职业评价标准。</w:t>
      </w:r>
    </w:p>
    <w:p w14:paraId="12F772D4">
      <w:pPr>
        <w:ind w:firstLine="420"/>
        <w:rPr>
          <w:szCs w:val="21"/>
        </w:rPr>
      </w:pPr>
      <w:r>
        <w:rPr>
          <w:rFonts w:hint="eastAsia"/>
          <w:szCs w:val="21"/>
        </w:rPr>
        <w:t>上述国外法规普遍认可安全评估对化妆品质量安全的重要性，且均对评估人员的专业背景提出了明确要求——以药学、毒理学、医学等相关学科为核心资质门槛，并通过行业协会认证和继续教育机制确保评估人员专业能力的持续提升。然而，各国监管体系、教育体制和行业生态存在差异，国际上尚未形成统一的化妆品安全评估师职业能力等级划分和系统性评价标准。本文件在充分借鉴欧盟、美国等成熟市场对评估人员资质要求及德国DGK/IKW等行业认证体系经验的基础上，结合我国化妆品行业人才队伍的实际情况与发展需求，建立了具有中国特色的化妆品安全评估师职业能力分级评价体系，填补了该领域标准化空白。</w:t>
      </w:r>
    </w:p>
    <w:p w14:paraId="39FCE14B">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黑体" w:hAnsi="黑体" w:eastAsia="黑体" w:cs="黑体"/>
          <w:b w:val="0"/>
          <w:bCs/>
        </w:rPr>
      </w:pPr>
      <w:r>
        <w:rPr>
          <w:rFonts w:hint="eastAsia" w:ascii="黑体" w:hAnsi="黑体" w:eastAsia="黑体" w:cs="黑体"/>
          <w:b w:val="0"/>
          <w:bCs/>
        </w:rPr>
        <w:t>四、标准的制（修）订与起草原则</w:t>
      </w:r>
    </w:p>
    <w:p w14:paraId="355BCF84">
      <w:pPr>
        <w:ind w:firstLine="420"/>
      </w:pPr>
      <w:r>
        <w:rPr>
          <w:rFonts w:hint="eastAsia"/>
        </w:rPr>
        <w:t>1.</w:t>
      </w:r>
      <w:r>
        <w:rPr>
          <w:rFonts w:hint="eastAsia"/>
          <w:lang w:val="en-US" w:eastAsia="zh-CN"/>
        </w:rPr>
        <w:t xml:space="preserve"> </w:t>
      </w:r>
      <w:r>
        <w:rPr>
          <w:rFonts w:hint="eastAsia"/>
        </w:rPr>
        <w:t>符合性原则</w:t>
      </w:r>
    </w:p>
    <w:p w14:paraId="1E34C98E">
      <w:pPr>
        <w:ind w:firstLine="420"/>
      </w:pPr>
      <w:r>
        <w:rPr>
          <w:rFonts w:hint="eastAsia"/>
        </w:rPr>
        <w:t>本文件的制定应符合国家有关团体标准的法律法规、行政规章的要求；应符合我国化妆品相关国家法律法规、国家标准、行业标准等要求，特别是《化妆品监督管理条例》及其配套规章对</w:t>
      </w:r>
      <w:r>
        <w:rPr>
          <w:rFonts w:hint="eastAsia"/>
          <w:lang w:val="en-US" w:eastAsia="zh-CN"/>
        </w:rPr>
        <w:t>化妆品</w:t>
      </w:r>
      <w:r>
        <w:rPr>
          <w:rFonts w:hint="eastAsia"/>
        </w:rPr>
        <w:t>安全评估人员资质的法定要求。</w:t>
      </w:r>
    </w:p>
    <w:p w14:paraId="6A2514D1">
      <w:pPr>
        <w:numPr>
          <w:ilvl w:val="0"/>
          <w:numId w:val="1"/>
        </w:numPr>
        <w:ind w:firstLine="420"/>
      </w:pPr>
      <w:r>
        <w:rPr>
          <w:rFonts w:hint="eastAsia"/>
        </w:rPr>
        <w:t>科学性与系统性原则</w:t>
      </w:r>
    </w:p>
    <w:p w14:paraId="2B9C73AA">
      <w:pPr>
        <w:ind w:firstLine="420"/>
      </w:pPr>
      <w:r>
        <w:rPr>
          <w:rFonts w:hint="eastAsia"/>
        </w:rPr>
        <w:t>以《化妆品安全评估技术导则》（2021年版）规定的“危害识别、剂量反应关系评估、暴露评估、风险特征描述”四步法框架为科学基础，系统梳理安全评估人员在不同职业阶段应具备的知识结构、技能要求与能力水平。标准按照三级/助理化妆品安全评估师、二级/化妆品安全评估师、一级/高级化妆品安全评估师三个等级依次递进设计，确保能力要求的逻辑性与递进性。</w:t>
      </w:r>
    </w:p>
    <w:p w14:paraId="2C0DFD27">
      <w:pPr>
        <w:numPr>
          <w:ilvl w:val="0"/>
          <w:numId w:val="2"/>
        </w:numPr>
        <w:ind w:firstLine="420"/>
      </w:pPr>
      <w:r>
        <w:rPr>
          <w:rFonts w:hint="eastAsia"/>
        </w:rPr>
        <w:t>实用性与可操作性原则</w:t>
      </w:r>
    </w:p>
    <w:p w14:paraId="2FB58415">
      <w:pPr>
        <w:ind w:firstLine="420"/>
      </w:pPr>
      <w:r>
        <w:rPr>
          <w:rFonts w:hint="eastAsia"/>
        </w:rPr>
        <w:t>聚焦行业实际需求，标准在起草过程中充分调研了化妆品生产企业、注册备案人、第三方专业机构等用人单位对安全评估人员的实际能力要求。在评价方式上，明确了理论知识考试、能力考核与综合评审相结合的评价体系，并规定了考评人员配比、评价时长、评价场所等具体操作要求，确保标准可直接用于人才培养、岗位考核与人才评价。</w:t>
      </w:r>
    </w:p>
    <w:p w14:paraId="6198D4F8">
      <w:pPr>
        <w:numPr>
          <w:ilvl w:val="0"/>
          <w:numId w:val="3"/>
        </w:numPr>
        <w:ind w:firstLine="420"/>
      </w:pPr>
      <w:r>
        <w:rPr>
          <w:rFonts w:hint="eastAsia"/>
        </w:rPr>
        <w:t>前瞻性与开放性原则</w:t>
      </w:r>
    </w:p>
    <w:p w14:paraId="3F2F28E7">
      <w:pPr>
        <w:ind w:firstLine="420"/>
      </w:pPr>
      <w:r>
        <w:rPr>
          <w:rFonts w:hint="eastAsia"/>
        </w:rPr>
        <w:t>充分考虑国内外化妆品安全评估技术发展趋势，将新途径方法、下一代风险评估、交叉参照、定量构效关系等前沿技术纳入高级别评估师的能力要求。标准保持对国际先进经验的开放态度，为未来与国际接轨预留空间。</w:t>
      </w:r>
    </w:p>
    <w:p w14:paraId="0F40F499">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黑体" w:hAnsi="黑体" w:eastAsia="黑体" w:cs="黑体"/>
          <w:b w:val="0"/>
          <w:bCs/>
        </w:rPr>
      </w:pPr>
      <w:r>
        <w:rPr>
          <w:rFonts w:hint="eastAsia" w:ascii="黑体" w:hAnsi="黑体" w:eastAsia="黑体" w:cs="黑体"/>
          <w:b w:val="0"/>
          <w:bCs/>
        </w:rPr>
        <w:t>五、确定各项技术内容的依据</w:t>
      </w:r>
    </w:p>
    <w:p w14:paraId="49F43A6B">
      <w:pPr>
        <w:ind w:firstLine="420" w:firstLineChars="200"/>
      </w:pPr>
      <w:r>
        <w:rPr>
          <w:rFonts w:hint="eastAsia"/>
          <w:lang w:val="en-US" w:eastAsia="zh-CN"/>
        </w:rPr>
        <w:t xml:space="preserve">1. </w:t>
      </w:r>
      <w:r>
        <w:rPr>
          <w:rFonts w:hint="eastAsia"/>
        </w:rPr>
        <w:t>职业等级划分依据</w:t>
      </w:r>
    </w:p>
    <w:p w14:paraId="3971F47C">
      <w:pPr>
        <w:ind w:firstLine="420"/>
      </w:pPr>
      <w:r>
        <w:rPr>
          <w:rFonts w:hint="eastAsia"/>
        </w:rPr>
        <w:t>本文件将化妆品安全评估师划分为三个等级——三级/助理化妆品安全评估师、二级/化妆品安全评估师、一级/高级化妆品安全评估师。等级划分的主要依据包括：</w:t>
      </w:r>
    </w:p>
    <w:p w14:paraId="63BD1C2D">
      <w:pPr>
        <w:ind w:firstLine="420"/>
      </w:pPr>
      <w:r>
        <w:rPr>
          <w:rFonts w:hint="eastAsia"/>
        </w:rPr>
        <w:t>（1）法规对从业年限的刚性要求。《化妆品监督管理条例》第二十一条明确规定，从事安全评估的人员应具有5年以上相关专业从业经历。这一法定门槛决定了三级人员（从业年限较短）与二级及以上人员（满足5年以上要求）在岗位职责与能力要求上存在本质差异。</w:t>
      </w:r>
    </w:p>
    <w:p w14:paraId="68EED019">
      <w:pPr>
        <w:ind w:firstLine="420"/>
      </w:pPr>
      <w:r>
        <w:rPr>
          <w:rFonts w:hint="eastAsia"/>
        </w:rPr>
        <w:t>（2）行业对人才梯队的实际需求。调研显示，化妆品企业、第三方专业机构、研究机构及监管机构等不同用人单位对安全评估人员的经验层次、专业深度和综合能力有差异化需求。三级定位为入门级，侧重基础数据检索、整理与报告校对；二级定位为骨干级，具备独立撰写安全评估报告和技术审核能力；一级定位为专家级，具备复杂原料评估、体系建设和前沿方法应用能力。</w:t>
      </w:r>
    </w:p>
    <w:p w14:paraId="2CB2428C">
      <w:pPr>
        <w:ind w:firstLine="420"/>
      </w:pPr>
      <w:r>
        <w:rPr>
          <w:rFonts w:hint="eastAsia"/>
        </w:rPr>
        <w:t>（3）国际通行的人才分级惯例。参照《国家职业标准编制技术规程》的职业等级设置惯例，结合欧盟等成熟市场对安全评估人员“初级—中级—高级”的梯队划分经验。</w:t>
      </w:r>
    </w:p>
    <w:p w14:paraId="4DAFCB2D">
      <w:pPr>
        <w:ind w:firstLine="420" w:firstLineChars="200"/>
      </w:pPr>
      <w:r>
        <w:rPr>
          <w:rFonts w:hint="eastAsia"/>
          <w:lang w:val="en-US" w:eastAsia="zh-CN"/>
        </w:rPr>
        <w:t xml:space="preserve">2. </w:t>
      </w:r>
      <w:r>
        <w:rPr>
          <w:rFonts w:hint="eastAsia"/>
        </w:rPr>
        <w:t>申报条件的设定依据</w:t>
      </w:r>
    </w:p>
    <w:p w14:paraId="6C1260C6">
      <w:pPr>
        <w:ind w:firstLine="420"/>
      </w:pPr>
      <w:r>
        <w:rPr>
          <w:rFonts w:hint="eastAsia"/>
        </w:rPr>
        <w:t>各级申报条件的设定综合考虑了学历背景、专业相关性、从业年限和职称等因素，既遵循法规对从业年限的渐进要求，也为高校相关专业毕业生进入行业预留了通道，同时与《化妆品安全评估技术导则》（2021年版）对评估人员专业背景的要求保持衔接。本文件规定的“本专业”是指化妆品科学与技术、化妆品技术与工程、化妆品工程技术、化妆品技术、化妆品质量与安全；“相关专业”是指医学、药学、生物学、化学或毒理学等化妆品质量安全相关专业，这一界定与《化妆品安全评估技术导则》（2021年版）保持一致，确保了申报条件在专业门槛上的科学性和可操作性。</w:t>
      </w:r>
    </w:p>
    <w:p w14:paraId="18178D8F">
      <w:pPr>
        <w:numPr>
          <w:ilvl w:val="0"/>
          <w:numId w:val="4"/>
        </w:numPr>
        <w:ind w:firstLine="420" w:firstLineChars="200"/>
      </w:pPr>
      <w:r>
        <w:rPr>
          <w:rFonts w:hint="eastAsia"/>
        </w:rPr>
        <w:t>职业能力要求的设定依据</w:t>
      </w:r>
    </w:p>
    <w:p w14:paraId="5A9E63B7">
      <w:pPr>
        <w:ind w:firstLine="420"/>
      </w:pPr>
      <w:r>
        <w:rPr>
          <w:rFonts w:hint="eastAsia"/>
        </w:rPr>
        <w:t>各级职业能力要求按照“职业功能—工作内容—能力要求—相关知识要求”四维结构进行设计。核心依据包括：</w:t>
      </w:r>
    </w:p>
    <w:p w14:paraId="0964493D">
      <w:pPr>
        <w:ind w:firstLine="420"/>
      </w:pPr>
      <w:r>
        <w:rPr>
          <w:rFonts w:hint="eastAsia"/>
        </w:rPr>
        <w:t>（1）《化妆品安全评估技术导则》（2021年版）规定的评估流程。危害识别、剂量反应关系评估、暴露评估、风险特征描述构成安全评估的四大核心步骤。各级能力要求围绕这四大步骤的能力深度进行递进设计：三级侧重基础数据检索、整理与简单计算；二级侧重独立完成危害识别、剂量反应评估、暴露评估和风险特征描述，并具备报告撰写与技术审核能力；一级则要求具备复杂原料（纳米原料、天然来源原料、生物技术原料等）评估、证据权重分析、新途径方法应用等高级能力。</w:t>
      </w:r>
    </w:p>
    <w:p w14:paraId="675A4FE5">
      <w:pPr>
        <w:ind w:firstLine="420"/>
      </w:pPr>
      <w:r>
        <w:rPr>
          <w:rFonts w:hint="eastAsia"/>
        </w:rPr>
        <w:t>（2）行业实际岗位需求调研。起草过程中广泛调研了化妆品生产企业、注册备案人、第三方专业机构等用人单位对安全评估人员的实际能力需求。调研表明，用人单位对三级人员的核心需求是数据检索与基础整理能力；对二级人员的核心需求是独立撰写安评报告与技术审核能力；对一级人员的核心需求是复杂评估、体系建设和前沿技术应用能力。</w:t>
      </w:r>
    </w:p>
    <w:p w14:paraId="0EB800E0">
      <w:pPr>
        <w:ind w:firstLine="420" w:firstLineChars="200"/>
      </w:pPr>
      <w:r>
        <w:rPr>
          <w:rFonts w:hint="eastAsia"/>
          <w:lang w:val="en-US" w:eastAsia="zh-CN"/>
        </w:rPr>
        <w:t xml:space="preserve">4. </w:t>
      </w:r>
      <w:r>
        <w:rPr>
          <w:rFonts w:hint="eastAsia"/>
        </w:rPr>
        <w:t>评价方式的设定依据</w:t>
      </w:r>
    </w:p>
    <w:p w14:paraId="44064E71">
      <w:pPr>
        <w:ind w:firstLine="420"/>
      </w:pPr>
      <w:r>
        <w:rPr>
          <w:rFonts w:hint="eastAsia"/>
        </w:rPr>
        <w:t>本文件规定理论知识考试、能力考核和综合评审三种评价方式。理论知识考试采用闭卷方式，主要考核从业人员应掌握的基本要求和相关知识；能力考核采用现场操作或模拟操作方式，考核实际业务能力；综合评审针对二级和一级人员，采取审阅申报材料、答辩等方式进行全面评议。三种评价方式均实行百分制，60分及以上为合格。这一设计参照了《国家职业标准编制技术规程》对职业技能等级评价的通用要求，确保评价的科学性、公正性和可操作性。</w:t>
      </w:r>
    </w:p>
    <w:p w14:paraId="40FC2050">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黑体" w:hAnsi="黑体" w:eastAsia="黑体" w:cs="黑体"/>
          <w:b w:val="0"/>
          <w:bCs/>
        </w:rPr>
      </w:pPr>
      <w:r>
        <w:rPr>
          <w:rFonts w:hint="eastAsia" w:ascii="黑体" w:hAnsi="黑体" w:eastAsia="黑体" w:cs="黑体"/>
          <w:b w:val="0"/>
          <w:bCs/>
        </w:rPr>
        <w:t>六、征求意见的采纳情况（《征求意见汇总处理表》、重大意见分歧的处理结果和依据）</w:t>
      </w:r>
    </w:p>
    <w:p w14:paraId="2370800B">
      <w:pPr>
        <w:tabs>
          <w:tab w:val="left" w:pos="4200"/>
        </w:tabs>
        <w:ind w:firstLine="420"/>
      </w:pPr>
      <w:r>
        <w:rPr>
          <w:rFonts w:hint="eastAsia"/>
        </w:rPr>
        <w:t>无</w:t>
      </w:r>
    </w:p>
    <w:p w14:paraId="2DECFDD0">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黑体" w:hAnsi="黑体" w:eastAsia="黑体" w:cs="黑体"/>
          <w:b w:val="0"/>
          <w:bCs/>
        </w:rPr>
      </w:pPr>
      <w:r>
        <w:rPr>
          <w:rFonts w:hint="eastAsia" w:ascii="黑体" w:hAnsi="黑体" w:eastAsia="黑体" w:cs="黑体"/>
          <w:b w:val="0"/>
          <w:bCs/>
        </w:rPr>
        <w:t>七、标准实施日期和实施建议</w:t>
      </w:r>
    </w:p>
    <w:p w14:paraId="77D1E9E7">
      <w:pPr>
        <w:ind w:firstLine="420"/>
      </w:pPr>
      <w:r>
        <w:rPr>
          <w:rFonts w:hint="eastAsia"/>
        </w:rPr>
        <w:t>无</w:t>
      </w:r>
    </w:p>
    <w:p w14:paraId="4B073ED9">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黑体" w:hAnsi="黑体" w:eastAsia="黑体" w:cs="黑体"/>
          <w:b w:val="0"/>
          <w:bCs/>
        </w:rPr>
      </w:pPr>
      <w:r>
        <w:rPr>
          <w:rFonts w:hint="eastAsia" w:ascii="黑体" w:hAnsi="黑体" w:eastAsia="黑体" w:cs="黑体"/>
          <w:b w:val="0"/>
          <w:bCs/>
        </w:rPr>
        <w:t>八、其他需要说明的事项（含涉及专利情况说明）</w:t>
      </w:r>
    </w:p>
    <w:p w14:paraId="7002F574">
      <w:pPr>
        <w:ind w:firstLine="420"/>
      </w:pPr>
      <w:r>
        <w:rPr>
          <w:rFonts w:hint="eastAsia"/>
        </w:rPr>
        <w:t>无</w:t>
      </w:r>
    </w:p>
    <w:p w14:paraId="3C8F4F30">
      <w:pPr>
        <w:ind w:firstLine="420"/>
      </w:pPr>
    </w:p>
    <w:p w14:paraId="60DDBB94">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DC024">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86146">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B0EC">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2F85">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2CB30">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60A89">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BD17E"/>
    <w:multiLevelType w:val="singleLevel"/>
    <w:tmpl w:val="8FABD17E"/>
    <w:lvl w:ilvl="0" w:tentative="0">
      <w:start w:val="3"/>
      <w:numFmt w:val="decimal"/>
      <w:suff w:val="space"/>
      <w:lvlText w:val="%1."/>
      <w:lvlJc w:val="left"/>
    </w:lvl>
  </w:abstractNum>
  <w:abstractNum w:abstractNumId="1">
    <w:nsid w:val="9A5FAB3C"/>
    <w:multiLevelType w:val="singleLevel"/>
    <w:tmpl w:val="9A5FAB3C"/>
    <w:lvl w:ilvl="0" w:tentative="0">
      <w:start w:val="2"/>
      <w:numFmt w:val="decimal"/>
      <w:suff w:val="space"/>
      <w:lvlText w:val="%1."/>
      <w:lvlJc w:val="left"/>
    </w:lvl>
  </w:abstractNum>
  <w:abstractNum w:abstractNumId="2">
    <w:nsid w:val="E5457677"/>
    <w:multiLevelType w:val="singleLevel"/>
    <w:tmpl w:val="E5457677"/>
    <w:lvl w:ilvl="0" w:tentative="0">
      <w:start w:val="3"/>
      <w:numFmt w:val="decimal"/>
      <w:suff w:val="space"/>
      <w:lvlText w:val="%1."/>
      <w:lvlJc w:val="left"/>
    </w:lvl>
  </w:abstractNum>
  <w:abstractNum w:abstractNumId="3">
    <w:nsid w:val="1DB87AFF"/>
    <w:multiLevelType w:val="singleLevel"/>
    <w:tmpl w:val="1DB87AFF"/>
    <w:lvl w:ilvl="0" w:tentative="0">
      <w:start w:val="4"/>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C2"/>
    <w:rsid w:val="00002DEB"/>
    <w:rsid w:val="000141C7"/>
    <w:rsid w:val="00015E02"/>
    <w:rsid w:val="000226F8"/>
    <w:rsid w:val="00027296"/>
    <w:rsid w:val="0006193B"/>
    <w:rsid w:val="000D50AF"/>
    <w:rsid w:val="000E0AD9"/>
    <w:rsid w:val="000E1000"/>
    <w:rsid w:val="000E246A"/>
    <w:rsid w:val="000F05C6"/>
    <w:rsid w:val="000F64F6"/>
    <w:rsid w:val="000F7BC7"/>
    <w:rsid w:val="00105ABC"/>
    <w:rsid w:val="00114211"/>
    <w:rsid w:val="0011778C"/>
    <w:rsid w:val="00146B3D"/>
    <w:rsid w:val="00156275"/>
    <w:rsid w:val="00166326"/>
    <w:rsid w:val="00171878"/>
    <w:rsid w:val="001723F4"/>
    <w:rsid w:val="00177FDC"/>
    <w:rsid w:val="00186524"/>
    <w:rsid w:val="00190A74"/>
    <w:rsid w:val="001A02DF"/>
    <w:rsid w:val="001A1C83"/>
    <w:rsid w:val="001E2320"/>
    <w:rsid w:val="001E4125"/>
    <w:rsid w:val="001F470C"/>
    <w:rsid w:val="001F4935"/>
    <w:rsid w:val="00205641"/>
    <w:rsid w:val="002060EA"/>
    <w:rsid w:val="002070F9"/>
    <w:rsid w:val="00213AC3"/>
    <w:rsid w:val="00213B1B"/>
    <w:rsid w:val="0022283D"/>
    <w:rsid w:val="00222E42"/>
    <w:rsid w:val="002418CC"/>
    <w:rsid w:val="00257B0E"/>
    <w:rsid w:val="002624B1"/>
    <w:rsid w:val="0029664D"/>
    <w:rsid w:val="002A0E85"/>
    <w:rsid w:val="002A471F"/>
    <w:rsid w:val="002B6E7F"/>
    <w:rsid w:val="002C457C"/>
    <w:rsid w:val="002D1632"/>
    <w:rsid w:val="002D2BA2"/>
    <w:rsid w:val="002D7FCC"/>
    <w:rsid w:val="002F604E"/>
    <w:rsid w:val="003069FC"/>
    <w:rsid w:val="0031059D"/>
    <w:rsid w:val="00313C08"/>
    <w:rsid w:val="00331CD7"/>
    <w:rsid w:val="003335B6"/>
    <w:rsid w:val="00335F2D"/>
    <w:rsid w:val="00347785"/>
    <w:rsid w:val="0036114A"/>
    <w:rsid w:val="00364EC2"/>
    <w:rsid w:val="003822E1"/>
    <w:rsid w:val="003A4514"/>
    <w:rsid w:val="003A7012"/>
    <w:rsid w:val="003A7557"/>
    <w:rsid w:val="003B64DD"/>
    <w:rsid w:val="003C0959"/>
    <w:rsid w:val="003C0F97"/>
    <w:rsid w:val="003E46BC"/>
    <w:rsid w:val="004012EC"/>
    <w:rsid w:val="00411C64"/>
    <w:rsid w:val="00431D54"/>
    <w:rsid w:val="00432029"/>
    <w:rsid w:val="00475594"/>
    <w:rsid w:val="00484641"/>
    <w:rsid w:val="00486EF2"/>
    <w:rsid w:val="004A3AE6"/>
    <w:rsid w:val="004C3934"/>
    <w:rsid w:val="004E666A"/>
    <w:rsid w:val="004E7974"/>
    <w:rsid w:val="004F5341"/>
    <w:rsid w:val="004F53FF"/>
    <w:rsid w:val="004F56BD"/>
    <w:rsid w:val="005131C0"/>
    <w:rsid w:val="0053031F"/>
    <w:rsid w:val="005361BF"/>
    <w:rsid w:val="0053628E"/>
    <w:rsid w:val="00567598"/>
    <w:rsid w:val="005733A1"/>
    <w:rsid w:val="005850BA"/>
    <w:rsid w:val="005860DA"/>
    <w:rsid w:val="00592954"/>
    <w:rsid w:val="005A65B9"/>
    <w:rsid w:val="005A7D23"/>
    <w:rsid w:val="005C19A4"/>
    <w:rsid w:val="005E6D5D"/>
    <w:rsid w:val="00605B4F"/>
    <w:rsid w:val="0060664E"/>
    <w:rsid w:val="00613718"/>
    <w:rsid w:val="006240C3"/>
    <w:rsid w:val="0063524C"/>
    <w:rsid w:val="00644541"/>
    <w:rsid w:val="006613AC"/>
    <w:rsid w:val="0066174C"/>
    <w:rsid w:val="00661F1F"/>
    <w:rsid w:val="006C2296"/>
    <w:rsid w:val="006E77FC"/>
    <w:rsid w:val="00713A89"/>
    <w:rsid w:val="00714B20"/>
    <w:rsid w:val="0072435E"/>
    <w:rsid w:val="007478B9"/>
    <w:rsid w:val="00761B3C"/>
    <w:rsid w:val="0076479F"/>
    <w:rsid w:val="00766C84"/>
    <w:rsid w:val="007802CA"/>
    <w:rsid w:val="00786D9D"/>
    <w:rsid w:val="007902E9"/>
    <w:rsid w:val="00794888"/>
    <w:rsid w:val="00810BCB"/>
    <w:rsid w:val="00824701"/>
    <w:rsid w:val="00831B33"/>
    <w:rsid w:val="00837641"/>
    <w:rsid w:val="00846C95"/>
    <w:rsid w:val="00857564"/>
    <w:rsid w:val="0086151C"/>
    <w:rsid w:val="00864B43"/>
    <w:rsid w:val="008721B8"/>
    <w:rsid w:val="00885F27"/>
    <w:rsid w:val="00887DCC"/>
    <w:rsid w:val="008A5A7D"/>
    <w:rsid w:val="008E0A32"/>
    <w:rsid w:val="008F24B9"/>
    <w:rsid w:val="0090325A"/>
    <w:rsid w:val="009336DB"/>
    <w:rsid w:val="00933E75"/>
    <w:rsid w:val="00954122"/>
    <w:rsid w:val="0095606F"/>
    <w:rsid w:val="009724F2"/>
    <w:rsid w:val="009776AC"/>
    <w:rsid w:val="00977E20"/>
    <w:rsid w:val="00983506"/>
    <w:rsid w:val="00993557"/>
    <w:rsid w:val="00997916"/>
    <w:rsid w:val="009A6BFC"/>
    <w:rsid w:val="009B28D7"/>
    <w:rsid w:val="009D309D"/>
    <w:rsid w:val="00A56449"/>
    <w:rsid w:val="00A67E6D"/>
    <w:rsid w:val="00A7123C"/>
    <w:rsid w:val="00A85CC1"/>
    <w:rsid w:val="00A872C7"/>
    <w:rsid w:val="00A918A7"/>
    <w:rsid w:val="00AA44AE"/>
    <w:rsid w:val="00AB2D52"/>
    <w:rsid w:val="00AC16FC"/>
    <w:rsid w:val="00AC1B1D"/>
    <w:rsid w:val="00AD08D1"/>
    <w:rsid w:val="00AD1E74"/>
    <w:rsid w:val="00AD51DC"/>
    <w:rsid w:val="00AF3FCD"/>
    <w:rsid w:val="00B0450B"/>
    <w:rsid w:val="00B06ECE"/>
    <w:rsid w:val="00B2622B"/>
    <w:rsid w:val="00B2719F"/>
    <w:rsid w:val="00B457B6"/>
    <w:rsid w:val="00B52203"/>
    <w:rsid w:val="00B608EF"/>
    <w:rsid w:val="00B61E4D"/>
    <w:rsid w:val="00B62817"/>
    <w:rsid w:val="00B70BBC"/>
    <w:rsid w:val="00B70CF6"/>
    <w:rsid w:val="00B80BA2"/>
    <w:rsid w:val="00BA13B6"/>
    <w:rsid w:val="00BB65E7"/>
    <w:rsid w:val="00BE140D"/>
    <w:rsid w:val="00BF6650"/>
    <w:rsid w:val="00C03342"/>
    <w:rsid w:val="00C034A3"/>
    <w:rsid w:val="00C2508C"/>
    <w:rsid w:val="00C269F9"/>
    <w:rsid w:val="00C31D07"/>
    <w:rsid w:val="00C40404"/>
    <w:rsid w:val="00C45FBD"/>
    <w:rsid w:val="00C611B5"/>
    <w:rsid w:val="00C615AA"/>
    <w:rsid w:val="00C61EDD"/>
    <w:rsid w:val="00C663BE"/>
    <w:rsid w:val="00C7057B"/>
    <w:rsid w:val="00C86985"/>
    <w:rsid w:val="00C9019B"/>
    <w:rsid w:val="00CA6D74"/>
    <w:rsid w:val="00CD053A"/>
    <w:rsid w:val="00CD35FA"/>
    <w:rsid w:val="00CE0C0C"/>
    <w:rsid w:val="00CF3002"/>
    <w:rsid w:val="00CF31AA"/>
    <w:rsid w:val="00D0247D"/>
    <w:rsid w:val="00D2024B"/>
    <w:rsid w:val="00D22172"/>
    <w:rsid w:val="00D263BE"/>
    <w:rsid w:val="00D31554"/>
    <w:rsid w:val="00D32221"/>
    <w:rsid w:val="00D35001"/>
    <w:rsid w:val="00D631FA"/>
    <w:rsid w:val="00D7195C"/>
    <w:rsid w:val="00D771F7"/>
    <w:rsid w:val="00D81E0C"/>
    <w:rsid w:val="00D91AD1"/>
    <w:rsid w:val="00D92BBD"/>
    <w:rsid w:val="00DA015F"/>
    <w:rsid w:val="00DC1835"/>
    <w:rsid w:val="00DC299A"/>
    <w:rsid w:val="00DC3101"/>
    <w:rsid w:val="00DF2897"/>
    <w:rsid w:val="00E029B0"/>
    <w:rsid w:val="00E05C71"/>
    <w:rsid w:val="00E20AE1"/>
    <w:rsid w:val="00E52109"/>
    <w:rsid w:val="00E62CCC"/>
    <w:rsid w:val="00E770D0"/>
    <w:rsid w:val="00EA3FDB"/>
    <w:rsid w:val="00EA5FA2"/>
    <w:rsid w:val="00EE3BA5"/>
    <w:rsid w:val="00EF18B1"/>
    <w:rsid w:val="00EF2B61"/>
    <w:rsid w:val="00F316C4"/>
    <w:rsid w:val="00F41E1F"/>
    <w:rsid w:val="00F44423"/>
    <w:rsid w:val="00F63AAC"/>
    <w:rsid w:val="00F65351"/>
    <w:rsid w:val="00F660F4"/>
    <w:rsid w:val="00F77C91"/>
    <w:rsid w:val="00F8767A"/>
    <w:rsid w:val="00F9717A"/>
    <w:rsid w:val="00FA0002"/>
    <w:rsid w:val="00FA14C2"/>
    <w:rsid w:val="00FE1A9B"/>
    <w:rsid w:val="00FF0CC4"/>
    <w:rsid w:val="0149099E"/>
    <w:rsid w:val="0F530405"/>
    <w:rsid w:val="11D51ACB"/>
    <w:rsid w:val="26D1397A"/>
    <w:rsid w:val="2D483DC1"/>
    <w:rsid w:val="2DFF7E04"/>
    <w:rsid w:val="2E402696"/>
    <w:rsid w:val="2FCC08C6"/>
    <w:rsid w:val="316E1720"/>
    <w:rsid w:val="32D853E7"/>
    <w:rsid w:val="39D42925"/>
    <w:rsid w:val="3B8740AB"/>
    <w:rsid w:val="4828582E"/>
    <w:rsid w:val="4F5543EF"/>
    <w:rsid w:val="583C182A"/>
    <w:rsid w:val="5AF56A87"/>
    <w:rsid w:val="5B1F3B0B"/>
    <w:rsid w:val="5D7076D0"/>
    <w:rsid w:val="6074044E"/>
    <w:rsid w:val="61314683"/>
    <w:rsid w:val="6BC66C7F"/>
    <w:rsid w:val="77C2634A"/>
    <w:rsid w:val="790B4D79"/>
    <w:rsid w:val="7E7E5570"/>
    <w:rsid w:val="7FC5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1"/>
      <w:szCs w:val="24"/>
      <w:lang w:val="en-US" w:eastAsia="zh-CN" w:bidi="ar-SA"/>
      <w14:ligatures w14:val="standardContextual"/>
    </w:rPr>
  </w:style>
  <w:style w:type="paragraph" w:styleId="2">
    <w:name w:val="heading 1"/>
    <w:basedOn w:val="1"/>
    <w:next w:val="1"/>
    <w:link w:val="23"/>
    <w:qFormat/>
    <w:uiPriority w:val="9"/>
    <w:pPr>
      <w:keepNext/>
      <w:keepLines/>
      <w:spacing w:before="100" w:after="90" w:line="576" w:lineRule="auto"/>
      <w:ind w:firstLine="0" w:firstLineChars="0"/>
      <w:jc w:val="left"/>
      <w:outlineLvl w:val="0"/>
    </w:pPr>
    <w:rPr>
      <w:rFonts w:eastAsia="宋体" w:asciiTheme="majorHAnsi" w:hAnsiTheme="majorHAnsi" w:cstheme="majorBidi"/>
      <w:b/>
      <w:sz w:val="24"/>
      <w:szCs w:val="48"/>
    </w:rPr>
  </w:style>
  <w:style w:type="paragraph" w:styleId="3">
    <w:name w:val="heading 2"/>
    <w:basedOn w:val="1"/>
    <w:next w:val="1"/>
    <w:link w:val="24"/>
    <w:unhideWhenUsed/>
    <w:qFormat/>
    <w:uiPriority w:val="9"/>
    <w:pPr>
      <w:spacing w:before="160" w:after="80"/>
      <w:ind w:firstLine="0" w:firstLineChars="0"/>
      <w:jc w:val="left"/>
      <w:outlineLvl w:val="1"/>
    </w:pPr>
    <w:rPr>
      <w:rFonts w:eastAsia="宋体" w:asciiTheme="majorHAnsi" w:hAnsiTheme="majorHAnsi" w:cstheme="majorBidi"/>
      <w:b/>
      <w:sz w:val="24"/>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semiHidden/>
    <w:unhideWhenUsed/>
    <w:qFormat/>
    <w:uiPriority w:val="99"/>
    <w:pPr>
      <w:jc w:val="left"/>
    </w:pPr>
  </w:style>
  <w:style w:type="paragraph" w:styleId="12">
    <w:name w:val="Date"/>
    <w:basedOn w:val="1"/>
    <w:next w:val="1"/>
    <w:link w:val="48"/>
    <w:semiHidden/>
    <w:unhideWhenUsed/>
    <w:qFormat/>
    <w:uiPriority w:val="99"/>
    <w:pPr>
      <w:ind w:left="100" w:leftChars="2500"/>
    </w:pPr>
  </w:style>
  <w:style w:type="paragraph" w:styleId="13">
    <w:name w:val="footer"/>
    <w:basedOn w:val="1"/>
    <w:link w:val="44"/>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43"/>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2"/>
    <w:semiHidden/>
    <w:unhideWhenUsed/>
    <w:qFormat/>
    <w:uiPriority w:val="99"/>
    <w:rPr>
      <w:b/>
      <w:bCs/>
    </w:rPr>
  </w:style>
  <w:style w:type="table" w:styleId="19">
    <w:name w:val="Table Grid"/>
    <w:basedOn w:val="1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Hyperlink"/>
    <w:basedOn w:val="20"/>
    <w:semiHidden/>
    <w:unhideWhenUsed/>
    <w:qFormat/>
    <w:uiPriority w:val="99"/>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标题 1 字符"/>
    <w:basedOn w:val="20"/>
    <w:link w:val="2"/>
    <w:qFormat/>
    <w:uiPriority w:val="9"/>
    <w:rPr>
      <w:rFonts w:eastAsia="宋体" w:asciiTheme="majorHAnsi" w:hAnsiTheme="majorHAnsi" w:cstheme="majorBidi"/>
      <w:b/>
      <w:sz w:val="24"/>
      <w:szCs w:val="48"/>
    </w:rPr>
  </w:style>
  <w:style w:type="character" w:customStyle="1" w:styleId="24">
    <w:name w:val="标题 2 字符"/>
    <w:basedOn w:val="20"/>
    <w:link w:val="3"/>
    <w:qFormat/>
    <w:uiPriority w:val="9"/>
    <w:rPr>
      <w:rFonts w:eastAsia="宋体" w:asciiTheme="majorHAnsi" w:hAnsiTheme="majorHAnsi" w:cstheme="majorBidi"/>
      <w:b/>
      <w:sz w:val="24"/>
      <w:szCs w:val="40"/>
    </w:rPr>
  </w:style>
  <w:style w:type="character" w:customStyle="1" w:styleId="25">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0"/>
    <w:link w:val="5"/>
    <w:semiHidden/>
    <w:qFormat/>
    <w:uiPriority w:val="9"/>
    <w:rPr>
      <w:rFonts w:cstheme="majorBidi"/>
      <w:color w:val="2F5597" w:themeColor="accent1" w:themeShade="BF"/>
      <w:sz w:val="28"/>
      <w:szCs w:val="28"/>
    </w:rPr>
  </w:style>
  <w:style w:type="character" w:customStyle="1" w:styleId="27">
    <w:name w:val="标题 5 字符"/>
    <w:basedOn w:val="20"/>
    <w:link w:val="6"/>
    <w:semiHidden/>
    <w:qFormat/>
    <w:uiPriority w:val="9"/>
    <w:rPr>
      <w:rFonts w:cstheme="majorBidi"/>
      <w:color w:val="2F5597" w:themeColor="accent1" w:themeShade="BF"/>
      <w:sz w:val="24"/>
    </w:rPr>
  </w:style>
  <w:style w:type="character" w:customStyle="1" w:styleId="28">
    <w:name w:val="标题 6 字符"/>
    <w:basedOn w:val="20"/>
    <w:link w:val="7"/>
    <w:semiHidden/>
    <w:qFormat/>
    <w:uiPriority w:val="9"/>
    <w:rPr>
      <w:rFonts w:cstheme="majorBidi"/>
      <w:b/>
      <w:bCs/>
      <w:color w:val="2F5597" w:themeColor="accent1" w:themeShade="BF"/>
    </w:rPr>
  </w:style>
  <w:style w:type="character" w:customStyle="1" w:styleId="29">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0"/>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0"/>
    <w:link w:val="38"/>
    <w:qFormat/>
    <w:uiPriority w:val="30"/>
    <w:rPr>
      <w:i/>
      <w:iCs/>
      <w:color w:val="2F5597" w:themeColor="accent1" w:themeShade="BF"/>
    </w:rPr>
  </w:style>
  <w:style w:type="character" w:customStyle="1" w:styleId="40">
    <w:name w:val="明显参考1"/>
    <w:basedOn w:val="20"/>
    <w:qFormat/>
    <w:uiPriority w:val="32"/>
    <w:rPr>
      <w:b/>
      <w:bCs/>
      <w:smallCaps/>
      <w:color w:val="2F5597" w:themeColor="accent1" w:themeShade="BF"/>
      <w:spacing w:val="5"/>
    </w:rPr>
  </w:style>
  <w:style w:type="character" w:customStyle="1" w:styleId="41">
    <w:name w:val="批注文字 字符"/>
    <w:basedOn w:val="20"/>
    <w:link w:val="11"/>
    <w:semiHidden/>
    <w:qFormat/>
    <w:uiPriority w:val="99"/>
    <w:rPr>
      <w:rFonts w:ascii="Times New Roman" w:hAnsi="Times New Roman" w:eastAsia="仿宋"/>
      <w:sz w:val="24"/>
    </w:rPr>
  </w:style>
  <w:style w:type="character" w:customStyle="1" w:styleId="42">
    <w:name w:val="批注主题 字符"/>
    <w:basedOn w:val="41"/>
    <w:link w:val="17"/>
    <w:semiHidden/>
    <w:qFormat/>
    <w:uiPriority w:val="99"/>
    <w:rPr>
      <w:rFonts w:ascii="Times New Roman" w:hAnsi="Times New Roman" w:eastAsia="仿宋"/>
      <w:b/>
      <w:bCs/>
      <w:sz w:val="24"/>
    </w:rPr>
  </w:style>
  <w:style w:type="character" w:customStyle="1" w:styleId="43">
    <w:name w:val="页眉 字符"/>
    <w:basedOn w:val="20"/>
    <w:link w:val="14"/>
    <w:qFormat/>
    <w:uiPriority w:val="99"/>
    <w:rPr>
      <w:rFonts w:ascii="Times New Roman" w:hAnsi="Times New Roman" w:eastAsia="仿宋"/>
      <w:sz w:val="18"/>
      <w:szCs w:val="18"/>
    </w:rPr>
  </w:style>
  <w:style w:type="character" w:customStyle="1" w:styleId="44">
    <w:name w:val="页脚 字符"/>
    <w:basedOn w:val="20"/>
    <w:link w:val="13"/>
    <w:qFormat/>
    <w:uiPriority w:val="99"/>
    <w:rPr>
      <w:rFonts w:ascii="Times New Roman" w:hAnsi="Times New Roman" w:eastAsia="仿宋"/>
      <w:sz w:val="18"/>
      <w:szCs w:val="18"/>
    </w:rPr>
  </w:style>
  <w:style w:type="paragraph" w:customStyle="1" w:styleId="45">
    <w:name w:val="修订1"/>
    <w:hidden/>
    <w:semiHidden/>
    <w:qFormat/>
    <w:uiPriority w:val="99"/>
    <w:rPr>
      <w:rFonts w:ascii="Times New Roman" w:hAnsi="Times New Roman" w:eastAsia="仿宋" w:cstheme="minorBidi"/>
      <w:kern w:val="2"/>
      <w:sz w:val="21"/>
      <w:szCs w:val="24"/>
      <w:lang w:val="en-US" w:eastAsia="zh-CN" w:bidi="ar-SA"/>
      <w14:ligatures w14:val="standardContextual"/>
    </w:rPr>
  </w:style>
  <w:style w:type="paragraph" w:customStyle="1" w:styleId="46">
    <w:name w:val="修订2"/>
    <w:hidden/>
    <w:unhideWhenUsed/>
    <w:qFormat/>
    <w:uiPriority w:val="99"/>
    <w:rPr>
      <w:rFonts w:ascii="Times New Roman" w:hAnsi="Times New Roman" w:eastAsia="仿宋" w:cstheme="minorBidi"/>
      <w:kern w:val="2"/>
      <w:sz w:val="21"/>
      <w:szCs w:val="24"/>
      <w:lang w:val="en-US" w:eastAsia="zh-CN" w:bidi="ar-SA"/>
      <w14:ligatures w14:val="standardContextual"/>
    </w:rPr>
  </w:style>
  <w:style w:type="paragraph" w:customStyle="1" w:styleId="47">
    <w:name w:val="修订3"/>
    <w:hidden/>
    <w:unhideWhenUsed/>
    <w:qFormat/>
    <w:uiPriority w:val="99"/>
    <w:rPr>
      <w:rFonts w:ascii="Times New Roman" w:hAnsi="Times New Roman" w:eastAsia="仿宋" w:cstheme="minorBidi"/>
      <w:kern w:val="2"/>
      <w:sz w:val="21"/>
      <w:szCs w:val="24"/>
      <w:lang w:val="en-US" w:eastAsia="zh-CN" w:bidi="ar-SA"/>
      <w14:ligatures w14:val="standardContextual"/>
    </w:rPr>
  </w:style>
  <w:style w:type="character" w:customStyle="1" w:styleId="48">
    <w:name w:val="日期 字符"/>
    <w:basedOn w:val="20"/>
    <w:link w:val="12"/>
    <w:semiHidden/>
    <w:qFormat/>
    <w:uiPriority w:val="99"/>
    <w:rPr>
      <w:rFonts w:eastAsia="仿宋" w:cstheme="minorBidi"/>
      <w:kern w:val="2"/>
      <w:sz w:val="21"/>
      <w:szCs w:val="24"/>
      <w14:ligatures w14:val="standardContextual"/>
    </w:rPr>
  </w:style>
  <w:style w:type="paragraph" w:customStyle="1" w:styleId="49">
    <w:name w:val="Revision"/>
    <w:hidden/>
    <w:unhideWhenUsed/>
    <w:qFormat/>
    <w:uiPriority w:val="99"/>
    <w:rPr>
      <w:rFonts w:ascii="Times New Roman" w:hAnsi="Times New Roman" w:eastAsia="仿宋" w:cstheme="minorBidi"/>
      <w:kern w:val="2"/>
      <w:sz w:val="21"/>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4360</Words>
  <Characters>4437</Characters>
  <Lines>81</Lines>
  <Paragraphs>61</Paragraphs>
  <TotalTime>12</TotalTime>
  <ScaleCrop>false</ScaleCrop>
  <LinksUpToDate>false</LinksUpToDate>
  <CharactersWithSpaces>4441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2026-01-04T08:34:00Z</dcterms:created>
  <dc:creator>连嘉怡</dc:creator>
  <cp:lastModifiedBy>ymt</cp:lastModifiedBy>
  <dcterms:modified xsi:type="dcterms:W3CDTF">2026-07-16T08:46:08Z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eyJoZGlkIjoiYWJmNTAxYTA0NTllZTU0OWY5NWY0MWNlMzBjNGU2OTYiLCJ1c2VySWQiOiI1MTE2MTc2MzkifQ==</vt:lpwstr>
  </property>
  <property fmtid="{D5CDD505-2E9C-101B-9397-08002B2CF9AE}" pid="3" name="KSOProductBuildVer">
    <vt:lpwstr>2052-12.1.0.26895</vt:lpwstr>
  </property>
  <property fmtid="{D5CDD505-2E9C-101B-9397-08002B2CF9AE}" pid="4" name="ICV">
    <vt:lpwstr>A36DC05F97F2440B8E3A2220CD71B163_13</vt:lpwstr>
  </property>
</Properties>
</file>