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F007F">
      <w:pPr>
        <w:ind w:left="0" w:leftChars="0" w:firstLine="1280" w:firstLineChars="400"/>
        <w:jc w:val="left"/>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附件：</w:t>
      </w:r>
    </w:p>
    <w:p w14:paraId="1D889C7D">
      <w:pPr>
        <w:ind w:left="0" w:leftChars="0" w:firstLine="0" w:firstLineChars="0"/>
        <w:jc w:val="center"/>
        <w:rPr>
          <w:rFonts w:hint="default" w:ascii="Times New Roman" w:hAnsi="Times New Roman" w:eastAsia="华文中宋" w:cs="Times New Roman"/>
          <w:sz w:val="21"/>
        </w:rPr>
      </w:pPr>
      <w:r>
        <w:rPr>
          <w:rFonts w:hint="default" w:ascii="Times New Roman" w:hAnsi="Times New Roman" w:eastAsia="仿宋" w:cs="Times New Roman"/>
          <w:sz w:val="28"/>
          <w:szCs w:val="28"/>
          <w:lang w:val="en-US" w:eastAsia="zh-CN"/>
        </w:rPr>
        <w:t>202</w:t>
      </w:r>
      <w:r>
        <w:rPr>
          <w:rFonts w:hint="eastAsia" w:eastAsia="仿宋" w:cs="Times New Roman"/>
          <w:sz w:val="28"/>
          <w:szCs w:val="28"/>
          <w:lang w:val="en-US" w:eastAsia="zh-CN"/>
        </w:rPr>
        <w:t>6</w:t>
      </w:r>
      <w:r>
        <w:rPr>
          <w:rFonts w:hint="default" w:ascii="Times New Roman" w:hAnsi="Times New Roman" w:eastAsia="仿宋" w:cs="Times New Roman"/>
          <w:sz w:val="28"/>
          <w:szCs w:val="28"/>
          <w:lang w:val="en-US" w:eastAsia="zh-CN"/>
        </w:rPr>
        <w:t>年中国香料香精化妆品工业协会团体标准（第</w:t>
      </w:r>
      <w:r>
        <w:rPr>
          <w:rFonts w:hint="eastAsia" w:eastAsia="仿宋" w:cs="Times New Roman"/>
          <w:sz w:val="28"/>
          <w:szCs w:val="28"/>
          <w:lang w:val="en-US" w:eastAsia="zh-CN"/>
        </w:rPr>
        <w:t>四</w:t>
      </w:r>
      <w:r>
        <w:rPr>
          <w:rFonts w:hint="default" w:ascii="Times New Roman" w:hAnsi="Times New Roman" w:eastAsia="仿宋" w:cs="Times New Roman"/>
          <w:sz w:val="28"/>
          <w:szCs w:val="28"/>
          <w:lang w:val="en-US" w:eastAsia="zh-CN"/>
        </w:rPr>
        <w:t>批）立项名单</w:t>
      </w:r>
    </w:p>
    <w:tbl>
      <w:tblPr>
        <w:tblStyle w:val="7"/>
        <w:tblW w:w="21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2377"/>
        <w:gridCol w:w="5669"/>
        <w:gridCol w:w="12176"/>
      </w:tblGrid>
      <w:tr w14:paraId="77CEE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926" w:type="dxa"/>
            <w:noWrap w:val="0"/>
            <w:vAlign w:val="center"/>
          </w:tcPr>
          <w:p w14:paraId="68DBB473">
            <w:pPr>
              <w:widowControl w:val="0"/>
              <w:snapToGrid w:val="0"/>
              <w:spacing w:line="240" w:lineRule="auto"/>
              <w:ind w:left="0" w:leftChars="0" w:right="0" w:rightChars="0" w:firstLine="0" w:firstLineChars="0"/>
              <w:jc w:val="center"/>
              <w:rPr>
                <w:rFonts w:hint="default" w:ascii="Times New Roman" w:hAnsi="Times New Roman" w:eastAsia="华文中宋" w:cs="Times New Roman"/>
                <w:b/>
                <w:sz w:val="24"/>
                <w:szCs w:val="24"/>
                <w:vertAlign w:val="baseline"/>
              </w:rPr>
            </w:pPr>
            <w:r>
              <w:rPr>
                <w:rFonts w:hint="default" w:ascii="Times New Roman" w:hAnsi="Times New Roman" w:eastAsia="华文中宋" w:cs="Times New Roman"/>
                <w:b/>
                <w:w w:val="99"/>
                <w:sz w:val="24"/>
                <w:szCs w:val="24"/>
              </w:rPr>
              <w:t>序号</w:t>
            </w:r>
          </w:p>
        </w:tc>
        <w:tc>
          <w:tcPr>
            <w:tcW w:w="2377" w:type="dxa"/>
            <w:noWrap w:val="0"/>
            <w:vAlign w:val="center"/>
          </w:tcPr>
          <w:p w14:paraId="752F84AF">
            <w:pPr>
              <w:widowControl w:val="0"/>
              <w:snapToGrid w:val="0"/>
              <w:spacing w:line="240" w:lineRule="auto"/>
              <w:ind w:left="0" w:leftChars="0" w:right="0" w:rightChars="0" w:firstLine="0" w:firstLineChars="0"/>
              <w:jc w:val="center"/>
              <w:rPr>
                <w:rFonts w:hint="eastAsia" w:ascii="Times New Roman" w:hAnsi="Times New Roman" w:eastAsia="华文中宋" w:cs="Times New Roman"/>
                <w:b/>
                <w:sz w:val="24"/>
                <w:szCs w:val="24"/>
                <w:lang w:eastAsia="zh-CN"/>
              </w:rPr>
            </w:pPr>
            <w:r>
              <w:rPr>
                <w:rFonts w:hint="default" w:ascii="Times New Roman" w:hAnsi="Times New Roman" w:eastAsia="华文中宋" w:cs="Times New Roman"/>
                <w:b/>
                <w:sz w:val="24"/>
                <w:szCs w:val="24"/>
              </w:rPr>
              <w:t>标准名称</w:t>
            </w:r>
            <w:r>
              <w:rPr>
                <w:rFonts w:hint="eastAsia" w:ascii="Times New Roman" w:hAnsi="Times New Roman" w:eastAsia="华文中宋" w:cs="Times New Roman"/>
                <w:b/>
                <w:sz w:val="24"/>
                <w:szCs w:val="24"/>
                <w:lang w:eastAsia="zh-CN"/>
              </w:rPr>
              <w:t>（</w:t>
            </w:r>
            <w:r>
              <w:rPr>
                <w:rFonts w:hint="eastAsia" w:ascii="Times New Roman" w:hAnsi="Times New Roman" w:eastAsia="华文中宋" w:cs="Times New Roman"/>
                <w:b/>
                <w:sz w:val="24"/>
                <w:szCs w:val="24"/>
                <w:lang w:val="en-US" w:eastAsia="zh-CN"/>
              </w:rPr>
              <w:t>待定</w:t>
            </w:r>
            <w:r>
              <w:rPr>
                <w:rFonts w:hint="eastAsia" w:ascii="Times New Roman" w:hAnsi="Times New Roman" w:eastAsia="华文中宋" w:cs="Times New Roman"/>
                <w:b/>
                <w:sz w:val="24"/>
                <w:szCs w:val="24"/>
                <w:lang w:eastAsia="zh-CN"/>
              </w:rPr>
              <w:t>）</w:t>
            </w:r>
          </w:p>
        </w:tc>
        <w:tc>
          <w:tcPr>
            <w:tcW w:w="5669" w:type="dxa"/>
            <w:noWrap w:val="0"/>
            <w:vAlign w:val="center"/>
          </w:tcPr>
          <w:p w14:paraId="52482D02">
            <w:pPr>
              <w:widowControl w:val="0"/>
              <w:snapToGrid w:val="0"/>
              <w:spacing w:line="240" w:lineRule="auto"/>
              <w:ind w:left="0" w:leftChars="0" w:right="0" w:rightChars="0" w:firstLine="0" w:firstLineChars="0"/>
              <w:jc w:val="center"/>
              <w:rPr>
                <w:rFonts w:hint="default" w:ascii="Times New Roman" w:hAnsi="Times New Roman" w:eastAsia="华文中宋" w:cs="Times New Roman"/>
                <w:b/>
                <w:sz w:val="24"/>
                <w:szCs w:val="24"/>
                <w:vertAlign w:val="baseline"/>
              </w:rPr>
            </w:pPr>
            <w:r>
              <w:rPr>
                <w:rFonts w:hint="default" w:ascii="Times New Roman" w:hAnsi="Times New Roman" w:eastAsia="华文中宋" w:cs="Times New Roman"/>
                <w:b/>
                <w:sz w:val="24"/>
                <w:szCs w:val="24"/>
              </w:rPr>
              <w:t>立项目的</w:t>
            </w:r>
          </w:p>
        </w:tc>
        <w:tc>
          <w:tcPr>
            <w:tcW w:w="12176" w:type="dxa"/>
            <w:noWrap w:val="0"/>
            <w:vAlign w:val="center"/>
          </w:tcPr>
          <w:p w14:paraId="03D8B6FA">
            <w:pPr>
              <w:widowControl w:val="0"/>
              <w:snapToGrid w:val="0"/>
              <w:spacing w:line="240" w:lineRule="auto"/>
              <w:ind w:left="0" w:leftChars="0" w:right="0" w:rightChars="0" w:firstLine="0" w:firstLineChars="0"/>
              <w:jc w:val="center"/>
              <w:rPr>
                <w:rFonts w:hint="default" w:ascii="Times New Roman" w:hAnsi="Times New Roman" w:eastAsia="华文中宋" w:cs="Times New Roman"/>
                <w:b/>
                <w:sz w:val="24"/>
                <w:szCs w:val="24"/>
              </w:rPr>
            </w:pPr>
            <w:r>
              <w:rPr>
                <w:rFonts w:hint="default" w:ascii="Times New Roman" w:hAnsi="Times New Roman" w:eastAsia="华文中宋" w:cs="Times New Roman"/>
                <w:b/>
                <w:sz w:val="24"/>
                <w:szCs w:val="24"/>
              </w:rPr>
              <w:t>主要</w:t>
            </w:r>
            <w:r>
              <w:rPr>
                <w:rFonts w:hint="default" w:ascii="Times New Roman" w:hAnsi="Times New Roman" w:eastAsia="华文中宋" w:cs="Times New Roman"/>
                <w:b/>
                <w:sz w:val="24"/>
                <w:szCs w:val="24"/>
                <w:lang w:val="en-US" w:eastAsia="zh-CN"/>
              </w:rPr>
              <w:t>技术</w:t>
            </w:r>
            <w:r>
              <w:rPr>
                <w:rFonts w:hint="default" w:ascii="Times New Roman" w:hAnsi="Times New Roman" w:eastAsia="华文中宋" w:cs="Times New Roman"/>
                <w:b/>
                <w:w w:val="99"/>
                <w:sz w:val="24"/>
                <w:szCs w:val="24"/>
              </w:rPr>
              <w:t>内容</w:t>
            </w:r>
          </w:p>
        </w:tc>
      </w:tr>
      <w:tr w14:paraId="1D6B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6" w:type="dxa"/>
            <w:noWrap w:val="0"/>
            <w:vAlign w:val="center"/>
          </w:tcPr>
          <w:p w14:paraId="57CB23DD">
            <w:pPr>
              <w:widowControl w:val="0"/>
              <w:snapToGrid w:val="0"/>
              <w:ind w:left="0" w:leftChars="0" w:right="0" w:rightChars="0" w:firstLine="0" w:firstLineChars="0"/>
              <w:jc w:val="center"/>
              <w:rPr>
                <w:rFonts w:hint="default" w:ascii="仿宋" w:hAnsi="Times New Roman" w:eastAsia="仿宋" w:cs="Times New Roman"/>
                <w:w w:val="99"/>
                <w:sz w:val="18"/>
                <w:szCs w:val="18"/>
              </w:rPr>
            </w:pPr>
            <w:r>
              <w:rPr>
                <w:rFonts w:hint="default" w:ascii="仿宋" w:hAnsi="Times New Roman" w:eastAsia="仿宋" w:cs="Times New Roman"/>
                <w:sz w:val="18"/>
                <w:szCs w:val="21"/>
                <w:highlight w:val="none"/>
                <w:lang w:val="en-US" w:eastAsia="zh-CN"/>
              </w:rPr>
              <w:t>1</w:t>
            </w:r>
          </w:p>
        </w:tc>
        <w:tc>
          <w:tcPr>
            <w:tcW w:w="2377" w:type="dxa"/>
            <w:shd w:val="clear" w:color="auto" w:fill="auto"/>
            <w:noWrap w:val="0"/>
            <w:vAlign w:val="center"/>
          </w:tcPr>
          <w:p w14:paraId="1FD8C0F2">
            <w:pPr>
              <w:widowControl w:val="0"/>
              <w:tabs>
                <w:tab w:val="left" w:pos="1249"/>
              </w:tabs>
              <w:ind w:left="0" w:leftChars="0" w:firstLine="0" w:firstLineChars="0"/>
              <w:jc w:val="left"/>
              <w:rPr>
                <w:rFonts w:hint="default" w:ascii="仿宋" w:hAnsi="仿宋" w:eastAsia="仿宋" w:cs="仿宋"/>
                <w:color w:val="000000"/>
                <w:kern w:val="0"/>
                <w:sz w:val="18"/>
                <w:szCs w:val="18"/>
                <w:lang w:val="en-US" w:eastAsia="zh-CN" w:bidi="ar"/>
              </w:rPr>
            </w:pPr>
            <w:r>
              <w:rPr>
                <w:rFonts w:hint="default" w:ascii="仿宋" w:hAnsi="仿宋" w:eastAsia="仿宋" w:cs="仿宋"/>
                <w:color w:val="000000"/>
                <w:kern w:val="0"/>
                <w:sz w:val="18"/>
                <w:szCs w:val="18"/>
                <w:lang w:val="en-US" w:eastAsia="zh-CN" w:bidi="ar"/>
              </w:rPr>
              <w:t>四川大学华西医院</w:t>
            </w:r>
            <w:r>
              <w:rPr>
                <w:rFonts w:hint="eastAsia" w:ascii="仿宋" w:hAnsi="仿宋" w:eastAsia="仿宋" w:cs="仿宋"/>
                <w:color w:val="000000"/>
                <w:kern w:val="0"/>
                <w:sz w:val="18"/>
                <w:szCs w:val="18"/>
                <w:lang w:val="en-US" w:eastAsia="zh-CN" w:bidi="ar"/>
              </w:rPr>
              <w:t>、</w:t>
            </w:r>
            <w:r>
              <w:rPr>
                <w:rFonts w:hint="default" w:ascii="仿宋" w:hAnsi="仿宋" w:eastAsia="仿宋" w:cs="仿宋"/>
                <w:color w:val="000000"/>
                <w:kern w:val="0"/>
                <w:sz w:val="18"/>
                <w:szCs w:val="18"/>
                <w:lang w:val="en-US" w:eastAsia="zh-CN" w:bidi="ar"/>
              </w:rPr>
              <w:t>深圳护家科技（集团）股份有限公司</w:t>
            </w:r>
            <w:r>
              <w:rPr>
                <w:rFonts w:hint="eastAsia" w:ascii="仿宋" w:hAnsi="仿宋" w:eastAsia="仿宋" w:cs="仿宋"/>
                <w:color w:val="000000"/>
                <w:kern w:val="0"/>
                <w:sz w:val="18"/>
                <w:szCs w:val="18"/>
                <w:lang w:val="en-US" w:eastAsia="zh-CN" w:bidi="ar"/>
              </w:rPr>
              <w:t>-化妆品功效真实世界研究指南</w:t>
            </w:r>
          </w:p>
        </w:tc>
        <w:tc>
          <w:tcPr>
            <w:tcW w:w="5669" w:type="dxa"/>
            <w:shd w:val="clear" w:color="auto" w:fill="auto"/>
            <w:noWrap w:val="0"/>
            <w:vAlign w:val="center"/>
          </w:tcPr>
          <w:p w14:paraId="3429E158">
            <w:pPr>
              <w:widowControl w:val="0"/>
              <w:tabs>
                <w:tab w:val="left" w:pos="1249"/>
              </w:tabs>
              <w:ind w:left="0" w:leftChars="0" w:firstLine="0" w:firstLineChars="0"/>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当前化妆品功效真实世界研究在评价指标体系构建、数据质量控制与偏倚控制等方面缺乏统一的技术规范，研究质量参差不齐，数据可靠性与证据转化面临瓶颈，亟需出台专属标准予以规范。鉴于此，制定《化妆品功效真实世界研究指南》团体标准，旨在填补我国化妆品功效评价领域真实世界研究规范的空白，为行业提供系统性、可操作的研究指导。</w:t>
            </w:r>
            <w:r>
              <w:rPr>
                <w:rFonts w:hint="default" w:ascii="仿宋" w:hAnsi="仿宋" w:eastAsia="仿宋" w:cs="仿宋"/>
                <w:color w:val="000000"/>
                <w:kern w:val="0"/>
                <w:sz w:val="18"/>
                <w:szCs w:val="18"/>
                <w:lang w:val="en-US" w:eastAsia="zh-CN" w:bidi="ar"/>
              </w:rPr>
              <w:t>重点围绕</w:t>
            </w:r>
            <w:r>
              <w:rPr>
                <w:rFonts w:hint="eastAsia" w:ascii="仿宋" w:hAnsi="仿宋" w:eastAsia="仿宋" w:cs="仿宋"/>
                <w:color w:val="000000"/>
                <w:kern w:val="0"/>
                <w:sz w:val="18"/>
                <w:szCs w:val="18"/>
                <w:lang w:val="en-US" w:eastAsia="zh-CN" w:bidi="ar"/>
              </w:rPr>
              <w:t>研究设计与方案制定、研究实施与过程规范、数据来源与管理、统计分析与偏倚控制、必备文件管理和研究报告要求</w:t>
            </w:r>
            <w:r>
              <w:rPr>
                <w:rFonts w:hint="default" w:ascii="仿宋" w:hAnsi="仿宋" w:eastAsia="仿宋" w:cs="仿宋"/>
                <w:color w:val="000000"/>
                <w:kern w:val="0"/>
                <w:sz w:val="18"/>
                <w:szCs w:val="18"/>
                <w:lang w:val="en-US" w:eastAsia="zh-CN" w:bidi="ar"/>
              </w:rPr>
              <w:t>等关键环节提出技术要求</w:t>
            </w:r>
            <w:r>
              <w:rPr>
                <w:rFonts w:hint="eastAsia" w:ascii="仿宋" w:hAnsi="仿宋" w:eastAsia="仿宋" w:cs="仿宋"/>
                <w:color w:val="000000"/>
                <w:kern w:val="0"/>
                <w:sz w:val="18"/>
                <w:szCs w:val="18"/>
                <w:lang w:val="en-US" w:eastAsia="zh-CN" w:bidi="ar"/>
              </w:rPr>
              <w:t>。致力于提升研究质量与数据可信度，推动真实世界数据转化为有效证据，为构建完整可信的产品证据链提供方法支撑，助力行业高质量发展与消费者权益保障。</w:t>
            </w:r>
          </w:p>
        </w:tc>
        <w:tc>
          <w:tcPr>
            <w:tcW w:w="12176" w:type="dxa"/>
            <w:shd w:val="clear" w:color="auto" w:fill="auto"/>
            <w:noWrap w:val="0"/>
            <w:vAlign w:val="center"/>
          </w:tcPr>
          <w:p w14:paraId="04045A5A">
            <w:pPr>
              <w:widowControl w:val="0"/>
              <w:tabs>
                <w:tab w:val="left" w:pos="1249"/>
              </w:tabs>
              <w:ind w:left="0" w:leftChars="0" w:firstLine="0" w:firstLineChars="0"/>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本标准旨在构建化妆品功效真实世界研究的方法学与技术框架，核心内容包括：</w:t>
            </w:r>
          </w:p>
          <w:p w14:paraId="5E8B1452">
            <w:pPr>
              <w:widowControl w:val="0"/>
              <w:tabs>
                <w:tab w:val="left" w:pos="1249"/>
              </w:tabs>
              <w:ind w:left="0" w:leftChars="0" w:firstLine="0" w:firstLineChars="0"/>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 术语与定义：界定化妆品真实使用场景、化妆品功效真实世界研究、化妆品功效真实世界数据、化妆品功效真实世界证据、暴露/干预、数据治理等核心术语，为行业提供统一、规范的概念基础。</w:t>
            </w:r>
          </w:p>
          <w:p w14:paraId="6B73A4FA">
            <w:pPr>
              <w:widowControl w:val="0"/>
              <w:tabs>
                <w:tab w:val="left" w:pos="1249"/>
              </w:tabs>
              <w:ind w:left="0" w:leftChars="0" w:firstLine="0" w:firstLineChars="0"/>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 研究设计与方案制定：明确研究目的的确立、研究策略与类型的选择，以及研究设计中需综合考量的关键要素，包括研究人群和入排标准、暴露因素和研究终点、样本量估计、统计方法考量等。</w:t>
            </w:r>
          </w:p>
          <w:p w14:paraId="22593F8A">
            <w:pPr>
              <w:widowControl w:val="0"/>
              <w:tabs>
                <w:tab w:val="left" w:pos="1249"/>
              </w:tabs>
              <w:ind w:left="0" w:leftChars="0" w:firstLine="0" w:firstLineChars="0"/>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 研究实施与过程规范：规定研究需遵循的伦理审查程序、知情同意要求、受试者隐私保护措施以及依从性管理方法，确保研究过程符合伦理规范与法律法规。</w:t>
            </w:r>
          </w:p>
          <w:p w14:paraId="468ED928">
            <w:pPr>
              <w:widowControl w:val="0"/>
              <w:tabs>
                <w:tab w:val="left" w:pos="1249"/>
              </w:tabs>
              <w:ind w:left="0" w:leftChars="0" w:firstLine="0" w:firstLineChars="0"/>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 数据来源与数据管理：明确化妆品功效真实世界研究的数据源，规定数据治理流程与数据质量控制要求。</w:t>
            </w:r>
          </w:p>
          <w:p w14:paraId="6268C1A3">
            <w:pPr>
              <w:widowControl w:val="0"/>
              <w:tabs>
                <w:tab w:val="left" w:pos="1249"/>
              </w:tabs>
              <w:ind w:left="0" w:leftChars="0" w:firstLine="0" w:firstLineChars="0"/>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 统计分析与偏倚控制：提供针对化妆品功效真实世界数据的统计分析指导，明确对常见偏倚（如选择偏倚、信息偏倚）和混杂因素的识别、评估与控制策略。</w:t>
            </w:r>
          </w:p>
          <w:p w14:paraId="2894352D">
            <w:pPr>
              <w:widowControl w:val="0"/>
              <w:tabs>
                <w:tab w:val="left" w:pos="1249"/>
              </w:tabs>
              <w:ind w:left="0" w:leftChars="0" w:firstLine="0" w:firstLineChars="0"/>
              <w:jc w:val="left"/>
              <w:rPr>
                <w:rFonts w:hint="eastAsia" w:ascii="仿宋" w:hAnsi="Times New Roman" w:eastAsia="仿宋" w:cs="Times New Roman"/>
                <w:sz w:val="18"/>
                <w:szCs w:val="18"/>
                <w:highlight w:val="none"/>
                <w:lang w:val="en-US" w:eastAsia="zh-CN"/>
              </w:rPr>
            </w:pPr>
            <w:r>
              <w:rPr>
                <w:rFonts w:hint="eastAsia" w:ascii="仿宋" w:hAnsi="仿宋" w:eastAsia="仿宋" w:cs="仿宋"/>
                <w:color w:val="000000"/>
                <w:kern w:val="0"/>
                <w:sz w:val="18"/>
                <w:szCs w:val="18"/>
                <w:lang w:val="en-US" w:eastAsia="zh-CN" w:bidi="ar"/>
              </w:rPr>
              <w:t>- 证据形成与报告体系：提出化妆品功效真实世界证据的综合评价考量要点。规范研究报告的核心内容框架、必备文件清单及存档管理要求，确保研究过程透明、结果可重复、结论可评估。</w:t>
            </w:r>
          </w:p>
        </w:tc>
      </w:tr>
      <w:tr w14:paraId="3CA5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26" w:type="dxa"/>
            <w:noWrap w:val="0"/>
            <w:vAlign w:val="center"/>
          </w:tcPr>
          <w:p w14:paraId="534B72DB">
            <w:pPr>
              <w:widowControl w:val="0"/>
              <w:snapToGrid w:val="0"/>
              <w:ind w:left="0" w:leftChars="0" w:right="0" w:rightChars="0" w:firstLine="0" w:firstLineChars="0"/>
              <w:jc w:val="center"/>
              <w:rPr>
                <w:rFonts w:hint="default" w:ascii="仿宋" w:hAnsi="Times New Roman" w:eastAsia="仿宋" w:cs="Times New Roman"/>
                <w:sz w:val="18"/>
                <w:szCs w:val="21"/>
                <w:highlight w:val="none"/>
                <w:lang w:val="en-US" w:eastAsia="zh-CN"/>
              </w:rPr>
            </w:pPr>
            <w:r>
              <w:rPr>
                <w:rFonts w:hint="eastAsia" w:ascii="仿宋" w:eastAsia="仿宋" w:cs="Times New Roman"/>
                <w:sz w:val="18"/>
                <w:szCs w:val="21"/>
                <w:highlight w:val="none"/>
                <w:lang w:val="en-US" w:eastAsia="zh-CN"/>
              </w:rPr>
              <w:t>2</w:t>
            </w:r>
          </w:p>
        </w:tc>
        <w:tc>
          <w:tcPr>
            <w:tcW w:w="2377" w:type="dxa"/>
            <w:shd w:val="clear" w:color="auto" w:fill="auto"/>
            <w:noWrap w:val="0"/>
            <w:vAlign w:val="center"/>
          </w:tcPr>
          <w:p w14:paraId="219DD5C5">
            <w:pPr>
              <w:widowControl w:val="0"/>
              <w:tabs>
                <w:tab w:val="left" w:pos="1249"/>
              </w:tabs>
              <w:ind w:left="0" w:leftChars="0" w:firstLine="0" w:firstLineChars="0"/>
              <w:jc w:val="left"/>
              <w:rPr>
                <w:rFonts w:hint="default" w:ascii="仿宋" w:hAnsi="仿宋" w:eastAsia="仿宋" w:cs="仿宋"/>
                <w:sz w:val="18"/>
                <w:szCs w:val="18"/>
                <w:lang w:val="en-US" w:eastAsia="zh-CN"/>
              </w:rPr>
            </w:pPr>
            <w:r>
              <w:rPr>
                <w:rFonts w:hint="eastAsia" w:ascii="仿宋" w:hAnsi="仿宋" w:eastAsia="仿宋" w:cs="仿宋"/>
                <w:color w:val="000000"/>
                <w:kern w:val="0"/>
                <w:sz w:val="18"/>
                <w:szCs w:val="18"/>
                <w:lang w:val="en-US" w:eastAsia="zh-CN" w:bidi="ar"/>
              </w:rPr>
              <w:t>欧莱雅（中国）有限公司</w:t>
            </w:r>
            <w:r>
              <w:rPr>
                <w:rFonts w:hint="eastAsia" w:ascii="仿宋" w:hAnsi="仿宋" w:eastAsia="仿宋" w:cs="仿宋"/>
                <w:color w:val="000000"/>
                <w:kern w:val="0"/>
                <w:sz w:val="18"/>
                <w:szCs w:val="18"/>
                <w:lang w:val="en-US" w:eastAsia="zh-CN" w:bidi="ar"/>
              </w:rPr>
              <w:t>-化妆品原料体外光变态反应性测试 光直接多肽反应试验方法</w:t>
            </w:r>
          </w:p>
        </w:tc>
        <w:tc>
          <w:tcPr>
            <w:tcW w:w="5669" w:type="dxa"/>
            <w:shd w:val="clear" w:color="auto" w:fill="auto"/>
            <w:noWrap w:val="0"/>
            <w:vAlign w:val="center"/>
          </w:tcPr>
          <w:p w14:paraId="35F8163D">
            <w:pPr>
              <w:widowControl w:val="0"/>
              <w:tabs>
                <w:tab w:val="left" w:pos="1249"/>
              </w:tabs>
              <w:ind w:left="0" w:leftChars="0" w:firstLine="0" w:firstLineChars="0"/>
              <w:jc w:val="left"/>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本研究旨在构建体外光直接多肽反应试验（Photo-DPRA）方法，并通过多中心实验室协同验证，形成适用于化妆品原料皮肤光变态反应评价的团体标准。该标准的发布将有效弥补我国在该领域体外测试方法的短板，标志着我国在化妆品体外替代方法标准化建设方面迈出了实质性的一步。</w:t>
            </w:r>
          </w:p>
          <w:p w14:paraId="16DF20BB">
            <w:pPr>
              <w:widowControl w:val="0"/>
              <w:tabs>
                <w:tab w:val="left" w:pos="1249"/>
              </w:tabs>
              <w:ind w:left="0" w:leftChars="0" w:firstLine="0" w:firstLineChars="0"/>
              <w:jc w:val="left"/>
              <w:rPr>
                <w:rFonts w:hint="eastAsia" w:ascii="仿宋" w:hAnsi="仿宋" w:eastAsia="仿宋" w:cs="仿宋"/>
                <w:sz w:val="18"/>
                <w:szCs w:val="18"/>
                <w:lang w:val="en-US" w:eastAsia="zh-CN"/>
              </w:rPr>
            </w:pPr>
          </w:p>
        </w:tc>
        <w:tc>
          <w:tcPr>
            <w:tcW w:w="12176" w:type="dxa"/>
            <w:shd w:val="clear" w:color="auto" w:fill="auto"/>
            <w:noWrap w:val="0"/>
            <w:vAlign w:val="center"/>
          </w:tcPr>
          <w:p w14:paraId="4D3C2D57">
            <w:pPr>
              <w:widowControl w:val="0"/>
              <w:tabs>
                <w:tab w:val="left" w:pos="1249"/>
              </w:tabs>
              <w:ind w:left="0" w:leftChars="0" w:firstLine="0" w:firstLineChars="0"/>
              <w:jc w:val="left"/>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皮肤光变态反应（皮肤光过敏反应，</w:t>
            </w:r>
            <w:r>
              <w:rPr>
                <w:rFonts w:hint="default" w:ascii="仿宋" w:hAnsi="仿宋" w:eastAsia="仿宋" w:cs="仿宋"/>
                <w:color w:val="000000"/>
                <w:kern w:val="0"/>
                <w:sz w:val="18"/>
                <w:szCs w:val="18"/>
                <w:lang w:val="en-US" w:eastAsia="zh-CN" w:bidi="ar"/>
              </w:rPr>
              <w:t>Skin Photoallergy</w:t>
            </w:r>
            <w:r>
              <w:rPr>
                <w:rFonts w:hint="eastAsia" w:ascii="仿宋" w:hAnsi="仿宋" w:eastAsia="仿宋" w:cs="仿宋"/>
                <w:color w:val="000000"/>
                <w:kern w:val="0"/>
                <w:sz w:val="18"/>
                <w:szCs w:val="18"/>
                <w:lang w:val="en-US" w:eastAsia="zh-CN" w:bidi="ar"/>
              </w:rPr>
              <w:t>）是一种细胞介导的由光激活的皮肤免疫性反应，是</w:t>
            </w:r>
            <w:r>
              <w:rPr>
                <w:rFonts w:hint="default" w:ascii="仿宋" w:hAnsi="仿宋" w:eastAsia="仿宋" w:cs="仿宋"/>
                <w:color w:val="000000"/>
                <w:kern w:val="0"/>
                <w:sz w:val="18"/>
                <w:szCs w:val="18"/>
                <w:lang w:val="en-US" w:eastAsia="zh-CN" w:bidi="ar"/>
              </w:rPr>
              <w:t>IV</w:t>
            </w:r>
            <w:r>
              <w:rPr>
                <w:rFonts w:hint="eastAsia" w:ascii="仿宋" w:hAnsi="仿宋" w:eastAsia="仿宋" w:cs="仿宋"/>
                <w:color w:val="000000"/>
                <w:kern w:val="0"/>
                <w:sz w:val="18"/>
                <w:szCs w:val="18"/>
                <w:lang w:val="en-US" w:eastAsia="zh-CN" w:bidi="ar"/>
              </w:rPr>
              <w:t>型过敏反应的特殊类型，系光感物质经皮吸收或通过循环到达皮肤后与吸收的光线在皮肤细胞层发生的不良反应。目前较为公认的原理为：光感物质吸收光能后呈激活状态，并以半抗原形式与皮肤中的蛋白结合成蛋白结合物，经表皮的朗格汉斯细胞传递给免疫活性细胞，引起淋巴细胞致敏等免疫反应。致敏的淋巴细胞再次接触同一抗原时释放出淋巴因子，导致一系列有害反应。本试验基于我国《化妆品安全技术规范》及国际经济合作与发展组织测试指南（OECD TG 442C）中的“直接多肽反应试验（DPRA）”，通过创新性地引入紫外线辐照系统构建而成。其原理是具有光致敏活性的受试物，在特定辐照条件下（UVA 累积光照剂量约 5 J/cm</w:t>
            </w:r>
            <w:r>
              <w:rPr>
                <w:rFonts w:hint="default" w:ascii="仿宋" w:hAnsi="仿宋" w:eastAsia="仿宋" w:cs="仿宋"/>
                <w:color w:val="000000"/>
                <w:kern w:val="0"/>
                <w:sz w:val="18"/>
                <w:szCs w:val="18"/>
                <w:lang w:val="en-US" w:eastAsia="zh-CN" w:bidi="ar"/>
              </w:rPr>
              <w:t>2</w:t>
            </w:r>
            <w:r>
              <w:rPr>
                <w:rFonts w:hint="eastAsia" w:ascii="仿宋" w:hAnsi="仿宋" w:eastAsia="仿宋" w:cs="仿宋"/>
                <w:color w:val="000000"/>
                <w:kern w:val="0"/>
                <w:sz w:val="18"/>
                <w:szCs w:val="18"/>
                <w:lang w:val="en-US" w:eastAsia="zh-CN" w:bidi="ar"/>
              </w:rPr>
              <w:t>）被激活，并与合成的半胱氨酸（Cys）多肽和赖氨酸（Lys）多肽（用以模拟皮肤蛋白）发生共价结合，导致反应体系中游离多肽的含量减少。利用高效液相色谱（HPLC）等分析仪器测定游离多肽的剩余量，并计算多肽消耗百分比。通过对比光照（UV+）与避光（UV-）条件下受试物对多肽消耗率的差值，评估并判定受试物是否具有皮肤光致敏性。</w:t>
            </w:r>
          </w:p>
          <w:p w14:paraId="4D3C2D58">
            <w:pPr>
              <w:widowControl w:val="0"/>
              <w:tabs>
                <w:tab w:val="left" w:pos="1249"/>
              </w:tabs>
              <w:ind w:left="0" w:leftChars="0" w:firstLine="0" w:firstLineChars="0"/>
              <w:jc w:val="left"/>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辐照条件：选择能稳定发射波长为 320 nm~400 nm 的 UVA 光源。若光源中含有极微量 UVB，其辐照剂量不得超过 0.1 J/cm²。可选用黑光灯管、配备合适滤光片的超高压汞灯，或其他符合上述光谱特性的 UVA 模拟光源。 辐照度设定为 1.7 mW/cm²，UVA 累积光照剂量为 5 J/cm²。</w:t>
            </w:r>
          </w:p>
          <w:p w14:paraId="4D3C2D59">
            <w:pPr>
              <w:widowControl w:val="0"/>
              <w:tabs>
                <w:tab w:val="left" w:pos="1249"/>
              </w:tabs>
              <w:ind w:left="0" w:leftChars="0" w:firstLine="0" w:firstLineChars="0"/>
              <w:jc w:val="left"/>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数据分析及结果判定：辐照后，对多肽进行定量分析，以测定其消耗百分比，并计算辐照条件（UV+）与无辐照条件（UV-）下多肽消耗百分比差值（以下简称 ΔCys 或 ΔLys）。当 ΔCys 和 ΔLys 消耗百分比的平均值大于等于 7.62 % 时，预测该受试化学品为阳性。若受试化学品与赖氨酸多肽发生共洗脱或沉淀，则改用单半胱氨酸多肽消耗值（ΔCys）≥ 15.25 % 作为阳性判定标准。若受试化学品与半胱氨酸多肽发生共洗脱或沉淀，则本方法不适用，无法判定分类。</w:t>
            </w:r>
          </w:p>
          <w:p w14:paraId="4D3C2D5B">
            <w:pPr>
              <w:widowControl w:val="0"/>
              <w:tabs>
                <w:tab w:val="left" w:pos="1249"/>
              </w:tabs>
              <w:ind w:left="0" w:leftChars="0" w:firstLine="0" w:firstLineChars="0"/>
              <w:jc w:val="left"/>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方法验证：第一阶段（方法建立与预测力评估）：共选用 33 个具有明确在体（In Vivo）数据的参考物质进行测试（包含 13 个非光致敏物和 20 个已知光致敏物）。4个受试化学品与半胱氨酸多肽发生共洗脱或沉淀，无法判定分类。其余结果表明，该方法的特异性为 90%，敏感性为 94.7%，整体预测准确率大于 90%。</w:t>
            </w:r>
          </w:p>
          <w:p w14:paraId="49B729A2">
            <w:pPr>
              <w:widowControl w:val="0"/>
              <w:tabs>
                <w:tab w:val="left" w:pos="1249"/>
              </w:tabs>
              <w:ind w:left="0" w:leftChars="0" w:firstLine="0" w:firstLineChars="0"/>
              <w:jc w:val="left"/>
              <w:rPr>
                <w:rFonts w:hint="eastAsia" w:ascii="仿宋" w:hAnsi="仿宋" w:eastAsia="仿宋" w:cs="仿宋"/>
                <w:sz w:val="18"/>
                <w:szCs w:val="18"/>
                <w:lang w:val="en-US" w:eastAsia="zh-CN"/>
              </w:rPr>
            </w:pPr>
            <w:r>
              <w:rPr>
                <w:rFonts w:hint="eastAsia" w:ascii="仿宋" w:hAnsi="仿宋" w:eastAsia="仿宋" w:cs="仿宋"/>
                <w:color w:val="000000"/>
                <w:kern w:val="0"/>
                <w:sz w:val="18"/>
                <w:szCs w:val="18"/>
                <w:lang w:val="en-US" w:eastAsia="zh-CN" w:bidi="ar"/>
              </w:rPr>
              <w:t>第二阶段（多中心协同验证）：</w:t>
            </w:r>
            <w:r>
              <w:rPr>
                <w:rFonts w:hint="default" w:ascii="仿宋" w:hAnsi="仿宋" w:eastAsia="仿宋" w:cs="仿宋"/>
                <w:color w:val="000000"/>
                <w:kern w:val="0"/>
                <w:sz w:val="18"/>
                <w:szCs w:val="18"/>
                <w:lang w:val="en-US" w:eastAsia="zh-CN" w:bidi="ar"/>
              </w:rPr>
              <w:t>由江南大学、中国食品药品检定研究院、浙江省食品药品检验研究院三家实验室联合开展多中心验证。通过对 25 个参考物质的测试与平行对比，验证该方法的可靠性和重现性</w:t>
            </w:r>
            <w:r>
              <w:rPr>
                <w:rFonts w:hint="eastAsia" w:ascii="仿宋" w:hAnsi="仿宋" w:eastAsia="仿宋" w:cs="仿宋"/>
                <w:color w:val="000000"/>
                <w:kern w:val="0"/>
                <w:sz w:val="18"/>
                <w:szCs w:val="18"/>
                <w:lang w:val="en-US" w:eastAsia="zh-CN" w:bidi="ar"/>
              </w:rPr>
              <w:t>。</w:t>
            </w:r>
            <w:bookmarkStart w:id="0" w:name="_GoBack"/>
            <w:bookmarkEnd w:id="0"/>
          </w:p>
        </w:tc>
      </w:tr>
    </w:tbl>
    <w:p w14:paraId="64965212">
      <w:pPr>
        <w:rPr>
          <w:rFonts w:hint="default" w:ascii="华文仿宋" w:hAnsi="华文仿宋" w:eastAsia="华文仿宋" w:cs="华文仿宋"/>
          <w:sz w:val="18"/>
          <w:szCs w:val="20"/>
          <w:lang w:val="en-US" w:eastAsia="zh-CN"/>
        </w:rPr>
      </w:pPr>
    </w:p>
    <w:sectPr>
      <w:pgSz w:w="23811" w:h="16838"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xOTE0NzFmZmNjYTVjODY0NTJmNTMzMDJiMjMwOTkifQ=="/>
  </w:docVars>
  <w:rsids>
    <w:rsidRoot w:val="62DF5188"/>
    <w:rsid w:val="00BA6018"/>
    <w:rsid w:val="03DA4062"/>
    <w:rsid w:val="03E33A1C"/>
    <w:rsid w:val="051B0868"/>
    <w:rsid w:val="05BA33D2"/>
    <w:rsid w:val="06975FDD"/>
    <w:rsid w:val="06FC75CB"/>
    <w:rsid w:val="09B97D05"/>
    <w:rsid w:val="0C10613D"/>
    <w:rsid w:val="0D7F18A8"/>
    <w:rsid w:val="0DB05DD0"/>
    <w:rsid w:val="0E71322E"/>
    <w:rsid w:val="109D2033"/>
    <w:rsid w:val="11FA334D"/>
    <w:rsid w:val="127F48AC"/>
    <w:rsid w:val="1824469F"/>
    <w:rsid w:val="1870102B"/>
    <w:rsid w:val="188034A7"/>
    <w:rsid w:val="1C454471"/>
    <w:rsid w:val="1CED0100"/>
    <w:rsid w:val="205913DE"/>
    <w:rsid w:val="20725DEA"/>
    <w:rsid w:val="20981450"/>
    <w:rsid w:val="20C36974"/>
    <w:rsid w:val="26640F34"/>
    <w:rsid w:val="27F62C93"/>
    <w:rsid w:val="28A069E7"/>
    <w:rsid w:val="28D76537"/>
    <w:rsid w:val="28FB6DD2"/>
    <w:rsid w:val="291361F3"/>
    <w:rsid w:val="296D15DA"/>
    <w:rsid w:val="29A346F6"/>
    <w:rsid w:val="2C3818FC"/>
    <w:rsid w:val="2C5409B9"/>
    <w:rsid w:val="2EF51D26"/>
    <w:rsid w:val="311315D0"/>
    <w:rsid w:val="31EB0CE3"/>
    <w:rsid w:val="31EC53F7"/>
    <w:rsid w:val="32572FC5"/>
    <w:rsid w:val="327347EB"/>
    <w:rsid w:val="33323E36"/>
    <w:rsid w:val="33C7391A"/>
    <w:rsid w:val="343375A3"/>
    <w:rsid w:val="357C3E7D"/>
    <w:rsid w:val="35AF7E31"/>
    <w:rsid w:val="374F41FD"/>
    <w:rsid w:val="37DB62C5"/>
    <w:rsid w:val="38B05B8F"/>
    <w:rsid w:val="38E0511E"/>
    <w:rsid w:val="3AA36A7A"/>
    <w:rsid w:val="3E6E6630"/>
    <w:rsid w:val="40D109AD"/>
    <w:rsid w:val="4211166A"/>
    <w:rsid w:val="42876CE2"/>
    <w:rsid w:val="439D4A0F"/>
    <w:rsid w:val="444D1A15"/>
    <w:rsid w:val="44983627"/>
    <w:rsid w:val="45040D73"/>
    <w:rsid w:val="4BDF5935"/>
    <w:rsid w:val="4C1C5879"/>
    <w:rsid w:val="4C231829"/>
    <w:rsid w:val="4D0A468C"/>
    <w:rsid w:val="4DD1169A"/>
    <w:rsid w:val="4E00187B"/>
    <w:rsid w:val="4EC15B0A"/>
    <w:rsid w:val="4F320B03"/>
    <w:rsid w:val="4FD55EDC"/>
    <w:rsid w:val="506C6DF3"/>
    <w:rsid w:val="513F4064"/>
    <w:rsid w:val="51D75769"/>
    <w:rsid w:val="53B10E88"/>
    <w:rsid w:val="543B0605"/>
    <w:rsid w:val="544E4066"/>
    <w:rsid w:val="54FB3043"/>
    <w:rsid w:val="55907CAE"/>
    <w:rsid w:val="56B52871"/>
    <w:rsid w:val="576553EC"/>
    <w:rsid w:val="57CF1FC0"/>
    <w:rsid w:val="5B8E5A0A"/>
    <w:rsid w:val="5BDB3262"/>
    <w:rsid w:val="5D7304FC"/>
    <w:rsid w:val="5E1611EE"/>
    <w:rsid w:val="5F172A53"/>
    <w:rsid w:val="60AB56E6"/>
    <w:rsid w:val="62DF5188"/>
    <w:rsid w:val="65956A05"/>
    <w:rsid w:val="673116C3"/>
    <w:rsid w:val="67860AE7"/>
    <w:rsid w:val="69933A2E"/>
    <w:rsid w:val="6AB13747"/>
    <w:rsid w:val="6B516770"/>
    <w:rsid w:val="6D535020"/>
    <w:rsid w:val="6F0066A4"/>
    <w:rsid w:val="6FDD449A"/>
    <w:rsid w:val="700E535E"/>
    <w:rsid w:val="706A3BBB"/>
    <w:rsid w:val="72837AB5"/>
    <w:rsid w:val="73FB619D"/>
    <w:rsid w:val="74B60D86"/>
    <w:rsid w:val="75383CE8"/>
    <w:rsid w:val="773A517A"/>
    <w:rsid w:val="777A3E5B"/>
    <w:rsid w:val="77EA3DAE"/>
    <w:rsid w:val="784F3571"/>
    <w:rsid w:val="7A9B31A3"/>
    <w:rsid w:val="7DD11055"/>
    <w:rsid w:val="7F1954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szCs w:val="22"/>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unhideWhenUsed/>
    <w:qFormat/>
    <w:uiPriority w:val="0"/>
    <w:pPr>
      <w:ind w:left="118"/>
    </w:pPr>
    <w:rPr>
      <w:rFonts w:hint="eastAsia" w:ascii="宋体" w:hAnsi="宋体" w:eastAsia="宋体"/>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styleId="10">
    <w:name w:val="List Paragraph"/>
    <w:basedOn w:val="1"/>
    <w:qFormat/>
    <w:uiPriority w:val="34"/>
    <w:pPr>
      <w:ind w:firstLine="420" w:firstLineChars="200"/>
    </w:pPr>
  </w:style>
  <w:style w:type="character" w:customStyle="1" w:styleId="11">
    <w:name w:val="font31"/>
    <w:basedOn w:val="8"/>
    <w:qFormat/>
    <w:uiPriority w:val="0"/>
    <w:rPr>
      <w:rFonts w:hint="eastAsia" w:ascii="仿宋" w:hAnsi="仿宋" w:eastAsia="仿宋" w:cs="仿宋"/>
      <w:color w:val="000000"/>
      <w:sz w:val="20"/>
      <w:szCs w:val="20"/>
      <w:u w:val="none"/>
    </w:rPr>
  </w:style>
  <w:style w:type="paragraph" w:customStyle="1" w:styleId="12">
    <w:name w:val="样式1"/>
    <w:basedOn w:val="1"/>
    <w:qFormat/>
    <w:uiPriority w:val="0"/>
  </w:style>
  <w:style w:type="character" w:customStyle="1" w:styleId="13">
    <w:name w:val="font11"/>
    <w:basedOn w:val="8"/>
    <w:qFormat/>
    <w:uiPriority w:val="0"/>
    <w:rPr>
      <w:rFonts w:hint="eastAsia" w:ascii="仿宋" w:hAnsi="仿宋" w:eastAsia="仿宋" w:cs="仿宋"/>
      <w:color w:val="000000"/>
      <w:sz w:val="20"/>
      <w:szCs w:val="20"/>
      <w:u w:val="none"/>
    </w:rPr>
  </w:style>
  <w:style w:type="character" w:customStyle="1" w:styleId="14">
    <w:name w:val="font41"/>
    <w:basedOn w:val="8"/>
    <w:qFormat/>
    <w:uiPriority w:val="0"/>
    <w:rPr>
      <w:rFonts w:hint="eastAsia" w:ascii="仿宋" w:hAnsi="仿宋" w:eastAsia="仿宋" w:cs="仿宋"/>
      <w:color w:val="000000"/>
      <w:sz w:val="20"/>
      <w:szCs w:val="20"/>
      <w:u w:val="none"/>
    </w:rPr>
  </w:style>
  <w:style w:type="paragraph" w:customStyle="1" w:styleId="15">
    <w:name w:val="列出段落1"/>
    <w:basedOn w:val="1"/>
    <w:autoRedefine/>
    <w:qFormat/>
    <w:uiPriority w:val="34"/>
    <w:pPr>
      <w:ind w:firstLine="420" w:firstLineChars="200"/>
    </w:pPr>
    <w:rPr>
      <w:rFonts w:asciiTheme="minorHAnsi" w:hAnsiTheme="minorHAnsi" w:eastAsiaTheme="minorEastAsia" w:cstheme="minorBidi"/>
    </w:rPr>
  </w:style>
  <w:style w:type="paragraph" w:customStyle="1" w:styleId="16">
    <w:name w:val="Table Text"/>
    <w:basedOn w:val="1"/>
    <w:semiHidden/>
    <w:qFormat/>
    <w:uiPriority w:val="0"/>
    <w:rPr>
      <w:rFonts w:ascii="宋体" w:hAnsi="宋体" w:eastAsia="宋体" w:cs="宋体"/>
      <w:sz w:val="28"/>
      <w:szCs w:val="28"/>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ffci-zhangpeng\AppData\Roaming\Kingsoft\wps\addons\pool\win-i386\knewfileres_1.0.0.1\wps\0.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1</Pages>
  <Words>13508</Words>
  <Characters>14716</Characters>
  <Lines>0</Lines>
  <Paragraphs>0</Paragraphs>
  <TotalTime>0</TotalTime>
  <ScaleCrop>false</ScaleCrop>
  <LinksUpToDate>false</LinksUpToDate>
  <CharactersWithSpaces>14919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2018-04-04T07:31:00Z</dcterms:created>
  <dc:creator>caffci-zhangpeng</dc:creator>
  <cp:lastModifiedBy>Mira</cp:lastModifiedBy>
  <dcterms:modified xsi:type="dcterms:W3CDTF">2026-08-18T07:17:41Z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C35A1D194B4B436C8D14B1C8DA145EF4_13</vt:lpwstr>
  </property>
  <property fmtid="{D5CDD505-2E9C-101B-9397-08002B2CF9AE}" pid="4" name="KSOTemplateDocerSaveRecord">
    <vt:lpwstr>eyJoZGlkIjoiZjA2ZTg3M2E0NjA0NTc4MGI1ZTAwOWM4ODUxY2UzOGYiLCJ1c2VySWQiOiIyMDQ3MDQ5NjYifQ==</vt:lpwstr>
  </property>
</Properties>
</file>