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D76FC">
      <w:pPr>
        <w:keepNext/>
        <w:keepLines/>
        <w:spacing w:before="0" w:beforeLines="0" w:after="159" w:afterLines="50" w:line="300" w:lineRule="auto"/>
        <w:jc w:val="both"/>
        <w:outlineLvl w:val="1"/>
        <w:rPr>
          <w:rFonts w:hint="eastAsia" w:ascii="黑体" w:hAnsi="黑体" w:eastAsia="黑体"/>
          <w:iCs/>
          <w:kern w:val="0"/>
          <w:sz w:val="32"/>
          <w:szCs w:val="18"/>
        </w:rPr>
      </w:pPr>
      <w:bookmarkStart w:id="0" w:name="_Toc436648567"/>
      <w:bookmarkStart w:id="1" w:name="_Toc91681950"/>
      <w:bookmarkStart w:id="2" w:name="_Toc795"/>
      <w:bookmarkStart w:id="3" w:name="_Toc410385820"/>
      <w:bookmarkStart w:id="4" w:name="_Toc27493"/>
      <w:bookmarkStart w:id="5" w:name="_Toc436647223"/>
      <w:bookmarkStart w:id="6" w:name="OLE_LINK254"/>
      <w:bookmarkStart w:id="7" w:name="OLE_LINK253"/>
      <w:r>
        <w:rPr>
          <w:rFonts w:hint="eastAsia" w:ascii="黑体" w:hAnsi="黑体" w:eastAsia="黑体"/>
          <w:iCs/>
          <w:kern w:val="0"/>
          <w:sz w:val="32"/>
          <w:szCs w:val="18"/>
        </w:rPr>
        <w:t>附件2</w:t>
      </w:r>
    </w:p>
    <w:p w14:paraId="25690328">
      <w:pPr>
        <w:keepNext/>
        <w:keepLines/>
        <w:spacing w:before="159" w:beforeLines="50" w:after="159" w:afterLines="50" w:line="300" w:lineRule="auto"/>
        <w:jc w:val="center"/>
        <w:outlineLvl w:val="1"/>
        <w:rPr>
          <w:rFonts w:ascii="Times New Roman" w:hAnsi="Times New Roman" w:eastAsia="黑体"/>
          <w:iCs/>
          <w:kern w:val="0"/>
          <w:sz w:val="32"/>
          <w:szCs w:val="18"/>
        </w:rPr>
      </w:pPr>
      <w:r>
        <w:rPr>
          <w:rFonts w:hint="eastAsia" w:ascii="Times New Roman" w:hAnsi="Times New Roman" w:eastAsia="黑体"/>
          <w:iCs/>
          <w:kern w:val="0"/>
          <w:sz w:val="32"/>
          <w:szCs w:val="18"/>
        </w:rPr>
        <w:t>化妆品中</w:t>
      </w:r>
      <w:r>
        <w:rPr>
          <w:rFonts w:ascii="Times New Roman" w:hAnsi="Times New Roman" w:eastAsia="黑体"/>
          <w:iCs/>
          <w:kern w:val="0"/>
          <w:sz w:val="32"/>
          <w:szCs w:val="18"/>
        </w:rPr>
        <w:t>微生物检验方法总则</w:t>
      </w:r>
      <w:bookmarkEnd w:id="0"/>
      <w:bookmarkEnd w:id="1"/>
      <w:bookmarkEnd w:id="2"/>
      <w:bookmarkEnd w:id="3"/>
      <w:bookmarkEnd w:id="4"/>
      <w:bookmarkEnd w:id="5"/>
    </w:p>
    <w:p w14:paraId="45EFC197">
      <w:pPr>
        <w:widowControl/>
        <w:spacing w:before="159" w:beforeLines="50" w:after="159" w:afterLines="50" w:line="300" w:lineRule="auto"/>
        <w:jc w:val="center"/>
        <w:rPr>
          <w:rFonts w:ascii="Times New Roman" w:hAnsi="Times New Roman"/>
          <w:iCs/>
          <w:kern w:val="0"/>
          <w:szCs w:val="21"/>
        </w:rPr>
      </w:pPr>
      <w:r>
        <w:rPr>
          <w:rFonts w:ascii="Times New Roman" w:hAnsi="Times New Roman"/>
          <w:iCs/>
          <w:kern w:val="0"/>
          <w:szCs w:val="21"/>
          <w:lang w:bidi="ar"/>
        </w:rPr>
        <w:t xml:space="preserve">General Principles </w:t>
      </w:r>
      <w:r>
        <w:rPr>
          <w:rFonts w:hint="eastAsia" w:ascii="Times New Roman" w:hAnsi="Times New Roman"/>
          <w:iCs/>
          <w:kern w:val="0"/>
          <w:szCs w:val="21"/>
          <w:lang w:bidi="ar"/>
        </w:rPr>
        <w:t xml:space="preserve">for </w:t>
      </w:r>
      <w:r>
        <w:rPr>
          <w:rFonts w:ascii="Times New Roman" w:hAnsi="Times New Roman"/>
          <w:iCs/>
          <w:kern w:val="0"/>
          <w:szCs w:val="21"/>
          <w:lang w:bidi="ar"/>
        </w:rPr>
        <w:t>Microbiological Examination</w:t>
      </w:r>
      <w:r>
        <w:rPr>
          <w:rFonts w:hint="eastAsia" w:ascii="Times New Roman" w:hAnsi="Times New Roman"/>
          <w:iCs/>
          <w:kern w:val="0"/>
          <w:szCs w:val="21"/>
          <w:lang w:bidi="ar"/>
        </w:rPr>
        <w:t xml:space="preserve"> in </w:t>
      </w:r>
      <w:r>
        <w:rPr>
          <w:rFonts w:ascii="Times New Roman" w:hAnsi="Times New Roman"/>
          <w:iCs/>
          <w:kern w:val="0"/>
          <w:szCs w:val="21"/>
          <w:lang w:bidi="ar"/>
        </w:rPr>
        <w:t>Cosmetics</w:t>
      </w:r>
    </w:p>
    <w:p w14:paraId="555BBDAE">
      <w:pPr>
        <w:keepNext/>
        <w:keepLines/>
        <w:spacing w:before="159" w:beforeLines="50" w:after="159" w:afterLines="50" w:line="300" w:lineRule="auto"/>
        <w:outlineLvl w:val="2"/>
        <w:rPr>
          <w:rFonts w:ascii="Times New Roman" w:hAnsi="Times New Roman" w:eastAsia="黑体"/>
          <w:szCs w:val="21"/>
        </w:rPr>
      </w:pPr>
      <w:bookmarkStart w:id="8" w:name="_Toc91679041"/>
      <w:bookmarkStart w:id="9" w:name="OLE_LINK360"/>
      <w:bookmarkStart w:id="10" w:name="OLE_LINK359"/>
      <w:bookmarkStart w:id="11" w:name="OLE_LINK526"/>
      <w:bookmarkStart w:id="12" w:name="OLE_LINK525"/>
      <w:r>
        <w:rPr>
          <w:rFonts w:ascii="Times New Roman" w:hAnsi="Times New Roman" w:eastAsia="黑体"/>
          <w:szCs w:val="21"/>
        </w:rPr>
        <w:t>1  范围</w:t>
      </w:r>
      <w:bookmarkEnd w:id="8"/>
    </w:p>
    <w:bookmarkEnd w:id="9"/>
    <w:bookmarkEnd w:id="10"/>
    <w:p w14:paraId="43E3312F">
      <w:pPr>
        <w:spacing w:line="300" w:lineRule="auto"/>
        <w:ind w:firstLine="426" w:firstLineChars="200"/>
        <w:rPr>
          <w:rFonts w:ascii="Times New Roman" w:hAnsi="Times New Roman"/>
          <w:szCs w:val="21"/>
        </w:rPr>
      </w:pPr>
      <w:bookmarkStart w:id="13" w:name="OLE_LINK511"/>
      <w:bookmarkStart w:id="14" w:name="OLE_LINK358"/>
      <w:bookmarkStart w:id="15" w:name="OLE_LINK412"/>
      <w:r>
        <w:rPr>
          <w:rFonts w:ascii="Times New Roman" w:hAnsi="Times New Roman"/>
          <w:szCs w:val="21"/>
        </w:rPr>
        <w:t>本部分规定了化妆品微生物学检验的基本原则和要求。</w:t>
      </w:r>
    </w:p>
    <w:p w14:paraId="2D79CA6E">
      <w:pPr>
        <w:spacing w:line="300" w:lineRule="auto"/>
        <w:ind w:firstLine="426" w:firstLineChars="200"/>
        <w:rPr>
          <w:rFonts w:ascii="Times New Roman" w:hAnsi="Times New Roman"/>
          <w:szCs w:val="21"/>
        </w:rPr>
      </w:pPr>
      <w:r>
        <w:rPr>
          <w:rFonts w:ascii="Times New Roman" w:hAnsi="Times New Roman"/>
          <w:szCs w:val="21"/>
        </w:rPr>
        <w:t>本部分适用于化妆品的微生物学检验。</w:t>
      </w:r>
    </w:p>
    <w:bookmarkEnd w:id="13"/>
    <w:bookmarkEnd w:id="14"/>
    <w:bookmarkEnd w:id="15"/>
    <w:p w14:paraId="6CA97C21">
      <w:pPr>
        <w:keepNext/>
        <w:keepLines/>
        <w:spacing w:before="159" w:beforeLines="50" w:after="159" w:afterLines="50" w:line="300" w:lineRule="auto"/>
        <w:outlineLvl w:val="2"/>
        <w:rPr>
          <w:rFonts w:ascii="Times New Roman" w:hAnsi="Times New Roman" w:eastAsia="黑体"/>
          <w:szCs w:val="21"/>
        </w:rPr>
      </w:pPr>
      <w:bookmarkStart w:id="16" w:name="OLE_LINK362"/>
      <w:bookmarkStart w:id="17" w:name="OLE_LINK361"/>
      <w:bookmarkStart w:id="18" w:name="_Toc91679042"/>
      <w:r>
        <w:rPr>
          <w:rFonts w:ascii="Times New Roman" w:hAnsi="Times New Roman" w:eastAsia="黑体"/>
          <w:szCs w:val="21"/>
        </w:rPr>
        <w:t xml:space="preserve">2  </w:t>
      </w:r>
      <w:bookmarkStart w:id="19" w:name="OLE_LINK52"/>
      <w:bookmarkStart w:id="20" w:name="OLE_LINK57"/>
      <w:r>
        <w:rPr>
          <w:rFonts w:ascii="Times New Roman" w:hAnsi="Times New Roman" w:eastAsia="黑体"/>
          <w:szCs w:val="21"/>
        </w:rPr>
        <w:t>实验室基本要求</w:t>
      </w:r>
      <w:bookmarkEnd w:id="19"/>
      <w:bookmarkEnd w:id="20"/>
    </w:p>
    <w:bookmarkEnd w:id="16"/>
    <w:bookmarkEnd w:id="17"/>
    <w:p w14:paraId="70417034">
      <w:pPr>
        <w:spacing w:before="159" w:beforeLines="50" w:after="159" w:afterLines="50" w:line="300" w:lineRule="auto"/>
        <w:rPr>
          <w:rFonts w:ascii="Times New Roman" w:hAnsi="Times New Roman"/>
          <w:szCs w:val="21"/>
        </w:rPr>
      </w:pPr>
      <w:bookmarkStart w:id="21" w:name="OLE_LINK90"/>
      <w:bookmarkStart w:id="22" w:name="OLE_LINK89"/>
      <w:bookmarkStart w:id="23" w:name="OLE_LINK12"/>
      <w:bookmarkStart w:id="24" w:name="OLE_LINK71"/>
      <w:r>
        <w:rPr>
          <w:rFonts w:hint="eastAsia" w:ascii="Times New Roman" w:hAnsi="Times New Roman"/>
          <w:szCs w:val="21"/>
        </w:rPr>
        <w:t>2.</w:t>
      </w:r>
      <w:bookmarkStart w:id="25" w:name="OLE_LINK85"/>
      <w:bookmarkStart w:id="26" w:name="OLE_LINK88"/>
      <w:r>
        <w:rPr>
          <w:rFonts w:hint="eastAsia" w:ascii="Times New Roman" w:hAnsi="Times New Roman"/>
          <w:szCs w:val="21"/>
        </w:rPr>
        <w:t xml:space="preserve">1  </w:t>
      </w:r>
      <w:r>
        <w:rPr>
          <w:rFonts w:ascii="Times New Roman" w:hAnsi="Times New Roman"/>
          <w:szCs w:val="21"/>
        </w:rPr>
        <w:t>环境</w:t>
      </w:r>
      <w:bookmarkEnd w:id="25"/>
      <w:bookmarkEnd w:id="26"/>
    </w:p>
    <w:bookmarkEnd w:id="21"/>
    <w:bookmarkEnd w:id="22"/>
    <w:p w14:paraId="3485E705">
      <w:pPr>
        <w:spacing w:line="300" w:lineRule="auto"/>
        <w:rPr>
          <w:rFonts w:ascii="Times New Roman" w:hAnsi="Times New Roman"/>
          <w:szCs w:val="21"/>
        </w:rPr>
      </w:pPr>
      <w:r>
        <w:rPr>
          <w:rFonts w:ascii="Times New Roman" w:hAnsi="Times New Roman"/>
          <w:szCs w:val="21"/>
        </w:rPr>
        <w:t>2.1.1 实验室环境不应影响检验结果的准确性。</w:t>
      </w:r>
    </w:p>
    <w:p w14:paraId="6CCD23A1">
      <w:pPr>
        <w:spacing w:line="300" w:lineRule="auto"/>
        <w:rPr>
          <w:rFonts w:ascii="Times New Roman" w:hAnsi="Times New Roman"/>
          <w:szCs w:val="21"/>
        </w:rPr>
      </w:pPr>
      <w:r>
        <w:rPr>
          <w:rFonts w:ascii="Times New Roman" w:hAnsi="Times New Roman"/>
          <w:szCs w:val="21"/>
        </w:rPr>
        <w:t>2.1.2 实验室的工作区域与办公室区域应明显分开。</w:t>
      </w:r>
    </w:p>
    <w:p w14:paraId="16825A28">
      <w:pPr>
        <w:spacing w:line="300" w:lineRule="auto"/>
        <w:rPr>
          <w:rFonts w:ascii="Times New Roman" w:hAnsi="Times New Roman"/>
          <w:szCs w:val="21"/>
        </w:rPr>
      </w:pPr>
      <w:r>
        <w:rPr>
          <w:rFonts w:ascii="Times New Roman" w:hAnsi="Times New Roman"/>
          <w:szCs w:val="21"/>
        </w:rPr>
        <w:t>2.1.3 实验室工作面积和总</w:t>
      </w:r>
      <w:bookmarkStart w:id="27" w:name="OLE_LINK53"/>
      <w:bookmarkStart w:id="28" w:name="OLE_LINK45"/>
      <w:r>
        <w:rPr>
          <w:rFonts w:ascii="Times New Roman" w:hAnsi="Times New Roman"/>
          <w:szCs w:val="21"/>
        </w:rPr>
        <w:t>体布局应能</w:t>
      </w:r>
      <w:bookmarkEnd w:id="27"/>
      <w:bookmarkEnd w:id="28"/>
      <w:r>
        <w:rPr>
          <w:rFonts w:ascii="Times New Roman" w:hAnsi="Times New Roman"/>
          <w:szCs w:val="21"/>
        </w:rPr>
        <w:t>满足从事检验工作的需要，实验室布局宜采用单方向工作流程，避免交叉污染。</w:t>
      </w:r>
    </w:p>
    <w:p w14:paraId="45EE0FD1">
      <w:pPr>
        <w:spacing w:line="300" w:lineRule="auto"/>
        <w:rPr>
          <w:rFonts w:ascii="Times New Roman" w:hAnsi="Times New Roman"/>
          <w:szCs w:val="21"/>
        </w:rPr>
      </w:pPr>
      <w:r>
        <w:rPr>
          <w:rFonts w:ascii="Times New Roman" w:hAnsi="Times New Roman"/>
          <w:szCs w:val="21"/>
        </w:rPr>
        <w:t xml:space="preserve">2.1.4 </w:t>
      </w:r>
      <w:bookmarkStart w:id="29" w:name="OLE_LINK100"/>
      <w:bookmarkStart w:id="30" w:name="OLE_LINK101"/>
      <w:bookmarkStart w:id="31" w:name="OLE_LINK99"/>
      <w:r>
        <w:rPr>
          <w:rFonts w:ascii="Times New Roman" w:hAnsi="Times New Roman"/>
          <w:szCs w:val="21"/>
        </w:rPr>
        <w:t>化妆品样品检验应在洁净区域进行，洁净区域应有明显</w:t>
      </w:r>
      <w:r>
        <w:rPr>
          <w:rFonts w:hint="eastAsia" w:ascii="Times New Roman" w:hAnsi="Times New Roman"/>
          <w:szCs w:val="21"/>
        </w:rPr>
        <w:t>标识</w:t>
      </w:r>
      <w:bookmarkEnd w:id="29"/>
      <w:bookmarkEnd w:id="30"/>
      <w:bookmarkEnd w:id="31"/>
      <w:r>
        <w:rPr>
          <w:rFonts w:ascii="Times New Roman" w:hAnsi="Times New Roman"/>
          <w:szCs w:val="21"/>
        </w:rPr>
        <w:t>。</w:t>
      </w:r>
    </w:p>
    <w:p w14:paraId="2D47EF66">
      <w:pPr>
        <w:spacing w:line="300" w:lineRule="auto"/>
        <w:rPr>
          <w:rFonts w:ascii="Times New Roman" w:hAnsi="Times New Roman"/>
          <w:szCs w:val="21"/>
        </w:rPr>
      </w:pPr>
      <w:r>
        <w:rPr>
          <w:rFonts w:ascii="Times New Roman" w:hAnsi="Times New Roman"/>
          <w:szCs w:val="21"/>
        </w:rPr>
        <w:t>2.1.5 实验室内环境的温度、湿度、洁净度及照度、噪声等应符合工作要求。</w:t>
      </w:r>
    </w:p>
    <w:p w14:paraId="1CCB620C">
      <w:pPr>
        <w:spacing w:line="300" w:lineRule="auto"/>
        <w:rPr>
          <w:rFonts w:ascii="Times New Roman" w:hAnsi="Times New Roman"/>
          <w:szCs w:val="21"/>
        </w:rPr>
      </w:pPr>
      <w:r>
        <w:rPr>
          <w:rFonts w:ascii="Times New Roman" w:hAnsi="Times New Roman"/>
          <w:szCs w:val="21"/>
        </w:rPr>
        <w:t>2.1.6 病原微生物分离鉴定工作应在符合二级生物安全实验室（Biosafety level 2, BSL-2）要求的布局环境</w:t>
      </w:r>
      <w:r>
        <w:rPr>
          <w:rFonts w:hint="eastAsia" w:ascii="Times New Roman" w:hAnsi="Times New Roman"/>
          <w:szCs w:val="21"/>
        </w:rPr>
        <w:t>、</w:t>
      </w:r>
      <w:r>
        <w:rPr>
          <w:rFonts w:ascii="Times New Roman" w:hAnsi="Times New Roman"/>
          <w:szCs w:val="21"/>
        </w:rPr>
        <w:t>安全防护等条件下进行。</w:t>
      </w:r>
    </w:p>
    <w:bookmarkEnd w:id="23"/>
    <w:bookmarkEnd w:id="24"/>
    <w:p w14:paraId="1B83BA49">
      <w:pPr>
        <w:spacing w:before="159" w:beforeLines="50" w:after="159" w:afterLines="50" w:line="300" w:lineRule="auto"/>
        <w:rPr>
          <w:rFonts w:ascii="Times New Roman" w:hAnsi="Times New Roman"/>
          <w:szCs w:val="21"/>
        </w:rPr>
      </w:pPr>
      <w:bookmarkStart w:id="32" w:name="OLE_LINK84"/>
      <w:bookmarkStart w:id="33" w:name="OLE_LINK409"/>
      <w:bookmarkStart w:id="34" w:name="OLE_LINK83"/>
      <w:bookmarkStart w:id="35" w:name="OLE_LINK408"/>
      <w:r>
        <w:rPr>
          <w:rFonts w:hint="eastAsia" w:ascii="Times New Roman" w:hAnsi="Times New Roman"/>
          <w:szCs w:val="21"/>
        </w:rPr>
        <w:t>2.2  人员</w:t>
      </w:r>
    </w:p>
    <w:bookmarkEnd w:id="32"/>
    <w:bookmarkEnd w:id="33"/>
    <w:bookmarkEnd w:id="34"/>
    <w:bookmarkEnd w:id="35"/>
    <w:p w14:paraId="7B1CA9D4">
      <w:pPr>
        <w:spacing w:line="300" w:lineRule="auto"/>
        <w:rPr>
          <w:rFonts w:ascii="Times New Roman" w:hAnsi="Times New Roman"/>
          <w:szCs w:val="21"/>
        </w:rPr>
      </w:pPr>
      <w:bookmarkStart w:id="36" w:name="OLE_LINK512"/>
      <w:bookmarkStart w:id="37" w:name="OLE_LINK413"/>
      <w:bookmarkStart w:id="38" w:name="OLE_LINK414"/>
      <w:r>
        <w:rPr>
          <w:rFonts w:ascii="Times New Roman" w:hAnsi="Times New Roman"/>
          <w:szCs w:val="21"/>
        </w:rPr>
        <w:t>2.2.1</w:t>
      </w:r>
      <w:bookmarkStart w:id="39" w:name="OLE_LINK98"/>
      <w:bookmarkStart w:id="40" w:name="OLE_LINK97"/>
      <w:r>
        <w:rPr>
          <w:rFonts w:ascii="Times New Roman" w:hAnsi="Times New Roman"/>
          <w:szCs w:val="21"/>
        </w:rPr>
        <w:t xml:space="preserve"> </w:t>
      </w:r>
      <w:bookmarkEnd w:id="39"/>
      <w:bookmarkEnd w:id="40"/>
      <w:r>
        <w:rPr>
          <w:rFonts w:ascii="Times New Roman" w:hAnsi="Times New Roman"/>
          <w:szCs w:val="21"/>
        </w:rPr>
        <w:t xml:space="preserve">检验人员应具有相应的微生物专业教育或培训经历，具备相关专业知识，能够理解并正确实施检验。 </w:t>
      </w:r>
    </w:p>
    <w:p w14:paraId="35AEB8C4">
      <w:pPr>
        <w:spacing w:line="300" w:lineRule="auto"/>
        <w:rPr>
          <w:rFonts w:ascii="Times New Roman" w:hAnsi="Times New Roman"/>
          <w:szCs w:val="21"/>
        </w:rPr>
      </w:pPr>
      <w:r>
        <w:rPr>
          <w:rFonts w:ascii="Times New Roman" w:hAnsi="Times New Roman"/>
          <w:szCs w:val="21"/>
        </w:rPr>
        <w:t>2.2.2 检验人员应掌握实验室生物检验安全操作知识和消毒灭菌知识。</w:t>
      </w:r>
    </w:p>
    <w:p w14:paraId="60722039">
      <w:pPr>
        <w:spacing w:line="300" w:lineRule="auto"/>
        <w:rPr>
          <w:rFonts w:ascii="Times New Roman" w:hAnsi="Times New Roman"/>
          <w:szCs w:val="21"/>
        </w:rPr>
      </w:pPr>
      <w:r>
        <w:rPr>
          <w:rFonts w:ascii="Times New Roman" w:hAnsi="Times New Roman"/>
          <w:szCs w:val="21"/>
        </w:rPr>
        <w:t>2.2.3 检验人员应在检验过程中保持个人整洁与卫生，防止人为污染样品。</w:t>
      </w:r>
    </w:p>
    <w:p w14:paraId="6F9435F5">
      <w:pPr>
        <w:spacing w:line="300" w:lineRule="auto"/>
        <w:rPr>
          <w:rFonts w:ascii="Times New Roman" w:hAnsi="Times New Roman"/>
          <w:szCs w:val="21"/>
        </w:rPr>
      </w:pPr>
      <w:r>
        <w:rPr>
          <w:rFonts w:ascii="Times New Roman" w:hAnsi="Times New Roman"/>
          <w:szCs w:val="21"/>
        </w:rPr>
        <w:t>2.2.4 检验人员应在检验过程中遵守相关预防措施的规定，保证自身安全。</w:t>
      </w:r>
    </w:p>
    <w:p w14:paraId="75EA8B9E">
      <w:pPr>
        <w:spacing w:line="300" w:lineRule="auto"/>
        <w:rPr>
          <w:rFonts w:ascii="Times New Roman" w:hAnsi="Times New Roman"/>
          <w:szCs w:val="21"/>
        </w:rPr>
      </w:pPr>
      <w:r>
        <w:rPr>
          <w:rFonts w:ascii="Times New Roman" w:hAnsi="Times New Roman"/>
          <w:szCs w:val="21"/>
        </w:rPr>
        <w:t>2.2.5 有颜色视觉障碍的人员不能执行涉及辨色的实验。</w:t>
      </w:r>
    </w:p>
    <w:bookmarkEnd w:id="36"/>
    <w:bookmarkEnd w:id="37"/>
    <w:bookmarkEnd w:id="38"/>
    <w:p w14:paraId="2D17A719">
      <w:pPr>
        <w:spacing w:before="159" w:beforeLines="50" w:after="159" w:afterLines="50" w:line="300" w:lineRule="auto"/>
        <w:rPr>
          <w:rFonts w:ascii="Times New Roman" w:hAnsi="Times New Roman"/>
          <w:szCs w:val="21"/>
        </w:rPr>
      </w:pPr>
      <w:r>
        <w:rPr>
          <w:rFonts w:hint="eastAsia" w:ascii="Times New Roman" w:hAnsi="Times New Roman"/>
          <w:szCs w:val="21"/>
        </w:rPr>
        <w:t>2.3  实验设备</w:t>
      </w:r>
      <w:bookmarkEnd w:id="18"/>
    </w:p>
    <w:p w14:paraId="1F6AA6C5">
      <w:pPr>
        <w:spacing w:line="300" w:lineRule="auto"/>
        <w:rPr>
          <w:rFonts w:ascii="Times New Roman" w:hAnsi="Times New Roman"/>
          <w:szCs w:val="21"/>
        </w:rPr>
      </w:pPr>
      <w:bookmarkStart w:id="41" w:name="OLE_LINK416"/>
      <w:bookmarkStart w:id="42" w:name="OLE_LINK415"/>
      <w:bookmarkStart w:id="43" w:name="OLE_LINK515"/>
      <w:bookmarkStart w:id="44" w:name="OLE_LINK514"/>
      <w:r>
        <w:rPr>
          <w:rFonts w:ascii="Times New Roman" w:hAnsi="Times New Roman"/>
          <w:szCs w:val="21"/>
        </w:rPr>
        <w:t xml:space="preserve">2.3.1 </w:t>
      </w:r>
      <w:r>
        <w:rPr>
          <w:rFonts w:hint="eastAsia" w:ascii="Times New Roman" w:hAnsi="Times New Roman"/>
          <w:szCs w:val="21"/>
        </w:rPr>
        <w:t>实验</w:t>
      </w:r>
      <w:r>
        <w:rPr>
          <w:rFonts w:ascii="Times New Roman" w:hAnsi="Times New Roman"/>
          <w:szCs w:val="21"/>
        </w:rPr>
        <w:t>设备</w:t>
      </w:r>
      <w:bookmarkStart w:id="45" w:name="OLE_LINK54"/>
      <w:bookmarkStart w:id="46" w:name="OLE_LINK55"/>
      <w:bookmarkStart w:id="47" w:name="OLE_LINK204"/>
      <w:bookmarkStart w:id="48" w:name="OLE_LINK203"/>
      <w:r>
        <w:rPr>
          <w:rFonts w:ascii="Times New Roman" w:hAnsi="Times New Roman"/>
          <w:szCs w:val="21"/>
        </w:rPr>
        <w:t>应能</w:t>
      </w:r>
      <w:bookmarkEnd w:id="45"/>
      <w:bookmarkEnd w:id="46"/>
      <w:r>
        <w:rPr>
          <w:rFonts w:ascii="Times New Roman" w:hAnsi="Times New Roman"/>
          <w:szCs w:val="21"/>
        </w:rPr>
        <w:t>满足检</w:t>
      </w:r>
      <w:bookmarkEnd w:id="47"/>
      <w:bookmarkEnd w:id="48"/>
      <w:r>
        <w:rPr>
          <w:rFonts w:ascii="Times New Roman" w:hAnsi="Times New Roman"/>
          <w:szCs w:val="21"/>
        </w:rPr>
        <w:t>验工作的需要，常用</w:t>
      </w:r>
      <w:r>
        <w:rPr>
          <w:rFonts w:hint="eastAsia" w:ascii="Times New Roman" w:hAnsi="Times New Roman"/>
          <w:szCs w:val="21"/>
        </w:rPr>
        <w:t>实验</w:t>
      </w:r>
      <w:r>
        <w:rPr>
          <w:rFonts w:ascii="Times New Roman" w:hAnsi="Times New Roman"/>
          <w:szCs w:val="21"/>
        </w:rPr>
        <w:t>设备见A.1。</w:t>
      </w:r>
    </w:p>
    <w:p w14:paraId="5F08913C">
      <w:pPr>
        <w:spacing w:line="300" w:lineRule="auto"/>
        <w:rPr>
          <w:rFonts w:ascii="Times New Roman" w:hAnsi="Times New Roman"/>
          <w:szCs w:val="21"/>
        </w:rPr>
      </w:pPr>
      <w:r>
        <w:rPr>
          <w:rFonts w:ascii="Times New Roman" w:hAnsi="Times New Roman"/>
          <w:szCs w:val="21"/>
        </w:rPr>
        <w:t>2.3.2 实验设备应放置于适宜的环境条件下，便于维护、清洁、消毒与校准，并保持整洁与良好的工作状态。</w:t>
      </w:r>
    </w:p>
    <w:bookmarkEnd w:id="41"/>
    <w:bookmarkEnd w:id="42"/>
    <w:p w14:paraId="180ECE93">
      <w:pPr>
        <w:spacing w:line="300" w:lineRule="auto"/>
        <w:rPr>
          <w:rFonts w:ascii="Times New Roman" w:hAnsi="Times New Roman"/>
          <w:szCs w:val="21"/>
        </w:rPr>
      </w:pPr>
      <w:r>
        <w:rPr>
          <w:rFonts w:ascii="Times New Roman" w:hAnsi="Times New Roman"/>
          <w:szCs w:val="21"/>
        </w:rPr>
        <w:t>2.3.3 实验设备应</w:t>
      </w:r>
      <w:bookmarkStart w:id="49" w:name="OLE_LINK56"/>
      <w:r>
        <w:rPr>
          <w:rFonts w:ascii="Times New Roman" w:hAnsi="Times New Roman"/>
          <w:szCs w:val="21"/>
        </w:rPr>
        <w:t>定期进行检查和</w:t>
      </w:r>
      <w:bookmarkEnd w:id="49"/>
      <w:r>
        <w:rPr>
          <w:rFonts w:ascii="Times New Roman" w:hAnsi="Times New Roman"/>
          <w:szCs w:val="21"/>
        </w:rPr>
        <w:t>/或检定</w:t>
      </w:r>
      <w:r>
        <w:rPr>
          <w:rFonts w:hint="eastAsia" w:ascii="Times New Roman" w:hAnsi="Times New Roman"/>
          <w:szCs w:val="21"/>
        </w:rPr>
        <w:t>（</w:t>
      </w:r>
      <w:r>
        <w:rPr>
          <w:rFonts w:ascii="Times New Roman" w:hAnsi="Times New Roman"/>
          <w:szCs w:val="21"/>
        </w:rPr>
        <w:t>加贴标识</w:t>
      </w:r>
      <w:r>
        <w:rPr>
          <w:rFonts w:hint="eastAsia" w:ascii="Times New Roman" w:hAnsi="Times New Roman"/>
          <w:szCs w:val="21"/>
        </w:rPr>
        <w:t>）</w:t>
      </w:r>
      <w:r>
        <w:rPr>
          <w:rFonts w:ascii="Times New Roman" w:hAnsi="Times New Roman"/>
          <w:szCs w:val="21"/>
        </w:rPr>
        <w:t>、维护和保养，以确保工作性能和操作安全。</w:t>
      </w:r>
    </w:p>
    <w:p w14:paraId="034A14BD">
      <w:pPr>
        <w:spacing w:line="300" w:lineRule="auto"/>
        <w:rPr>
          <w:rFonts w:ascii="Times New Roman" w:hAnsi="Times New Roman"/>
          <w:szCs w:val="21"/>
        </w:rPr>
      </w:pPr>
      <w:r>
        <w:rPr>
          <w:rFonts w:ascii="Times New Roman" w:hAnsi="Times New Roman"/>
          <w:szCs w:val="21"/>
        </w:rPr>
        <w:t>2.3.4 实验设备应有日常监控记录或使用记录。</w:t>
      </w:r>
      <w:bookmarkEnd w:id="43"/>
      <w:bookmarkEnd w:id="44"/>
    </w:p>
    <w:p w14:paraId="0F0ACE3B">
      <w:pPr>
        <w:spacing w:before="159" w:beforeLines="50" w:after="159" w:afterLines="50" w:line="300" w:lineRule="auto"/>
        <w:jc w:val="left"/>
        <w:rPr>
          <w:rFonts w:ascii="Times New Roman" w:hAnsi="Times New Roman"/>
          <w:szCs w:val="21"/>
        </w:rPr>
      </w:pPr>
      <w:bookmarkStart w:id="50" w:name="OLE_LINK400"/>
      <w:bookmarkStart w:id="51" w:name="OLE_LINK399"/>
      <w:bookmarkStart w:id="52" w:name="OLE_LINK407"/>
      <w:r>
        <w:rPr>
          <w:rFonts w:hint="eastAsia" w:ascii="Times New Roman" w:hAnsi="Times New Roman"/>
          <w:szCs w:val="21"/>
        </w:rPr>
        <w:t>2.</w:t>
      </w:r>
      <w:bookmarkStart w:id="53" w:name="OLE_LINK403"/>
      <w:r>
        <w:rPr>
          <w:rFonts w:hint="eastAsia" w:ascii="Times New Roman" w:hAnsi="Times New Roman"/>
          <w:szCs w:val="21"/>
        </w:rPr>
        <w:t>4</w:t>
      </w:r>
      <w:bookmarkEnd w:id="53"/>
      <w:r>
        <w:rPr>
          <w:rFonts w:hint="eastAsia" w:ascii="Times New Roman" w:hAnsi="Times New Roman"/>
          <w:szCs w:val="21"/>
        </w:rPr>
        <w:t xml:space="preserve">  检验用品</w:t>
      </w:r>
      <w:bookmarkEnd w:id="50"/>
      <w:bookmarkEnd w:id="51"/>
      <w:bookmarkEnd w:id="52"/>
      <w:bookmarkStart w:id="54" w:name="OLE_LINK516"/>
      <w:bookmarkStart w:id="55" w:name="OLE_LINK517"/>
      <w:bookmarkStart w:id="56" w:name="OLE_LINK417"/>
      <w:bookmarkStart w:id="57" w:name="OLE_LINK418"/>
    </w:p>
    <w:p w14:paraId="0DA0A9AA">
      <w:pPr>
        <w:spacing w:line="300" w:lineRule="auto"/>
        <w:rPr>
          <w:rFonts w:ascii="Times New Roman" w:hAnsi="Times New Roman"/>
          <w:szCs w:val="21"/>
        </w:rPr>
      </w:pPr>
      <w:r>
        <w:rPr>
          <w:rFonts w:ascii="Times New Roman" w:hAnsi="Times New Roman"/>
          <w:szCs w:val="21"/>
        </w:rPr>
        <w:t>2.4.1 检验用品应满足微生物检验工作的需求，常用检验用品见A.2。</w:t>
      </w:r>
    </w:p>
    <w:p w14:paraId="0F990C2E">
      <w:pPr>
        <w:spacing w:line="300" w:lineRule="auto"/>
        <w:rPr>
          <w:rFonts w:ascii="Times New Roman" w:hAnsi="Times New Roman"/>
          <w:szCs w:val="21"/>
        </w:rPr>
      </w:pPr>
      <w:r>
        <w:rPr>
          <w:rFonts w:ascii="Times New Roman" w:hAnsi="Times New Roman"/>
          <w:szCs w:val="21"/>
        </w:rPr>
        <w:t>2.4.2 检验用品在使用前应保持清洁和/或无菌。</w:t>
      </w:r>
    </w:p>
    <w:p w14:paraId="453A2636">
      <w:pPr>
        <w:spacing w:line="300" w:lineRule="auto"/>
        <w:rPr>
          <w:rFonts w:ascii="Times New Roman" w:hAnsi="Times New Roman"/>
          <w:szCs w:val="21"/>
        </w:rPr>
      </w:pPr>
      <w:r>
        <w:rPr>
          <w:rFonts w:ascii="Times New Roman" w:hAnsi="Times New Roman"/>
          <w:szCs w:val="21"/>
        </w:rPr>
        <w:t>2.4.3 需要灭菌的检验用品应放置在特定容器内或用合适的材料</w:t>
      </w:r>
      <w:r>
        <w:rPr>
          <w:rFonts w:hint="eastAsia" w:ascii="Times New Roman" w:hAnsi="Times New Roman"/>
          <w:szCs w:val="21"/>
        </w:rPr>
        <w:t>（</w:t>
      </w:r>
      <w:r>
        <w:rPr>
          <w:rFonts w:ascii="Times New Roman" w:hAnsi="Times New Roman"/>
          <w:szCs w:val="21"/>
        </w:rPr>
        <w:t>如专用包装纸、铝箔纸等</w:t>
      </w:r>
      <w:r>
        <w:rPr>
          <w:rFonts w:hint="eastAsia" w:ascii="Times New Roman" w:hAnsi="Times New Roman"/>
          <w:szCs w:val="21"/>
        </w:rPr>
        <w:t>）</w:t>
      </w:r>
      <w:r>
        <w:rPr>
          <w:rFonts w:ascii="Times New Roman" w:hAnsi="Times New Roman"/>
          <w:szCs w:val="21"/>
        </w:rPr>
        <w:t>包裹或加塞，应保证灭菌效果。</w:t>
      </w:r>
    </w:p>
    <w:p w14:paraId="37B9C4B0">
      <w:pPr>
        <w:spacing w:line="300" w:lineRule="auto"/>
        <w:rPr>
          <w:rFonts w:ascii="Times New Roman" w:hAnsi="Times New Roman"/>
          <w:szCs w:val="21"/>
        </w:rPr>
      </w:pPr>
      <w:r>
        <w:rPr>
          <w:rFonts w:ascii="Times New Roman" w:hAnsi="Times New Roman"/>
          <w:szCs w:val="21"/>
        </w:rPr>
        <w:t>2.4.4 检验用品的储存环境应保持干燥和清洁，已灭菌与未灭菌的用品应分开存放并明确标识。</w:t>
      </w:r>
    </w:p>
    <w:p w14:paraId="7041A24B">
      <w:pPr>
        <w:spacing w:line="300" w:lineRule="auto"/>
        <w:rPr>
          <w:rFonts w:ascii="Times New Roman" w:hAnsi="Times New Roman"/>
          <w:szCs w:val="21"/>
        </w:rPr>
      </w:pPr>
      <w:r>
        <w:rPr>
          <w:rFonts w:ascii="Times New Roman" w:hAnsi="Times New Roman"/>
          <w:szCs w:val="21"/>
        </w:rPr>
        <w:t>2.4.5 灭菌检验用品应记录灭菌温度</w:t>
      </w:r>
      <w:r>
        <w:rPr>
          <w:rFonts w:hint="eastAsia" w:ascii="Times New Roman" w:hAnsi="Times New Roman"/>
          <w:szCs w:val="21"/>
        </w:rPr>
        <w:t>、灭菌时长</w:t>
      </w:r>
      <w:r>
        <w:rPr>
          <w:rFonts w:ascii="Times New Roman" w:hAnsi="Times New Roman"/>
          <w:szCs w:val="21"/>
        </w:rPr>
        <w:t>及有效使用期限。</w:t>
      </w:r>
      <w:bookmarkEnd w:id="54"/>
      <w:bookmarkEnd w:id="55"/>
    </w:p>
    <w:bookmarkEnd w:id="56"/>
    <w:bookmarkEnd w:id="57"/>
    <w:p w14:paraId="7CAC4BCE">
      <w:pPr>
        <w:spacing w:before="159" w:beforeLines="50" w:after="159" w:afterLines="50" w:line="300" w:lineRule="auto"/>
        <w:rPr>
          <w:rFonts w:ascii="Times New Roman" w:hAnsi="Times New Roman"/>
          <w:szCs w:val="21"/>
        </w:rPr>
      </w:pPr>
      <w:bookmarkStart w:id="58" w:name="OLE_LINK406"/>
      <w:bookmarkStart w:id="59" w:name="OLE_LINK397"/>
      <w:bookmarkStart w:id="60" w:name="OLE_LINK398"/>
      <w:r>
        <w:rPr>
          <w:rFonts w:hint="eastAsia" w:ascii="Times New Roman" w:hAnsi="Times New Roman"/>
          <w:szCs w:val="21"/>
        </w:rPr>
        <w:t>2</w:t>
      </w:r>
      <w:r>
        <w:rPr>
          <w:rFonts w:ascii="Times New Roman" w:hAnsi="Times New Roman"/>
          <w:szCs w:val="21"/>
        </w:rPr>
        <w:t>.</w:t>
      </w:r>
      <w:r>
        <w:rPr>
          <w:rFonts w:hint="eastAsia" w:ascii="Times New Roman" w:hAnsi="Times New Roman"/>
          <w:szCs w:val="21"/>
        </w:rPr>
        <w:t>5</w:t>
      </w:r>
      <w:bookmarkStart w:id="61" w:name="OLE_LINK401"/>
      <w:bookmarkStart w:id="62" w:name="OLE_LINK402"/>
      <w:r>
        <w:rPr>
          <w:rFonts w:hint="eastAsia" w:ascii="Times New Roman" w:hAnsi="Times New Roman"/>
          <w:szCs w:val="21"/>
        </w:rPr>
        <w:t xml:space="preserve">  </w:t>
      </w:r>
      <w:bookmarkEnd w:id="61"/>
      <w:bookmarkEnd w:id="62"/>
      <w:r>
        <w:rPr>
          <w:rFonts w:hint="eastAsia" w:ascii="Times New Roman" w:hAnsi="Times New Roman"/>
          <w:szCs w:val="21"/>
        </w:rPr>
        <w:t>菌株</w:t>
      </w:r>
    </w:p>
    <w:bookmarkEnd w:id="58"/>
    <w:bookmarkEnd w:id="59"/>
    <w:bookmarkEnd w:id="60"/>
    <w:p w14:paraId="0FBD8715">
      <w:pPr>
        <w:spacing w:line="300" w:lineRule="auto"/>
        <w:rPr>
          <w:rFonts w:ascii="Times New Roman" w:hAnsi="Times New Roman"/>
          <w:szCs w:val="21"/>
        </w:rPr>
      </w:pPr>
      <w:bookmarkStart w:id="63" w:name="OLE_LINK424"/>
      <w:bookmarkStart w:id="64" w:name="OLE_LINK423"/>
      <w:bookmarkStart w:id="65" w:name="OLE_LINK420"/>
      <w:bookmarkStart w:id="66" w:name="OLE_LINK426"/>
      <w:bookmarkStart w:id="67" w:name="OLE_LINK419"/>
      <w:r>
        <w:rPr>
          <w:rFonts w:ascii="Times New Roman" w:hAnsi="Times New Roman"/>
          <w:szCs w:val="21"/>
        </w:rPr>
        <w:t>2.5.1 实验室应保存能满足实验需要的标准菌株。</w:t>
      </w:r>
    </w:p>
    <w:p w14:paraId="39B12B66">
      <w:pPr>
        <w:spacing w:line="300" w:lineRule="auto"/>
        <w:rPr>
          <w:rFonts w:ascii="Times New Roman" w:hAnsi="Times New Roman"/>
          <w:szCs w:val="21"/>
        </w:rPr>
      </w:pPr>
      <w:r>
        <w:rPr>
          <w:rFonts w:ascii="Times New Roman" w:hAnsi="Times New Roman"/>
          <w:szCs w:val="21"/>
        </w:rPr>
        <w:t xml:space="preserve">2.5.2 </w:t>
      </w:r>
      <w:bookmarkStart w:id="68" w:name="OLE_LINK218"/>
      <w:bookmarkStart w:id="69" w:name="OLE_LINK217"/>
      <w:r>
        <w:rPr>
          <w:rFonts w:ascii="Times New Roman" w:hAnsi="Times New Roman"/>
          <w:szCs w:val="21"/>
        </w:rPr>
        <w:t>应使用</w:t>
      </w:r>
      <w:bookmarkStart w:id="70" w:name="OLE_LINK206"/>
      <w:bookmarkStart w:id="71" w:name="OLE_LINK205"/>
      <w:r>
        <w:rPr>
          <w:rFonts w:ascii="Times New Roman" w:hAnsi="Times New Roman"/>
          <w:szCs w:val="21"/>
        </w:rPr>
        <w:t>国内或国外微生物菌种保藏机构保存的可溯源标准菌株</w:t>
      </w:r>
      <w:bookmarkEnd w:id="70"/>
      <w:bookmarkEnd w:id="71"/>
      <w:r>
        <w:rPr>
          <w:rFonts w:ascii="Times New Roman" w:hAnsi="Times New Roman"/>
          <w:szCs w:val="21"/>
        </w:rPr>
        <w:t>，或使用与标准菌株所有相关特性等效的可以溯源的商业派生菌株。</w:t>
      </w:r>
      <w:bookmarkEnd w:id="68"/>
      <w:bookmarkEnd w:id="69"/>
      <w:r>
        <w:rPr>
          <w:rFonts w:hint="eastAsia" w:ascii="Times New Roman" w:hAnsi="Times New Roman"/>
          <w:szCs w:val="21"/>
        </w:rPr>
        <w:t>推荐性菌株名称及编号见附录B。</w:t>
      </w:r>
    </w:p>
    <w:p w14:paraId="557528C5">
      <w:pPr>
        <w:spacing w:line="300" w:lineRule="auto"/>
        <w:rPr>
          <w:rFonts w:ascii="Times New Roman" w:hAnsi="Times New Roman"/>
          <w:szCs w:val="21"/>
        </w:rPr>
      </w:pPr>
      <w:r>
        <w:rPr>
          <w:rFonts w:ascii="Times New Roman" w:hAnsi="Times New Roman"/>
          <w:szCs w:val="21"/>
        </w:rPr>
        <w:t>2.5.3 实验室应建立菌种管理的文件和记录。</w:t>
      </w:r>
    </w:p>
    <w:p w14:paraId="3DCFE073">
      <w:pPr>
        <w:spacing w:line="300" w:lineRule="auto"/>
        <w:rPr>
          <w:rFonts w:ascii="Times New Roman" w:hAnsi="Times New Roman"/>
          <w:szCs w:val="21"/>
        </w:rPr>
      </w:pPr>
      <w:r>
        <w:rPr>
          <w:rFonts w:ascii="Times New Roman" w:hAnsi="Times New Roman"/>
          <w:szCs w:val="21"/>
        </w:rPr>
        <w:t>2.5.4</w:t>
      </w:r>
      <w:r>
        <w:rPr>
          <w:rFonts w:hint="eastAsia" w:ascii="Times New Roman" w:hAnsi="Times New Roman"/>
          <w:szCs w:val="21"/>
        </w:rPr>
        <w:t xml:space="preserve"> </w:t>
      </w:r>
      <w:r>
        <w:rPr>
          <w:rFonts w:ascii="Times New Roman" w:hAnsi="Times New Roman"/>
          <w:szCs w:val="21"/>
        </w:rPr>
        <w:t>对实验</w:t>
      </w:r>
      <w:bookmarkStart w:id="72" w:name="OLE_LINK182"/>
      <w:bookmarkStart w:id="73" w:name="OLE_LINK183"/>
      <w:r>
        <w:rPr>
          <w:rFonts w:ascii="Times New Roman" w:hAnsi="Times New Roman"/>
          <w:szCs w:val="21"/>
        </w:rPr>
        <w:t>室分离菌株</w:t>
      </w:r>
      <w:r>
        <w:rPr>
          <w:rFonts w:hint="eastAsia" w:ascii="Times New Roman" w:hAnsi="Times New Roman"/>
          <w:szCs w:val="21"/>
        </w:rPr>
        <w:t>（</w:t>
      </w:r>
      <w:r>
        <w:rPr>
          <w:rFonts w:ascii="Times New Roman" w:hAnsi="Times New Roman"/>
          <w:szCs w:val="21"/>
        </w:rPr>
        <w:t>野生</w:t>
      </w:r>
      <w:bookmarkEnd w:id="72"/>
      <w:bookmarkEnd w:id="73"/>
      <w:r>
        <w:rPr>
          <w:rFonts w:ascii="Times New Roman" w:hAnsi="Times New Roman"/>
          <w:szCs w:val="21"/>
        </w:rPr>
        <w:t>菌株</w:t>
      </w:r>
      <w:r>
        <w:rPr>
          <w:rFonts w:hint="eastAsia" w:ascii="Times New Roman" w:hAnsi="Times New Roman"/>
          <w:szCs w:val="21"/>
        </w:rPr>
        <w:t>）</w:t>
      </w:r>
      <w:r>
        <w:rPr>
          <w:rFonts w:ascii="Times New Roman" w:hAnsi="Times New Roman"/>
          <w:szCs w:val="21"/>
        </w:rPr>
        <w:t>，经过鉴定后，可作为实</w:t>
      </w:r>
      <w:bookmarkEnd w:id="63"/>
      <w:bookmarkEnd w:id="64"/>
      <w:r>
        <w:rPr>
          <w:rFonts w:ascii="Times New Roman" w:hAnsi="Times New Roman"/>
          <w:szCs w:val="21"/>
        </w:rPr>
        <w:t>验室内部质量控制的菌株。</w:t>
      </w:r>
    </w:p>
    <w:bookmarkEnd w:id="65"/>
    <w:bookmarkEnd w:id="66"/>
    <w:bookmarkEnd w:id="67"/>
    <w:p w14:paraId="13CC7C5D">
      <w:pPr>
        <w:spacing w:before="159" w:beforeLines="50" w:after="159" w:afterLines="50" w:line="300" w:lineRule="auto"/>
        <w:rPr>
          <w:rFonts w:ascii="Times New Roman" w:hAnsi="Times New Roman"/>
          <w:szCs w:val="21"/>
        </w:rPr>
      </w:pPr>
      <w:bookmarkStart w:id="74" w:name="_Toc91679043"/>
      <w:bookmarkStart w:id="75" w:name="OLE_LINK395"/>
      <w:bookmarkStart w:id="76" w:name="OLE_LINK396"/>
      <w:r>
        <w:rPr>
          <w:rFonts w:hint="eastAsia" w:ascii="Times New Roman" w:hAnsi="Times New Roman"/>
          <w:szCs w:val="21"/>
        </w:rPr>
        <w:t>2.6</w:t>
      </w:r>
      <w:bookmarkStart w:id="77" w:name="OLE_LINK405"/>
      <w:bookmarkStart w:id="78" w:name="OLE_LINK404"/>
      <w:r>
        <w:rPr>
          <w:rFonts w:hint="eastAsia" w:ascii="Times New Roman" w:hAnsi="Times New Roman"/>
          <w:szCs w:val="21"/>
        </w:rPr>
        <w:t xml:space="preserve">  </w:t>
      </w:r>
      <w:bookmarkEnd w:id="77"/>
      <w:bookmarkEnd w:id="78"/>
      <w:r>
        <w:rPr>
          <w:rFonts w:hint="eastAsia" w:ascii="Times New Roman" w:hAnsi="Times New Roman"/>
          <w:szCs w:val="21"/>
        </w:rPr>
        <w:t>培养基</w:t>
      </w:r>
      <w:bookmarkEnd w:id="74"/>
      <w:r>
        <w:rPr>
          <w:rFonts w:hint="eastAsia" w:ascii="Times New Roman" w:hAnsi="Times New Roman"/>
          <w:szCs w:val="21"/>
        </w:rPr>
        <w:t>和试剂</w:t>
      </w:r>
    </w:p>
    <w:bookmarkEnd w:id="75"/>
    <w:bookmarkEnd w:id="76"/>
    <w:p w14:paraId="2A431139">
      <w:pPr>
        <w:spacing w:before="159" w:after="159" w:line="300" w:lineRule="auto"/>
        <w:ind w:firstLine="426" w:firstLineChars="200"/>
        <w:rPr>
          <w:rFonts w:ascii="Times New Roman" w:hAnsi="Times New Roman"/>
          <w:szCs w:val="21"/>
        </w:rPr>
      </w:pPr>
      <w:bookmarkStart w:id="79" w:name="OLE_LINK425"/>
      <w:bookmarkStart w:id="80" w:name="OLE_LINK518"/>
      <w:r>
        <w:rPr>
          <w:rFonts w:hint="eastAsia" w:ascii="Times New Roman" w:hAnsi="Times New Roman"/>
          <w:szCs w:val="21"/>
        </w:rPr>
        <w:t>部分培养基和试剂的配制方法见附录C。</w:t>
      </w:r>
    </w:p>
    <w:p w14:paraId="47C42CB1">
      <w:pPr>
        <w:spacing w:before="159" w:after="159" w:line="300" w:lineRule="auto"/>
        <w:ind w:firstLine="426" w:firstLineChars="200"/>
        <w:rPr>
          <w:rFonts w:ascii="Times New Roman" w:hAnsi="Times New Roman"/>
          <w:szCs w:val="21"/>
        </w:rPr>
      </w:pPr>
      <w:r>
        <w:rPr>
          <w:rFonts w:hint="eastAsia" w:ascii="Times New Roman" w:hAnsi="Times New Roman"/>
          <w:szCs w:val="21"/>
        </w:rPr>
        <w:t>培养基和试剂的质量要求按照附录D的规定执行。</w:t>
      </w:r>
    </w:p>
    <w:bookmarkEnd w:id="79"/>
    <w:bookmarkEnd w:id="80"/>
    <w:p w14:paraId="7B15156E">
      <w:pPr>
        <w:keepNext/>
        <w:keepLines/>
        <w:spacing w:before="159" w:beforeLines="50" w:after="159" w:afterLines="50" w:line="300" w:lineRule="auto"/>
        <w:outlineLvl w:val="2"/>
        <w:rPr>
          <w:rFonts w:ascii="Times New Roman" w:hAnsi="Times New Roman" w:eastAsia="黑体"/>
          <w:szCs w:val="21"/>
        </w:rPr>
      </w:pPr>
      <w:bookmarkStart w:id="81" w:name="_Toc91679044"/>
      <w:bookmarkStart w:id="82" w:name="OLE_LINK364"/>
      <w:bookmarkStart w:id="83" w:name="OLE_LINK363"/>
      <w:r>
        <w:rPr>
          <w:rFonts w:ascii="Times New Roman" w:hAnsi="Times New Roman" w:eastAsia="黑体"/>
          <w:szCs w:val="21"/>
        </w:rPr>
        <w:t>3  样品的采集及注意事项</w:t>
      </w:r>
      <w:bookmarkEnd w:id="81"/>
    </w:p>
    <w:bookmarkEnd w:id="82"/>
    <w:bookmarkEnd w:id="83"/>
    <w:p w14:paraId="7F577D19">
      <w:pPr>
        <w:spacing w:before="159" w:beforeLines="50" w:after="159" w:afterLines="50" w:line="300" w:lineRule="auto"/>
        <w:rPr>
          <w:rFonts w:ascii="Times New Roman" w:hAnsi="Times New Roman"/>
          <w:szCs w:val="21"/>
        </w:rPr>
      </w:pPr>
      <w:bookmarkStart w:id="84" w:name="OLE_LINK393"/>
      <w:bookmarkStart w:id="85" w:name="OLE_LINK521"/>
      <w:bookmarkStart w:id="86" w:name="OLE_LINK394"/>
      <w:r>
        <w:rPr>
          <w:rFonts w:ascii="Times New Roman" w:hAnsi="Times New Roman"/>
          <w:szCs w:val="21"/>
        </w:rPr>
        <w:t>3.1</w:t>
      </w:r>
      <w:r>
        <w:rPr>
          <w:rFonts w:hint="eastAsia" w:ascii="Times New Roman" w:hAnsi="Times New Roman"/>
          <w:szCs w:val="21"/>
        </w:rPr>
        <w:t xml:space="preserve">  </w:t>
      </w:r>
      <w:r>
        <w:rPr>
          <w:rFonts w:ascii="Times New Roman" w:hAnsi="Times New Roman"/>
          <w:szCs w:val="21"/>
        </w:rPr>
        <w:t>采样过程遵循无菌操作程序，防止一切可能的外来污染。</w:t>
      </w:r>
    </w:p>
    <w:p w14:paraId="4E53E385">
      <w:pPr>
        <w:spacing w:before="159" w:beforeLines="50" w:after="159" w:afterLines="50" w:line="300" w:lineRule="auto"/>
        <w:rPr>
          <w:rFonts w:ascii="Times New Roman" w:hAnsi="Times New Roman"/>
          <w:szCs w:val="21"/>
        </w:rPr>
      </w:pPr>
      <w:bookmarkStart w:id="87" w:name="OLE_LINK519"/>
      <w:bookmarkStart w:id="88" w:name="OLE_LINK520"/>
      <w:r>
        <w:rPr>
          <w:rFonts w:ascii="Times New Roman" w:hAnsi="Times New Roman"/>
          <w:szCs w:val="21"/>
        </w:rPr>
        <w:t>3.2</w:t>
      </w:r>
      <w:r>
        <w:rPr>
          <w:rFonts w:hint="eastAsia" w:ascii="Times New Roman" w:hAnsi="Times New Roman"/>
          <w:szCs w:val="21"/>
        </w:rPr>
        <w:t xml:space="preserve">  </w:t>
      </w:r>
      <w:r>
        <w:rPr>
          <w:rFonts w:ascii="Times New Roman" w:hAnsi="Times New Roman"/>
          <w:szCs w:val="21"/>
        </w:rPr>
        <w:t>所采集的样品，应遵循随机性、代表性的原则</w:t>
      </w:r>
      <w:bookmarkStart w:id="89" w:name="OLE_LINK196"/>
      <w:bookmarkStart w:id="90" w:name="OLE_LINK197"/>
      <w:r>
        <w:rPr>
          <w:rFonts w:ascii="Times New Roman" w:hAnsi="Times New Roman"/>
          <w:szCs w:val="21"/>
        </w:rPr>
        <w:t>，</w:t>
      </w:r>
      <w:r>
        <w:rPr>
          <w:rFonts w:hint="eastAsia" w:ascii="Times New Roman" w:hAnsi="Times New Roman"/>
          <w:szCs w:val="21"/>
        </w:rPr>
        <w:t>并根据</w:t>
      </w:r>
      <w:r>
        <w:rPr>
          <w:rFonts w:ascii="Times New Roman" w:hAnsi="Times New Roman"/>
          <w:szCs w:val="21"/>
        </w:rPr>
        <w:t>每批化</w:t>
      </w:r>
      <w:bookmarkStart w:id="91" w:name="OLE_LINK198"/>
      <w:r>
        <w:rPr>
          <w:rFonts w:ascii="Times New Roman" w:hAnsi="Times New Roman"/>
          <w:szCs w:val="21"/>
        </w:rPr>
        <w:t>妆品</w:t>
      </w:r>
      <w:r>
        <w:rPr>
          <w:rFonts w:hint="eastAsia" w:ascii="Times New Roman" w:hAnsi="Times New Roman"/>
          <w:szCs w:val="21"/>
        </w:rPr>
        <w:t>的生产总量</w:t>
      </w:r>
      <w:bookmarkEnd w:id="91"/>
      <w:r>
        <w:rPr>
          <w:rFonts w:ascii="Times New Roman" w:hAnsi="Times New Roman"/>
          <w:szCs w:val="21"/>
        </w:rPr>
        <w:t>及规格，随机抽取</w:t>
      </w:r>
      <w:r>
        <w:rPr>
          <w:rFonts w:hint="eastAsia" w:ascii="Times New Roman" w:hAnsi="Times New Roman"/>
          <w:szCs w:val="21"/>
        </w:rPr>
        <w:t>适量</w:t>
      </w:r>
      <w:r>
        <w:rPr>
          <w:rFonts w:ascii="Times New Roman" w:hAnsi="Times New Roman"/>
          <w:szCs w:val="21"/>
        </w:rPr>
        <w:t>的包装单位。</w:t>
      </w:r>
      <w:r>
        <w:rPr>
          <w:rFonts w:hint="eastAsia" w:ascii="Times New Roman" w:hAnsi="Times New Roman"/>
          <w:szCs w:val="21"/>
        </w:rPr>
        <w:t>实验室</w:t>
      </w:r>
      <w:r>
        <w:rPr>
          <w:rFonts w:ascii="Times New Roman" w:hAnsi="Times New Roman"/>
          <w:szCs w:val="21"/>
        </w:rPr>
        <w:t>检验时，</w:t>
      </w:r>
      <w:r>
        <w:rPr>
          <w:rFonts w:hint="eastAsia" w:ascii="Times New Roman" w:hAnsi="Times New Roman"/>
          <w:szCs w:val="21"/>
        </w:rPr>
        <w:t>须</w:t>
      </w:r>
      <w:r>
        <w:rPr>
          <w:rFonts w:ascii="Times New Roman" w:hAnsi="Times New Roman"/>
          <w:szCs w:val="21"/>
        </w:rPr>
        <w:t>从不少于2个包</w:t>
      </w:r>
      <w:bookmarkEnd w:id="89"/>
      <w:bookmarkEnd w:id="90"/>
      <w:r>
        <w:rPr>
          <w:rFonts w:ascii="Times New Roman" w:hAnsi="Times New Roman"/>
          <w:szCs w:val="21"/>
        </w:rPr>
        <w:t>装单位中</w:t>
      </w:r>
      <w:r>
        <w:rPr>
          <w:rFonts w:hint="eastAsia" w:ascii="Times New Roman" w:hAnsi="Times New Roman"/>
          <w:szCs w:val="21"/>
        </w:rPr>
        <w:t>采</w:t>
      </w:r>
      <w:r>
        <w:rPr>
          <w:rFonts w:ascii="Times New Roman" w:hAnsi="Times New Roman"/>
          <w:szCs w:val="21"/>
        </w:rPr>
        <w:t>取</w:t>
      </w:r>
      <w:r>
        <w:rPr>
          <w:rFonts w:hint="eastAsia" w:ascii="Times New Roman" w:hAnsi="Times New Roman"/>
          <w:szCs w:val="21"/>
        </w:rPr>
        <w:t>混合样品</w:t>
      </w:r>
      <w:r>
        <w:rPr>
          <w:rFonts w:ascii="Times New Roman" w:hAnsi="Times New Roman"/>
          <w:szCs w:val="21"/>
        </w:rPr>
        <w:t>10 g或10 mL。包装量小于20 g</w:t>
      </w:r>
      <w:r>
        <w:rPr>
          <w:rFonts w:hint="eastAsia" w:ascii="Times New Roman" w:hAnsi="Times New Roman"/>
          <w:szCs w:val="21"/>
        </w:rPr>
        <w:t>或20 mL</w:t>
      </w:r>
      <w:r>
        <w:rPr>
          <w:rFonts w:ascii="Times New Roman" w:hAnsi="Times New Roman"/>
          <w:szCs w:val="21"/>
        </w:rPr>
        <w:t>的样品，采样时可适当增加样品包装数量。</w:t>
      </w:r>
    </w:p>
    <w:bookmarkEnd w:id="87"/>
    <w:bookmarkEnd w:id="88"/>
    <w:p w14:paraId="305261DC">
      <w:pPr>
        <w:pStyle w:val="3"/>
        <w:spacing w:after="0" w:line="300" w:lineRule="auto"/>
        <w:ind w:left="0" w:leftChars="0" w:firstLine="0" w:firstLineChars="0"/>
      </w:pPr>
      <w:r>
        <w:rPr>
          <w:szCs w:val="21"/>
        </w:rPr>
        <w:t>3.3</w:t>
      </w:r>
      <w:r>
        <w:rPr>
          <w:rFonts w:hint="eastAsia"/>
          <w:szCs w:val="21"/>
        </w:rPr>
        <w:t xml:space="preserve">  </w:t>
      </w:r>
      <w:r>
        <w:rPr>
          <w:szCs w:val="21"/>
        </w:rPr>
        <w:t>样品在采集、运输和</w:t>
      </w:r>
      <w:bookmarkStart w:id="92" w:name="OLE_LINK201"/>
      <w:bookmarkStart w:id="93" w:name="OLE_LINK202"/>
      <w:r>
        <w:rPr>
          <w:szCs w:val="21"/>
        </w:rPr>
        <w:t>保存的过程中，应保持</w:t>
      </w:r>
      <w:bookmarkEnd w:id="92"/>
      <w:bookmarkEnd w:id="93"/>
      <w:r>
        <w:rPr>
          <w:szCs w:val="21"/>
        </w:rPr>
        <w:t>样品的原有状态，防止样品中原有微生物的数量变化。</w:t>
      </w:r>
      <w:bookmarkEnd w:id="84"/>
      <w:bookmarkEnd w:id="85"/>
      <w:bookmarkEnd w:id="86"/>
    </w:p>
    <w:p w14:paraId="00C7D935">
      <w:pPr>
        <w:keepNext/>
        <w:keepLines/>
        <w:spacing w:before="159" w:beforeLines="50" w:after="159" w:afterLines="50" w:line="300" w:lineRule="auto"/>
        <w:outlineLvl w:val="2"/>
        <w:rPr>
          <w:rFonts w:ascii="Times New Roman" w:hAnsi="Times New Roman" w:eastAsia="黑体"/>
          <w:szCs w:val="21"/>
        </w:rPr>
      </w:pPr>
      <w:bookmarkStart w:id="94" w:name="OLE_LINK366"/>
      <w:bookmarkStart w:id="95" w:name="OLE_LINK365"/>
      <w:r>
        <w:rPr>
          <w:rFonts w:ascii="Times New Roman" w:hAnsi="Times New Roman" w:eastAsia="黑体"/>
          <w:szCs w:val="21"/>
        </w:rPr>
        <w:t>4  样品检验</w:t>
      </w:r>
    </w:p>
    <w:bookmarkEnd w:id="94"/>
    <w:bookmarkEnd w:id="95"/>
    <w:p w14:paraId="5D90B459">
      <w:pPr>
        <w:spacing w:before="159" w:beforeLines="50" w:after="159" w:afterLines="50" w:line="300" w:lineRule="auto"/>
        <w:rPr>
          <w:rFonts w:ascii="Times New Roman" w:hAnsi="Times New Roman"/>
          <w:szCs w:val="21"/>
        </w:rPr>
      </w:pPr>
      <w:bookmarkStart w:id="96" w:name="OLE_LINK392"/>
      <w:bookmarkStart w:id="97" w:name="OLE_LINK391"/>
      <w:bookmarkStart w:id="98" w:name="OLE_LINK522"/>
      <w:r>
        <w:rPr>
          <w:rFonts w:ascii="Times New Roman" w:hAnsi="Times New Roman"/>
          <w:szCs w:val="21"/>
        </w:rPr>
        <w:t>4.1</w:t>
      </w:r>
      <w:r>
        <w:rPr>
          <w:rFonts w:hint="eastAsia" w:ascii="Times New Roman" w:hAnsi="Times New Roman"/>
          <w:szCs w:val="21"/>
        </w:rPr>
        <w:t xml:space="preserve">  </w:t>
      </w:r>
      <w:r>
        <w:rPr>
          <w:rFonts w:ascii="Times New Roman" w:hAnsi="Times New Roman"/>
          <w:szCs w:val="21"/>
        </w:rPr>
        <w:t>实验室接到送检样品后应认真核对登记，确保样品的相关信息完整并符合检验要求。</w:t>
      </w:r>
    </w:p>
    <w:p w14:paraId="050A75DC">
      <w:pPr>
        <w:spacing w:before="159" w:beforeLines="50" w:after="159" w:afterLines="50" w:line="300" w:lineRule="auto"/>
        <w:rPr>
          <w:rFonts w:ascii="Times New Roman" w:hAnsi="Times New Roman"/>
          <w:szCs w:val="21"/>
        </w:rPr>
      </w:pPr>
      <w:r>
        <w:rPr>
          <w:rFonts w:ascii="Times New Roman" w:hAnsi="Times New Roman"/>
          <w:szCs w:val="21"/>
        </w:rPr>
        <w:t>4.2</w:t>
      </w:r>
      <w:r>
        <w:rPr>
          <w:rFonts w:hint="eastAsia" w:ascii="Times New Roman" w:hAnsi="Times New Roman"/>
          <w:szCs w:val="21"/>
        </w:rPr>
        <w:t xml:space="preserve">  </w:t>
      </w:r>
      <w:r>
        <w:rPr>
          <w:rFonts w:ascii="Times New Roman" w:hAnsi="Times New Roman"/>
          <w:szCs w:val="21"/>
        </w:rPr>
        <w:t>实验室应按要求尽快检验。若不能及时检验，应采取必要的措施，防止样品中原有微生物</w:t>
      </w:r>
      <w:r>
        <w:rPr>
          <w:rFonts w:hint="eastAsia" w:ascii="Times New Roman" w:hAnsi="Times New Roman"/>
          <w:szCs w:val="21"/>
        </w:rPr>
        <w:t>数量</w:t>
      </w:r>
      <w:r>
        <w:rPr>
          <w:rFonts w:ascii="Times New Roman" w:hAnsi="Times New Roman"/>
          <w:szCs w:val="21"/>
        </w:rPr>
        <w:t>因客观条件的干扰而发生变化。</w:t>
      </w:r>
    </w:p>
    <w:bookmarkEnd w:id="96"/>
    <w:bookmarkEnd w:id="97"/>
    <w:p w14:paraId="5BC26BB2">
      <w:pPr>
        <w:spacing w:before="159" w:beforeLines="50" w:after="159" w:afterLines="50" w:line="300" w:lineRule="auto"/>
        <w:rPr>
          <w:rFonts w:ascii="Times New Roman" w:hAnsi="Times New Roman"/>
          <w:szCs w:val="21"/>
        </w:rPr>
      </w:pPr>
      <w:bookmarkStart w:id="99" w:name="OLE_LINK390"/>
      <w:bookmarkStart w:id="100" w:name="OLE_LINK389"/>
      <w:r>
        <w:rPr>
          <w:rFonts w:ascii="Times New Roman" w:hAnsi="Times New Roman"/>
          <w:szCs w:val="21"/>
        </w:rPr>
        <w:t>4.3</w:t>
      </w:r>
      <w:r>
        <w:rPr>
          <w:rFonts w:hint="eastAsia" w:ascii="Times New Roman" w:hAnsi="Times New Roman"/>
          <w:szCs w:val="21"/>
        </w:rPr>
        <w:t xml:space="preserve">  </w:t>
      </w:r>
      <w:r>
        <w:rPr>
          <w:rFonts w:ascii="Times New Roman" w:hAnsi="Times New Roman"/>
          <w:szCs w:val="21"/>
        </w:rPr>
        <w:t>样品的</w:t>
      </w:r>
      <w:r>
        <w:rPr>
          <w:rFonts w:hint="eastAsia" w:ascii="Times New Roman" w:hAnsi="Times New Roman"/>
          <w:szCs w:val="21"/>
        </w:rPr>
        <w:t>制备</w:t>
      </w:r>
    </w:p>
    <w:bookmarkEnd w:id="98"/>
    <w:bookmarkEnd w:id="99"/>
    <w:bookmarkEnd w:id="100"/>
    <w:p w14:paraId="6569AAF8">
      <w:pPr>
        <w:spacing w:line="300" w:lineRule="auto"/>
        <w:rPr>
          <w:rFonts w:ascii="Times New Roman" w:hAnsi="Times New Roman"/>
          <w:szCs w:val="21"/>
        </w:rPr>
      </w:pPr>
      <w:bookmarkStart w:id="101" w:name="OLE_LINK428"/>
      <w:bookmarkStart w:id="102" w:name="OLE_LINK427"/>
      <w:bookmarkStart w:id="103" w:name="OLE_LINK523"/>
      <w:r>
        <w:rPr>
          <w:rFonts w:ascii="Times New Roman" w:hAnsi="Times New Roman"/>
          <w:szCs w:val="21"/>
        </w:rPr>
        <w:t>4.3.1 液体样品</w:t>
      </w:r>
    </w:p>
    <w:p w14:paraId="0460EE35">
      <w:pPr>
        <w:spacing w:line="300" w:lineRule="auto"/>
        <w:rPr>
          <w:rFonts w:ascii="Times New Roman" w:hAnsi="Times New Roman"/>
          <w:szCs w:val="21"/>
        </w:rPr>
      </w:pPr>
      <w:r>
        <w:rPr>
          <w:rFonts w:ascii="Times New Roman" w:hAnsi="Times New Roman"/>
          <w:szCs w:val="21"/>
        </w:rPr>
        <w:t>4.3.1.1 水溶性的液体样品</w:t>
      </w:r>
    </w:p>
    <w:p w14:paraId="16A99ABA">
      <w:pPr>
        <w:spacing w:line="300" w:lineRule="auto"/>
        <w:ind w:firstLine="426" w:firstLineChars="200"/>
        <w:rPr>
          <w:rFonts w:ascii="Times New Roman" w:hAnsi="Times New Roman"/>
          <w:szCs w:val="21"/>
        </w:rPr>
      </w:pPr>
      <w:r>
        <w:rPr>
          <w:rFonts w:ascii="Times New Roman" w:hAnsi="Times New Roman"/>
          <w:szCs w:val="21"/>
        </w:rPr>
        <w:t>用灭菌吸管或无菌移液器吸取10 mL样品，加到90 mL灭菌生理盐水或含有中和剂的灭菌稀释液（以下简称稀释液）中，混匀后，制成1:10检液。</w:t>
      </w:r>
    </w:p>
    <w:p w14:paraId="19C4C879">
      <w:pPr>
        <w:spacing w:line="300" w:lineRule="auto"/>
        <w:rPr>
          <w:rFonts w:ascii="Times New Roman" w:hAnsi="Times New Roman"/>
          <w:szCs w:val="21"/>
        </w:rPr>
      </w:pPr>
      <w:r>
        <w:rPr>
          <w:rFonts w:ascii="Times New Roman" w:hAnsi="Times New Roman"/>
          <w:szCs w:val="21"/>
        </w:rPr>
        <w:t>4.3.1.2 油性液体样品</w:t>
      </w:r>
    </w:p>
    <w:p w14:paraId="0AF1EDDE">
      <w:pPr>
        <w:spacing w:line="300" w:lineRule="auto"/>
        <w:ind w:firstLine="426" w:firstLineChars="200"/>
        <w:rPr>
          <w:rFonts w:ascii="Times New Roman" w:hAnsi="Times New Roman"/>
          <w:szCs w:val="21"/>
        </w:rPr>
      </w:pPr>
      <w:r>
        <w:rPr>
          <w:rFonts w:hint="eastAsia" w:ascii="Times New Roman" w:hAnsi="Times New Roman"/>
          <w:szCs w:val="21"/>
        </w:rPr>
        <w:t>吸</w:t>
      </w:r>
      <w:r>
        <w:rPr>
          <w:rFonts w:ascii="Times New Roman" w:hAnsi="Times New Roman"/>
          <w:szCs w:val="21"/>
        </w:rPr>
        <w:t>取10 mL样品，先加5 mL灭菌液体石蜡混匀，再加10 mL灭菌吐温80，在40~44</w:t>
      </w:r>
      <w:r>
        <w:rPr>
          <w:rFonts w:hint="eastAsia" w:ascii="Times New Roman" w:hAnsi="Times New Roman"/>
          <w:szCs w:val="21"/>
        </w:rPr>
        <w:t xml:space="preserve"> </w:t>
      </w:r>
      <w:r>
        <w:rPr>
          <w:rFonts w:ascii="Times New Roman" w:hAnsi="Times New Roman"/>
          <w:szCs w:val="21"/>
        </w:rPr>
        <w:t>℃水浴中振荡混合10 min，加入稀释液75 mL（在40~44 ℃水浴中预温），在40~44 ℃水浴中乳化，制成1:10</w:t>
      </w:r>
      <w:r>
        <w:rPr>
          <w:rFonts w:hint="eastAsia" w:ascii="Times New Roman" w:hAnsi="Times New Roman"/>
          <w:szCs w:val="21"/>
        </w:rPr>
        <w:t>检液</w:t>
      </w:r>
      <w:r>
        <w:rPr>
          <w:rFonts w:ascii="Times New Roman" w:hAnsi="Times New Roman"/>
          <w:szCs w:val="21"/>
        </w:rPr>
        <w:t>。</w:t>
      </w:r>
    </w:p>
    <w:p w14:paraId="55C5A187">
      <w:pPr>
        <w:spacing w:line="300" w:lineRule="auto"/>
        <w:rPr>
          <w:rFonts w:ascii="Times New Roman" w:hAnsi="Times New Roman"/>
          <w:szCs w:val="21"/>
        </w:rPr>
      </w:pPr>
      <w:r>
        <w:rPr>
          <w:rFonts w:ascii="Times New Roman" w:hAnsi="Times New Roman"/>
          <w:szCs w:val="21"/>
        </w:rPr>
        <w:t>4.3.2 膏、霜、乳剂半固体状样品</w:t>
      </w:r>
    </w:p>
    <w:p w14:paraId="5CF321AB">
      <w:pPr>
        <w:spacing w:line="300" w:lineRule="auto"/>
        <w:rPr>
          <w:rFonts w:ascii="Times New Roman" w:hAnsi="Times New Roman"/>
          <w:szCs w:val="21"/>
        </w:rPr>
      </w:pPr>
      <w:r>
        <w:rPr>
          <w:rFonts w:ascii="Times New Roman" w:hAnsi="Times New Roman"/>
          <w:szCs w:val="21"/>
        </w:rPr>
        <w:t>4.3.2.1 亲水性样品</w:t>
      </w:r>
    </w:p>
    <w:p w14:paraId="136E1335">
      <w:pPr>
        <w:spacing w:line="300" w:lineRule="auto"/>
        <w:ind w:firstLine="426" w:firstLineChars="200"/>
        <w:rPr>
          <w:rFonts w:ascii="Times New Roman" w:hAnsi="Times New Roman"/>
          <w:szCs w:val="21"/>
        </w:rPr>
      </w:pPr>
      <w:r>
        <w:rPr>
          <w:rFonts w:ascii="Times New Roman" w:hAnsi="Times New Roman"/>
          <w:szCs w:val="21"/>
        </w:rPr>
        <w:t>称取10 g（</w:t>
      </w:r>
      <w:r>
        <w:rPr>
          <w:rFonts w:hint="eastAsia" w:ascii="Times New Roman" w:hAnsi="Times New Roman"/>
          <w:szCs w:val="21"/>
        </w:rPr>
        <w:t>mL</w:t>
      </w:r>
      <w:r>
        <w:rPr>
          <w:rFonts w:ascii="Times New Roman" w:hAnsi="Times New Roman"/>
          <w:szCs w:val="21"/>
        </w:rPr>
        <w:t>）样品，加到装有玻璃珠及90 mL稀释液的三角瓶中，充分振荡混匀，制成1:10</w:t>
      </w:r>
      <w:r>
        <w:rPr>
          <w:rFonts w:hint="eastAsia" w:ascii="Times New Roman" w:hAnsi="Times New Roman"/>
          <w:szCs w:val="21"/>
        </w:rPr>
        <w:t>检</w:t>
      </w:r>
      <w:r>
        <w:rPr>
          <w:rFonts w:ascii="Times New Roman" w:hAnsi="Times New Roman"/>
          <w:szCs w:val="21"/>
        </w:rPr>
        <w:t>液。</w:t>
      </w:r>
    </w:p>
    <w:p w14:paraId="76F52651">
      <w:pPr>
        <w:spacing w:line="300" w:lineRule="auto"/>
        <w:rPr>
          <w:rFonts w:ascii="Times New Roman" w:hAnsi="Times New Roman"/>
          <w:szCs w:val="21"/>
        </w:rPr>
      </w:pPr>
      <w:r>
        <w:rPr>
          <w:rFonts w:ascii="Times New Roman" w:hAnsi="Times New Roman"/>
          <w:szCs w:val="21"/>
        </w:rPr>
        <w:t>4.3.2.2 疏水性样品</w:t>
      </w:r>
    </w:p>
    <w:p w14:paraId="40035307">
      <w:pPr>
        <w:spacing w:line="300" w:lineRule="auto"/>
        <w:ind w:firstLine="426" w:firstLineChars="200"/>
        <w:rPr>
          <w:rFonts w:ascii="Times New Roman" w:hAnsi="Times New Roman"/>
          <w:szCs w:val="21"/>
        </w:rPr>
      </w:pPr>
      <w:r>
        <w:rPr>
          <w:rFonts w:ascii="Times New Roman" w:hAnsi="Times New Roman"/>
          <w:szCs w:val="21"/>
        </w:rPr>
        <w:t>称取10 g</w:t>
      </w:r>
      <w:r>
        <w:rPr>
          <w:rFonts w:hint="eastAsia" w:ascii="Times New Roman" w:hAnsi="Times New Roman"/>
          <w:szCs w:val="21"/>
        </w:rPr>
        <w:t>（mL）</w:t>
      </w:r>
      <w:r>
        <w:rPr>
          <w:rFonts w:ascii="Times New Roman" w:hAnsi="Times New Roman"/>
          <w:szCs w:val="21"/>
        </w:rPr>
        <w:t>样品，置于灭菌的研钵中，加10 mL灭菌液体石蜡，研磨成粘稠状，再加入10 mL灭菌吐温80，研磨待溶解后，加70 mL稀释液，在40~44</w:t>
      </w:r>
      <w:r>
        <w:rPr>
          <w:rFonts w:hint="eastAsia" w:ascii="Times New Roman" w:hAnsi="Times New Roman"/>
          <w:szCs w:val="21"/>
        </w:rPr>
        <w:t xml:space="preserve"> </w:t>
      </w:r>
      <w:r>
        <w:rPr>
          <w:rFonts w:ascii="Times New Roman" w:hAnsi="Times New Roman"/>
          <w:szCs w:val="21"/>
        </w:rPr>
        <w:t>℃水浴中充分混合，制成</w:t>
      </w:r>
      <w:bookmarkStart w:id="104" w:name="OLE_LINK2"/>
      <w:r>
        <w:rPr>
          <w:rFonts w:ascii="Times New Roman" w:hAnsi="Times New Roman"/>
          <w:szCs w:val="21"/>
        </w:rPr>
        <w:t>1:10检液</w:t>
      </w:r>
      <w:bookmarkEnd w:id="104"/>
      <w:r>
        <w:rPr>
          <w:rFonts w:ascii="Times New Roman" w:hAnsi="Times New Roman"/>
          <w:szCs w:val="21"/>
        </w:rPr>
        <w:t>。</w:t>
      </w:r>
    </w:p>
    <w:p w14:paraId="70FE4264">
      <w:pPr>
        <w:spacing w:line="300" w:lineRule="auto"/>
        <w:rPr>
          <w:rFonts w:ascii="Times New Roman" w:hAnsi="Times New Roman"/>
          <w:szCs w:val="21"/>
        </w:rPr>
      </w:pPr>
      <w:bookmarkStart w:id="105" w:name="OLE_LINK431"/>
      <w:bookmarkStart w:id="106" w:name="OLE_LINK432"/>
      <w:r>
        <w:rPr>
          <w:rFonts w:ascii="Times New Roman" w:hAnsi="Times New Roman"/>
          <w:szCs w:val="21"/>
        </w:rPr>
        <w:t>4.3.3 固体样品</w:t>
      </w:r>
    </w:p>
    <w:p w14:paraId="5D8FD9F1">
      <w:pPr>
        <w:spacing w:line="300" w:lineRule="auto"/>
        <w:ind w:firstLine="426" w:firstLineChars="200"/>
        <w:rPr>
          <w:rFonts w:ascii="Times New Roman" w:hAnsi="Times New Roman"/>
          <w:szCs w:val="21"/>
        </w:rPr>
      </w:pPr>
      <w:r>
        <w:rPr>
          <w:rFonts w:ascii="Times New Roman" w:hAnsi="Times New Roman"/>
          <w:szCs w:val="21"/>
        </w:rPr>
        <w:t>称取10 g样品，加到90 mL稀释液中，充分振荡混匀，使其</w:t>
      </w:r>
      <w:r>
        <w:rPr>
          <w:rFonts w:hint="eastAsia" w:ascii="Times New Roman" w:hAnsi="Times New Roman"/>
          <w:szCs w:val="21"/>
        </w:rPr>
        <w:t>充分</w:t>
      </w:r>
      <w:r>
        <w:rPr>
          <w:rFonts w:ascii="Times New Roman" w:hAnsi="Times New Roman"/>
          <w:szCs w:val="21"/>
        </w:rPr>
        <w:t>分散混悬，作为1:10检液。</w:t>
      </w:r>
    </w:p>
    <w:p w14:paraId="4BBFFC2A">
      <w:pPr>
        <w:spacing w:line="300" w:lineRule="auto"/>
        <w:ind w:firstLine="426" w:firstLineChars="200"/>
        <w:rPr>
          <w:rFonts w:ascii="Times New Roman" w:hAnsi="Times New Roman"/>
          <w:szCs w:val="21"/>
        </w:rPr>
      </w:pPr>
      <w:bookmarkStart w:id="107" w:name="OLE_LINK509"/>
      <w:bookmarkStart w:id="108" w:name="OLE_LINK510"/>
      <w:r>
        <w:rPr>
          <w:rFonts w:ascii="Times New Roman" w:hAnsi="Times New Roman"/>
          <w:szCs w:val="21"/>
        </w:rPr>
        <w:t>使用均质器时，则采用灭菌均质袋，将上述水溶性膏、霜、粉剂等，称取10 g样品加入90 mL稀释液中，均质1~2 min；疏水性油性液体、膏、霜及眉笔、口红等，称取10 g样品，加10 mL灭菌液体石蜡，10 mL</w:t>
      </w:r>
      <w:r>
        <w:rPr>
          <w:rFonts w:hint="eastAsia" w:ascii="Times New Roman" w:hAnsi="Times New Roman"/>
          <w:szCs w:val="21"/>
        </w:rPr>
        <w:t>灭菌</w:t>
      </w:r>
      <w:r>
        <w:rPr>
          <w:rFonts w:ascii="Times New Roman" w:hAnsi="Times New Roman"/>
          <w:szCs w:val="21"/>
        </w:rPr>
        <w:t>吐温80，70 mL稀释液，均质2~5 min。</w:t>
      </w:r>
    </w:p>
    <w:bookmarkEnd w:id="107"/>
    <w:bookmarkEnd w:id="108"/>
    <w:p w14:paraId="3E6F0C96">
      <w:pPr>
        <w:spacing w:line="300" w:lineRule="auto"/>
        <w:ind w:firstLine="426" w:firstLineChars="200"/>
        <w:rPr>
          <w:rFonts w:ascii="Times New Roman" w:hAnsi="Times New Roman"/>
          <w:szCs w:val="21"/>
        </w:rPr>
      </w:pPr>
      <w:r>
        <w:rPr>
          <w:rFonts w:ascii="Times New Roman" w:hAnsi="Times New Roman"/>
          <w:szCs w:val="21"/>
        </w:rPr>
        <w:t>注：液体石蜡和吐温80的体积为建议体积，可根据实际情况选择适宜的体积或质量加入。</w:t>
      </w:r>
    </w:p>
    <w:bookmarkEnd w:id="101"/>
    <w:bookmarkEnd w:id="102"/>
    <w:bookmarkEnd w:id="103"/>
    <w:bookmarkEnd w:id="105"/>
    <w:bookmarkEnd w:id="106"/>
    <w:p w14:paraId="74B31596">
      <w:pPr>
        <w:spacing w:before="159" w:beforeLines="50" w:after="159" w:afterLines="50" w:line="300" w:lineRule="auto"/>
        <w:rPr>
          <w:rFonts w:ascii="Times New Roman" w:hAnsi="Times New Roman"/>
          <w:szCs w:val="21"/>
        </w:rPr>
      </w:pPr>
      <w:bookmarkStart w:id="109" w:name="OLE_LINK387"/>
      <w:bookmarkStart w:id="110" w:name="OLE_LINK388"/>
      <w:r>
        <w:rPr>
          <w:rFonts w:hint="eastAsia" w:ascii="Times New Roman" w:hAnsi="Times New Roman"/>
          <w:szCs w:val="21"/>
        </w:rPr>
        <w:t>4.</w:t>
      </w:r>
      <w:bookmarkStart w:id="111" w:name="OLE_LINK193"/>
      <w:bookmarkStart w:id="112" w:name="OLE_LINK194"/>
      <w:r>
        <w:rPr>
          <w:rFonts w:hint="eastAsia" w:ascii="Times New Roman" w:hAnsi="Times New Roman"/>
          <w:szCs w:val="21"/>
        </w:rPr>
        <w:t>4  方法适用性试验</w:t>
      </w:r>
      <w:bookmarkEnd w:id="111"/>
      <w:bookmarkEnd w:id="112"/>
    </w:p>
    <w:bookmarkEnd w:id="109"/>
    <w:bookmarkEnd w:id="110"/>
    <w:p w14:paraId="36986586">
      <w:pPr>
        <w:spacing w:line="300" w:lineRule="auto"/>
        <w:ind w:firstLine="426" w:firstLineChars="200"/>
        <w:rPr>
          <w:rFonts w:ascii="Times New Roman" w:hAnsi="Times New Roman"/>
          <w:szCs w:val="21"/>
        </w:rPr>
      </w:pPr>
      <w:bookmarkStart w:id="113" w:name="OLE_LINK434"/>
      <w:bookmarkStart w:id="114" w:name="OLE_LINK433"/>
      <w:r>
        <w:rPr>
          <w:rFonts w:hint="eastAsia" w:ascii="Times New Roman" w:hAnsi="Times New Roman"/>
          <w:szCs w:val="21"/>
        </w:rPr>
        <w:t>若需开展方法适用性试验，实验室可参照</w:t>
      </w:r>
      <w:r>
        <w:rPr>
          <w:rFonts w:ascii="Times New Roman" w:hAnsi="Times New Roman"/>
          <w:szCs w:val="21"/>
        </w:rPr>
        <w:t>附录</w:t>
      </w:r>
      <w:r>
        <w:rPr>
          <w:rFonts w:hint="eastAsia" w:ascii="Times New Roman" w:hAnsi="Times New Roman"/>
          <w:szCs w:val="21"/>
        </w:rPr>
        <w:t>E的规定执行。</w:t>
      </w:r>
    </w:p>
    <w:p w14:paraId="79AE5767">
      <w:pPr>
        <w:widowControl/>
        <w:spacing w:before="159" w:beforeLines="50" w:after="159" w:afterLines="50" w:line="300" w:lineRule="auto"/>
        <w:jc w:val="left"/>
        <w:rPr>
          <w:rFonts w:ascii="Times New Roman" w:hAnsi="Times New Roman"/>
          <w:szCs w:val="21"/>
        </w:rPr>
      </w:pPr>
      <w:r>
        <w:rPr>
          <w:rFonts w:ascii="Times New Roman" w:hAnsi="Times New Roman"/>
          <w:szCs w:val="21"/>
        </w:rPr>
        <w:t xml:space="preserve">4.5  </w:t>
      </w:r>
      <w:r>
        <w:rPr>
          <w:rFonts w:hint="eastAsia" w:ascii="Times New Roman" w:hAnsi="Times New Roman"/>
          <w:szCs w:val="21"/>
        </w:rPr>
        <w:t>检验与鉴定</w:t>
      </w:r>
    </w:p>
    <w:p w14:paraId="034DEBF1">
      <w:pPr>
        <w:widowControl/>
        <w:ind w:firstLine="426" w:firstLineChars="200"/>
        <w:jc w:val="left"/>
        <w:rPr>
          <w:rFonts w:ascii="Times New Roman" w:hAnsi="Times New Roman"/>
          <w:szCs w:val="21"/>
        </w:rPr>
      </w:pPr>
      <w:r>
        <w:rPr>
          <w:rFonts w:ascii="Times New Roman" w:hAnsi="Times New Roman"/>
          <w:szCs w:val="21"/>
          <w:lang w:bidi="ar"/>
        </w:rPr>
        <w:t>检验时，应按各检验方法规定的操作步骤和鉴定要求进行。革兰氏染色操作方法见附录</w:t>
      </w:r>
      <w:r>
        <w:rPr>
          <w:rFonts w:hint="eastAsia" w:ascii="Times New Roman" w:hAnsi="Times New Roman"/>
          <w:szCs w:val="21"/>
          <w:lang w:bidi="ar"/>
        </w:rPr>
        <w:t>F</w:t>
      </w:r>
      <w:r>
        <w:rPr>
          <w:rFonts w:ascii="Times New Roman" w:hAnsi="Times New Roman"/>
          <w:szCs w:val="21"/>
          <w:lang w:bidi="ar"/>
        </w:rPr>
        <w:t>。</w:t>
      </w:r>
    </w:p>
    <w:bookmarkEnd w:id="113"/>
    <w:bookmarkEnd w:id="114"/>
    <w:p w14:paraId="65A55FE7">
      <w:pPr>
        <w:keepNext/>
        <w:keepLines/>
        <w:spacing w:before="159" w:beforeLines="50" w:after="159" w:afterLines="50" w:line="300" w:lineRule="auto"/>
        <w:outlineLvl w:val="2"/>
        <w:rPr>
          <w:rFonts w:ascii="Times New Roman" w:hAnsi="Times New Roman" w:eastAsia="黑体"/>
          <w:szCs w:val="21"/>
        </w:rPr>
      </w:pPr>
      <w:bookmarkStart w:id="115" w:name="OLE_LINK367"/>
      <w:bookmarkStart w:id="116" w:name="OLE_LINK368"/>
      <w:r>
        <w:rPr>
          <w:rFonts w:hint="eastAsia" w:ascii="Times New Roman" w:hAnsi="Times New Roman" w:eastAsia="黑体"/>
          <w:szCs w:val="21"/>
        </w:rPr>
        <w:t>5</w:t>
      </w:r>
      <w:r>
        <w:rPr>
          <w:rFonts w:ascii="Times New Roman" w:hAnsi="Times New Roman" w:eastAsia="黑体"/>
          <w:szCs w:val="21"/>
        </w:rPr>
        <w:t xml:space="preserve">  </w:t>
      </w:r>
      <w:bookmarkStart w:id="117" w:name="OLE_LINK50"/>
      <w:bookmarkStart w:id="118" w:name="OLE_LINK51"/>
      <w:r>
        <w:rPr>
          <w:rFonts w:ascii="Times New Roman" w:hAnsi="Times New Roman" w:eastAsia="黑体"/>
          <w:szCs w:val="21"/>
        </w:rPr>
        <w:t>记录与报告</w:t>
      </w:r>
      <w:bookmarkEnd w:id="117"/>
      <w:bookmarkEnd w:id="118"/>
    </w:p>
    <w:bookmarkEnd w:id="115"/>
    <w:bookmarkEnd w:id="116"/>
    <w:p w14:paraId="5B1E601A">
      <w:pPr>
        <w:spacing w:before="159" w:beforeLines="50" w:after="159" w:afterLines="50" w:line="300" w:lineRule="auto"/>
        <w:rPr>
          <w:rFonts w:ascii="Times New Roman" w:hAnsi="Times New Roman"/>
          <w:szCs w:val="21"/>
        </w:rPr>
      </w:pPr>
      <w:bookmarkStart w:id="119" w:name="OLE_LINK383"/>
      <w:bookmarkStart w:id="120" w:name="OLE_LINK384"/>
      <w:r>
        <w:rPr>
          <w:rFonts w:hint="eastAsia" w:ascii="Times New Roman" w:hAnsi="Times New Roman"/>
          <w:szCs w:val="21"/>
        </w:rPr>
        <w:t>5</w:t>
      </w:r>
      <w:r>
        <w:rPr>
          <w:rFonts w:ascii="Times New Roman" w:hAnsi="Times New Roman"/>
          <w:szCs w:val="21"/>
        </w:rPr>
        <w:t>.1</w:t>
      </w:r>
      <w:r>
        <w:rPr>
          <w:rFonts w:hint="eastAsia" w:ascii="Times New Roman" w:hAnsi="Times New Roman"/>
          <w:szCs w:val="21"/>
        </w:rPr>
        <w:t xml:space="preserve">  记录</w:t>
      </w:r>
    </w:p>
    <w:bookmarkEnd w:id="119"/>
    <w:bookmarkEnd w:id="120"/>
    <w:p w14:paraId="084D98F8">
      <w:pPr>
        <w:spacing w:line="300" w:lineRule="auto"/>
        <w:ind w:firstLine="426" w:firstLineChars="200"/>
        <w:rPr>
          <w:rFonts w:ascii="Times New Roman" w:hAnsi="Times New Roman"/>
          <w:szCs w:val="21"/>
        </w:rPr>
      </w:pPr>
      <w:bookmarkStart w:id="121" w:name="OLE_LINK444"/>
      <w:bookmarkStart w:id="122" w:name="OLE_LINK445"/>
      <w:r>
        <w:rPr>
          <w:rFonts w:hint="eastAsia" w:ascii="Times New Roman" w:hAnsi="Times New Roman"/>
          <w:szCs w:val="21"/>
        </w:rPr>
        <w:t>检验过程中应即时、准确地记录观察到的现象、结果和数据等信息。</w:t>
      </w:r>
    </w:p>
    <w:bookmarkEnd w:id="121"/>
    <w:bookmarkEnd w:id="122"/>
    <w:p w14:paraId="79025505">
      <w:pPr>
        <w:spacing w:before="159" w:beforeLines="50" w:after="159" w:afterLines="50" w:line="300" w:lineRule="auto"/>
        <w:rPr>
          <w:rFonts w:ascii="Times New Roman" w:hAnsi="Times New Roman"/>
          <w:szCs w:val="21"/>
        </w:rPr>
      </w:pPr>
      <w:bookmarkStart w:id="123" w:name="OLE_LINK372"/>
      <w:bookmarkStart w:id="124" w:name="OLE_LINK382"/>
      <w:bookmarkStart w:id="125" w:name="OLE_LINK524"/>
      <w:bookmarkStart w:id="126" w:name="OLE_LINK373"/>
      <w:r>
        <w:rPr>
          <w:rFonts w:hint="eastAsia" w:ascii="Times New Roman" w:hAnsi="Times New Roman"/>
          <w:szCs w:val="21"/>
        </w:rPr>
        <w:t>5</w:t>
      </w:r>
      <w:r>
        <w:rPr>
          <w:rFonts w:ascii="Times New Roman" w:hAnsi="Times New Roman"/>
          <w:szCs w:val="21"/>
        </w:rPr>
        <w:t>.2</w:t>
      </w:r>
      <w:r>
        <w:rPr>
          <w:rFonts w:hint="eastAsia" w:ascii="Times New Roman" w:hAnsi="Times New Roman"/>
          <w:szCs w:val="21"/>
        </w:rPr>
        <w:t xml:space="preserve">  报告</w:t>
      </w:r>
    </w:p>
    <w:bookmarkEnd w:id="123"/>
    <w:bookmarkEnd w:id="124"/>
    <w:bookmarkEnd w:id="125"/>
    <w:bookmarkEnd w:id="126"/>
    <w:p w14:paraId="59368C74">
      <w:pPr>
        <w:spacing w:line="300" w:lineRule="auto"/>
        <w:ind w:firstLine="426" w:firstLineChars="200"/>
        <w:rPr>
          <w:rFonts w:ascii="Times New Roman" w:hAnsi="Times New Roman"/>
          <w:szCs w:val="21"/>
        </w:rPr>
      </w:pPr>
      <w:bookmarkStart w:id="127" w:name="OLE_LINK435"/>
      <w:bookmarkStart w:id="128" w:name="OLE_LINK439"/>
      <w:bookmarkStart w:id="129" w:name="OLE_LINK436"/>
      <w:r>
        <w:rPr>
          <w:rFonts w:hint="eastAsia" w:ascii="Times New Roman" w:hAnsi="Times New Roman"/>
          <w:szCs w:val="21"/>
        </w:rPr>
        <w:t>实验室应按照检验方法中规定的要求，准确、客观地报告检验结果。</w:t>
      </w:r>
    </w:p>
    <w:bookmarkEnd w:id="127"/>
    <w:bookmarkEnd w:id="128"/>
    <w:bookmarkEnd w:id="129"/>
    <w:p w14:paraId="71AF0D2A">
      <w:pPr>
        <w:keepLines/>
        <w:spacing w:before="159" w:beforeLines="50" w:after="159" w:afterLines="50" w:line="300" w:lineRule="auto"/>
        <w:outlineLvl w:val="2"/>
        <w:rPr>
          <w:rFonts w:ascii="Times New Roman" w:hAnsi="Times New Roman" w:eastAsia="黑体"/>
          <w:szCs w:val="21"/>
        </w:rPr>
      </w:pPr>
      <w:bookmarkStart w:id="130" w:name="OLE_LINK369"/>
      <w:bookmarkStart w:id="131" w:name="OLE_LINK370"/>
      <w:r>
        <w:rPr>
          <w:rFonts w:hint="eastAsia" w:ascii="Times New Roman" w:hAnsi="Times New Roman" w:eastAsia="黑体"/>
          <w:szCs w:val="21"/>
        </w:rPr>
        <w:t>6</w:t>
      </w:r>
      <w:r>
        <w:rPr>
          <w:rFonts w:ascii="Times New Roman" w:hAnsi="Times New Roman" w:eastAsia="黑体"/>
          <w:szCs w:val="21"/>
        </w:rPr>
        <w:t xml:space="preserve">  </w:t>
      </w:r>
      <w:bookmarkStart w:id="132" w:name="OLE_LINK44"/>
      <w:bookmarkStart w:id="133" w:name="OLE_LINK47"/>
      <w:r>
        <w:rPr>
          <w:rFonts w:ascii="Times New Roman" w:hAnsi="Times New Roman" w:eastAsia="黑体"/>
          <w:szCs w:val="21"/>
        </w:rPr>
        <w:t>生物安全与质量控制</w:t>
      </w:r>
      <w:bookmarkEnd w:id="132"/>
      <w:bookmarkEnd w:id="133"/>
    </w:p>
    <w:bookmarkEnd w:id="130"/>
    <w:bookmarkEnd w:id="131"/>
    <w:p w14:paraId="331E4740">
      <w:pPr>
        <w:spacing w:before="159" w:beforeLines="50" w:after="159" w:afterLines="50" w:line="300" w:lineRule="auto"/>
        <w:rPr>
          <w:rFonts w:ascii="Times New Roman" w:hAnsi="Times New Roman"/>
          <w:szCs w:val="21"/>
        </w:rPr>
      </w:pPr>
      <w:bookmarkStart w:id="134" w:name="OLE_LINK380"/>
      <w:bookmarkStart w:id="135" w:name="OLE_LINK381"/>
      <w:r>
        <w:rPr>
          <w:rFonts w:hint="eastAsia" w:ascii="Times New Roman" w:hAnsi="Times New Roman"/>
          <w:szCs w:val="21"/>
        </w:rPr>
        <w:t>6</w:t>
      </w:r>
      <w:r>
        <w:rPr>
          <w:rFonts w:ascii="Times New Roman" w:hAnsi="Times New Roman"/>
          <w:szCs w:val="21"/>
        </w:rPr>
        <w:t>.1</w:t>
      </w:r>
      <w:r>
        <w:rPr>
          <w:rFonts w:hint="eastAsia" w:ascii="Times New Roman" w:hAnsi="Times New Roman"/>
          <w:szCs w:val="21"/>
        </w:rPr>
        <w:t xml:space="preserve">  </w:t>
      </w:r>
      <w:r>
        <w:rPr>
          <w:rFonts w:ascii="Times New Roman" w:hAnsi="Times New Roman"/>
          <w:szCs w:val="21"/>
        </w:rPr>
        <w:t>实验室生物安全要求</w:t>
      </w:r>
    </w:p>
    <w:bookmarkEnd w:id="134"/>
    <w:bookmarkEnd w:id="135"/>
    <w:p w14:paraId="5D4D5309">
      <w:pPr>
        <w:spacing w:line="300" w:lineRule="auto"/>
        <w:ind w:firstLine="426" w:firstLineChars="200"/>
        <w:rPr>
          <w:rFonts w:ascii="Times New Roman" w:hAnsi="Times New Roman"/>
          <w:szCs w:val="21"/>
        </w:rPr>
      </w:pPr>
      <w:r>
        <w:rPr>
          <w:rFonts w:ascii="Times New Roman" w:hAnsi="Times New Roman"/>
          <w:szCs w:val="21"/>
        </w:rPr>
        <w:t>应符合</w:t>
      </w:r>
      <w:bookmarkStart w:id="136" w:name="OLE_LINK437"/>
      <w:bookmarkStart w:id="137" w:name="OLE_LINK438"/>
      <w:r>
        <w:rPr>
          <w:rFonts w:ascii="Times New Roman" w:hAnsi="Times New Roman"/>
          <w:szCs w:val="21"/>
        </w:rPr>
        <w:t>GB 19489</w:t>
      </w:r>
      <w:r>
        <w:rPr>
          <w:rFonts w:hint="eastAsia" w:ascii="Times New Roman" w:hAnsi="Times New Roman"/>
          <w:szCs w:val="21"/>
        </w:rPr>
        <w:t>《实验室 生物安全通用要求</w:t>
      </w:r>
      <w:r>
        <w:rPr>
          <w:rFonts w:ascii="Times New Roman" w:hAnsi="Times New Roman"/>
          <w:szCs w:val="21"/>
        </w:rPr>
        <w:t>》</w:t>
      </w:r>
      <w:bookmarkEnd w:id="136"/>
      <w:bookmarkEnd w:id="137"/>
      <w:r>
        <w:rPr>
          <w:rFonts w:ascii="Times New Roman" w:hAnsi="Times New Roman"/>
          <w:szCs w:val="21"/>
        </w:rPr>
        <w:t>的规定。</w:t>
      </w:r>
    </w:p>
    <w:p w14:paraId="321CD007">
      <w:pPr>
        <w:spacing w:before="159" w:beforeLines="50" w:after="159" w:afterLines="50" w:line="300" w:lineRule="auto"/>
        <w:rPr>
          <w:rFonts w:ascii="Times New Roman" w:hAnsi="Times New Roman"/>
          <w:szCs w:val="21"/>
        </w:rPr>
      </w:pPr>
      <w:bookmarkStart w:id="138" w:name="OLE_LINK378"/>
      <w:bookmarkStart w:id="139" w:name="OLE_LINK374"/>
      <w:bookmarkStart w:id="140" w:name="OLE_LINK375"/>
      <w:r>
        <w:rPr>
          <w:rFonts w:hint="eastAsia" w:ascii="Times New Roman" w:hAnsi="Times New Roman"/>
          <w:szCs w:val="21"/>
        </w:rPr>
        <w:t>6</w:t>
      </w:r>
      <w:r>
        <w:rPr>
          <w:rFonts w:ascii="Times New Roman" w:hAnsi="Times New Roman"/>
          <w:szCs w:val="21"/>
        </w:rPr>
        <w:t>.2</w:t>
      </w:r>
      <w:bookmarkStart w:id="141" w:name="OLE_LINK443"/>
      <w:bookmarkStart w:id="142" w:name="OLE_LINK442"/>
      <w:r>
        <w:rPr>
          <w:rFonts w:hint="eastAsia" w:ascii="Times New Roman" w:hAnsi="Times New Roman"/>
          <w:szCs w:val="21"/>
        </w:rPr>
        <w:t xml:space="preserve"> </w:t>
      </w:r>
      <w:bookmarkEnd w:id="141"/>
      <w:bookmarkEnd w:id="142"/>
      <w:r>
        <w:rPr>
          <w:rFonts w:hint="eastAsia" w:ascii="Times New Roman" w:hAnsi="Times New Roman"/>
          <w:szCs w:val="21"/>
        </w:rPr>
        <w:t xml:space="preserve"> </w:t>
      </w:r>
      <w:r>
        <w:rPr>
          <w:rFonts w:ascii="Times New Roman" w:hAnsi="Times New Roman"/>
          <w:szCs w:val="21"/>
        </w:rPr>
        <w:t>质量控制</w:t>
      </w:r>
    </w:p>
    <w:bookmarkEnd w:id="138"/>
    <w:bookmarkEnd w:id="139"/>
    <w:bookmarkEnd w:id="140"/>
    <w:p w14:paraId="04A1EBB2">
      <w:pPr>
        <w:spacing w:line="300" w:lineRule="auto"/>
        <w:rPr>
          <w:rFonts w:ascii="Times New Roman" w:hAnsi="Times New Roman"/>
          <w:szCs w:val="21"/>
        </w:rPr>
      </w:pPr>
      <w:r>
        <w:rPr>
          <w:rFonts w:hint="eastAsia" w:ascii="Times New Roman" w:hAnsi="Times New Roman"/>
          <w:szCs w:val="21"/>
        </w:rPr>
        <w:t>6</w:t>
      </w:r>
      <w:r>
        <w:rPr>
          <w:rFonts w:ascii="Times New Roman" w:hAnsi="Times New Roman"/>
          <w:szCs w:val="21"/>
        </w:rPr>
        <w:t>.2.1 实验室应根据需要设置阳性对照</w:t>
      </w:r>
      <w:r>
        <w:rPr>
          <w:rFonts w:hint="eastAsia" w:ascii="Times New Roman" w:hAnsi="Times New Roman"/>
          <w:szCs w:val="21"/>
        </w:rPr>
        <w:t>（或质控样）</w:t>
      </w:r>
      <w:r>
        <w:rPr>
          <w:rFonts w:ascii="Times New Roman" w:hAnsi="Times New Roman"/>
          <w:szCs w:val="21"/>
        </w:rPr>
        <w:t>、阴性对照和空白对照，定期对检验过程进行质量控制。</w:t>
      </w:r>
    </w:p>
    <w:p w14:paraId="2BCB9F33">
      <w:pPr>
        <w:spacing w:line="300" w:lineRule="auto"/>
        <w:rPr>
          <w:rFonts w:ascii="Times New Roman" w:hAnsi="Times New Roman"/>
          <w:szCs w:val="21"/>
        </w:rPr>
      </w:pPr>
      <w:r>
        <w:rPr>
          <w:rFonts w:hint="eastAsia" w:ascii="Times New Roman" w:hAnsi="Times New Roman"/>
          <w:szCs w:val="21"/>
        </w:rPr>
        <w:t>6</w:t>
      </w:r>
      <w:r>
        <w:rPr>
          <w:rFonts w:ascii="Times New Roman" w:hAnsi="Times New Roman"/>
          <w:szCs w:val="21"/>
        </w:rPr>
        <w:t>.2.2 实验室应定期对实验人员进行技术考核</w:t>
      </w:r>
      <w:r>
        <w:rPr>
          <w:rFonts w:hint="eastAsia" w:ascii="Times New Roman" w:hAnsi="Times New Roman"/>
          <w:szCs w:val="21"/>
        </w:rPr>
        <w:t>或评价</w:t>
      </w:r>
      <w:r>
        <w:rPr>
          <w:rFonts w:ascii="Times New Roman" w:hAnsi="Times New Roman"/>
          <w:szCs w:val="21"/>
        </w:rPr>
        <w:t>。</w:t>
      </w:r>
    </w:p>
    <w:p w14:paraId="5C4F2DD8">
      <w:pPr>
        <w:keepNext/>
        <w:keepLines/>
        <w:spacing w:before="159" w:beforeLines="50" w:after="159" w:afterLines="50" w:line="300" w:lineRule="auto"/>
        <w:outlineLvl w:val="2"/>
        <w:rPr>
          <w:rFonts w:ascii="Times New Roman" w:hAnsi="Times New Roman" w:eastAsia="黑体"/>
          <w:szCs w:val="21"/>
        </w:rPr>
      </w:pPr>
      <w:bookmarkStart w:id="143" w:name="OLE_LINK528"/>
      <w:bookmarkStart w:id="144" w:name="OLE_LINK527"/>
      <w:r>
        <w:rPr>
          <w:rFonts w:hint="eastAsia" w:ascii="Times New Roman" w:hAnsi="Times New Roman" w:eastAsia="黑体"/>
          <w:szCs w:val="21"/>
        </w:rPr>
        <w:t>7</w:t>
      </w:r>
      <w:r>
        <w:rPr>
          <w:rFonts w:ascii="Times New Roman" w:hAnsi="Times New Roman" w:eastAsia="黑体"/>
          <w:szCs w:val="21"/>
        </w:rPr>
        <w:t xml:space="preserve">  </w:t>
      </w:r>
      <w:bookmarkStart w:id="145" w:name="OLE_LINK49"/>
      <w:bookmarkStart w:id="146" w:name="OLE_LINK48"/>
      <w:r>
        <w:rPr>
          <w:rFonts w:ascii="Times New Roman" w:hAnsi="Times New Roman" w:eastAsia="黑体"/>
          <w:szCs w:val="21"/>
        </w:rPr>
        <w:t>检验后样品的处理</w:t>
      </w:r>
      <w:bookmarkEnd w:id="145"/>
      <w:bookmarkEnd w:id="146"/>
    </w:p>
    <w:bookmarkEnd w:id="143"/>
    <w:bookmarkEnd w:id="144"/>
    <w:p w14:paraId="34D4A476">
      <w:pPr>
        <w:spacing w:before="159" w:beforeLines="50" w:after="159" w:afterLines="50" w:line="300" w:lineRule="auto"/>
        <w:rPr>
          <w:rFonts w:ascii="Times New Roman" w:hAnsi="Times New Roman"/>
          <w:szCs w:val="21"/>
        </w:rPr>
      </w:pPr>
      <w:bookmarkStart w:id="147" w:name="OLE_LINK377"/>
      <w:bookmarkStart w:id="148" w:name="OLE_LINK376"/>
      <w:r>
        <w:rPr>
          <w:rFonts w:hint="eastAsia" w:ascii="Times New Roman" w:hAnsi="Times New Roman"/>
          <w:szCs w:val="21"/>
        </w:rPr>
        <w:t>7</w:t>
      </w:r>
      <w:r>
        <w:rPr>
          <w:rFonts w:ascii="Times New Roman" w:hAnsi="Times New Roman"/>
          <w:szCs w:val="21"/>
        </w:rPr>
        <w:t>.1</w:t>
      </w:r>
      <w:r>
        <w:rPr>
          <w:rFonts w:hint="eastAsia" w:ascii="Times New Roman" w:hAnsi="Times New Roman"/>
          <w:szCs w:val="21"/>
        </w:rPr>
        <w:t xml:space="preserve">  </w:t>
      </w:r>
      <w:r>
        <w:rPr>
          <w:rFonts w:ascii="Times New Roman" w:hAnsi="Times New Roman"/>
          <w:szCs w:val="21"/>
        </w:rPr>
        <w:t>被检样品若有剩余，应在检验报告</w:t>
      </w:r>
      <w:r>
        <w:rPr>
          <w:rFonts w:hint="eastAsia" w:ascii="Times New Roman" w:hAnsi="Times New Roman"/>
          <w:szCs w:val="21"/>
        </w:rPr>
        <w:t>签发</w:t>
      </w:r>
      <w:r>
        <w:rPr>
          <w:rFonts w:ascii="Times New Roman" w:hAnsi="Times New Roman"/>
          <w:szCs w:val="21"/>
        </w:rPr>
        <w:t>后，方能处理</w:t>
      </w:r>
      <w:r>
        <w:rPr>
          <w:rFonts w:hint="eastAsia" w:ascii="Times New Roman" w:hAnsi="Times New Roman"/>
          <w:szCs w:val="21"/>
        </w:rPr>
        <w:t>剩余样品</w:t>
      </w:r>
      <w:r>
        <w:rPr>
          <w:rFonts w:ascii="Times New Roman" w:hAnsi="Times New Roman"/>
          <w:szCs w:val="21"/>
        </w:rPr>
        <w:t>。</w:t>
      </w:r>
    </w:p>
    <w:bookmarkEnd w:id="147"/>
    <w:bookmarkEnd w:id="148"/>
    <w:p w14:paraId="3FCEEEA2">
      <w:pPr>
        <w:spacing w:before="159" w:beforeLines="50" w:after="159" w:afterLines="50" w:line="300" w:lineRule="auto"/>
        <w:rPr>
          <w:rFonts w:ascii="Times New Roman" w:hAnsi="Times New Roman"/>
          <w:szCs w:val="21"/>
        </w:rPr>
      </w:pPr>
      <w:r>
        <w:rPr>
          <w:rFonts w:hint="eastAsia" w:ascii="Times New Roman" w:hAnsi="Times New Roman"/>
          <w:szCs w:val="21"/>
        </w:rPr>
        <w:t>7</w:t>
      </w:r>
      <w:r>
        <w:rPr>
          <w:rFonts w:ascii="Times New Roman" w:hAnsi="Times New Roman"/>
          <w:szCs w:val="21"/>
        </w:rPr>
        <w:t>.2</w:t>
      </w:r>
      <w:r>
        <w:rPr>
          <w:rFonts w:hint="eastAsia" w:ascii="Times New Roman" w:hAnsi="Times New Roman"/>
          <w:szCs w:val="21"/>
        </w:rPr>
        <w:t xml:space="preserve">  </w:t>
      </w:r>
      <w:r>
        <w:rPr>
          <w:rFonts w:ascii="Times New Roman" w:hAnsi="Times New Roman"/>
          <w:szCs w:val="21"/>
        </w:rPr>
        <w:t>检出</w:t>
      </w:r>
      <w:r>
        <w:rPr>
          <w:rFonts w:hint="eastAsia" w:ascii="Times New Roman" w:hAnsi="Times New Roman"/>
          <w:szCs w:val="21"/>
        </w:rPr>
        <w:t>有害微生物</w:t>
      </w:r>
      <w:r>
        <w:rPr>
          <w:rFonts w:ascii="Times New Roman" w:hAnsi="Times New Roman"/>
          <w:szCs w:val="21"/>
        </w:rPr>
        <w:t>的样品</w:t>
      </w:r>
      <w:r>
        <w:rPr>
          <w:rFonts w:hint="eastAsia" w:ascii="Times New Roman" w:hAnsi="Times New Roman"/>
          <w:szCs w:val="21"/>
        </w:rPr>
        <w:t>和培养物</w:t>
      </w:r>
      <w:r>
        <w:rPr>
          <w:rFonts w:ascii="Times New Roman" w:hAnsi="Times New Roman"/>
          <w:szCs w:val="21"/>
        </w:rPr>
        <w:t>应</w:t>
      </w:r>
      <w:r>
        <w:rPr>
          <w:rFonts w:hint="eastAsia" w:ascii="Times New Roman" w:hAnsi="Times New Roman"/>
          <w:szCs w:val="21"/>
        </w:rPr>
        <w:t>按照生物安全相关规定</w:t>
      </w:r>
      <w:r>
        <w:rPr>
          <w:rFonts w:ascii="Times New Roman" w:hAnsi="Times New Roman"/>
          <w:szCs w:val="21"/>
        </w:rPr>
        <w:t>进行无害化处理。</w:t>
      </w:r>
    </w:p>
    <w:bookmarkEnd w:id="11"/>
    <w:bookmarkEnd w:id="12"/>
    <w:p w14:paraId="663B53F4">
      <w:pPr>
        <w:spacing w:before="159" w:beforeLines="50" w:after="159" w:afterLines="50" w:line="300" w:lineRule="auto"/>
        <w:jc w:val="center"/>
        <w:rPr>
          <w:rFonts w:ascii="Times New Roman" w:hAnsi="Times New Roman" w:eastAsia="黑体"/>
          <w:szCs w:val="21"/>
        </w:rPr>
      </w:pPr>
      <w:r>
        <w:rPr>
          <w:rFonts w:ascii="Times New Roman" w:hAnsi="Times New Roman" w:eastAsia="黑体"/>
          <w:bCs/>
          <w:szCs w:val="21"/>
        </w:rPr>
        <w:br w:type="page"/>
      </w:r>
      <w:bookmarkStart w:id="149" w:name="OLE_LINK472"/>
      <w:bookmarkStart w:id="150" w:name="OLE_LINK466"/>
      <w:bookmarkStart w:id="151" w:name="OLE_LINK464"/>
      <w:bookmarkStart w:id="152" w:name="OLE_LINK463"/>
      <w:r>
        <w:rPr>
          <w:rFonts w:ascii="黑体" w:hAnsi="黑体" w:eastAsia="黑体" w:cs="黑体"/>
          <w:szCs w:val="21"/>
        </w:rPr>
        <w:t>附录</w:t>
      </w:r>
      <w:r>
        <w:rPr>
          <w:rFonts w:ascii="Times New Roman" w:hAnsi="Times New Roman" w:eastAsia="黑体"/>
          <w:szCs w:val="21"/>
        </w:rPr>
        <w:t>A</w:t>
      </w:r>
    </w:p>
    <w:p w14:paraId="6940601D">
      <w:pPr>
        <w:spacing w:before="159" w:beforeLines="50" w:after="159" w:afterLines="50" w:line="300" w:lineRule="auto"/>
        <w:jc w:val="center"/>
        <w:rPr>
          <w:rFonts w:ascii="黑体" w:hAnsi="黑体" w:eastAsia="黑体" w:cs="黑体"/>
          <w:szCs w:val="21"/>
        </w:rPr>
      </w:pPr>
      <w:r>
        <w:rPr>
          <w:rFonts w:ascii="黑体" w:hAnsi="黑体" w:eastAsia="黑体" w:cs="黑体"/>
          <w:szCs w:val="21"/>
        </w:rPr>
        <w:t>（规范性附录）</w:t>
      </w:r>
    </w:p>
    <w:p w14:paraId="254675AC">
      <w:pPr>
        <w:spacing w:before="159" w:beforeLines="50" w:after="159" w:afterLines="50" w:line="300" w:lineRule="auto"/>
        <w:jc w:val="center"/>
        <w:rPr>
          <w:rFonts w:ascii="黑体" w:hAnsi="黑体" w:eastAsia="黑体" w:cs="黑体"/>
          <w:szCs w:val="21"/>
        </w:rPr>
      </w:pPr>
      <w:r>
        <w:rPr>
          <w:rFonts w:ascii="黑体" w:hAnsi="黑体" w:eastAsia="黑体" w:cs="黑体"/>
          <w:szCs w:val="21"/>
        </w:rPr>
        <w:t>微生物实验室常规检验设备和用品</w:t>
      </w:r>
    </w:p>
    <w:bookmarkEnd w:id="149"/>
    <w:bookmarkEnd w:id="150"/>
    <w:bookmarkEnd w:id="151"/>
    <w:bookmarkEnd w:id="152"/>
    <w:p w14:paraId="3EA03311">
      <w:pPr>
        <w:spacing w:before="159" w:beforeLines="50" w:after="159" w:afterLines="50" w:line="300" w:lineRule="auto"/>
        <w:rPr>
          <w:rFonts w:ascii="Times New Roman" w:hAnsi="Times New Roman"/>
          <w:szCs w:val="21"/>
        </w:rPr>
      </w:pPr>
      <w:bookmarkStart w:id="153" w:name="OLE_LINK451"/>
      <w:bookmarkStart w:id="154" w:name="OLE_LINK467"/>
      <w:bookmarkStart w:id="155" w:name="OLE_LINK468"/>
      <w:r>
        <w:rPr>
          <w:rFonts w:ascii="Times New Roman" w:hAnsi="Times New Roman"/>
          <w:szCs w:val="21"/>
        </w:rPr>
        <w:t>A.1</w:t>
      </w:r>
      <w:bookmarkStart w:id="156" w:name="OLE_LINK482"/>
      <w:r>
        <w:rPr>
          <w:rFonts w:hint="eastAsia" w:ascii="Times New Roman" w:hAnsi="Times New Roman"/>
          <w:szCs w:val="21"/>
        </w:rPr>
        <w:t xml:space="preserve"> </w:t>
      </w:r>
      <w:bookmarkEnd w:id="156"/>
      <w:r>
        <w:rPr>
          <w:rFonts w:hint="eastAsia" w:ascii="Times New Roman" w:hAnsi="Times New Roman"/>
          <w:szCs w:val="21"/>
        </w:rPr>
        <w:t xml:space="preserve"> 设备</w:t>
      </w:r>
    </w:p>
    <w:bookmarkEnd w:id="153"/>
    <w:p w14:paraId="09B4BE23">
      <w:pPr>
        <w:spacing w:line="300" w:lineRule="auto"/>
        <w:rPr>
          <w:rFonts w:ascii="Times New Roman" w:hAnsi="Times New Roman"/>
          <w:szCs w:val="21"/>
        </w:rPr>
      </w:pPr>
      <w:r>
        <w:rPr>
          <w:rFonts w:ascii="Times New Roman" w:hAnsi="Times New Roman"/>
          <w:szCs w:val="21"/>
        </w:rPr>
        <w:t>A.1.1 称量设备：天平等。</w:t>
      </w:r>
    </w:p>
    <w:p w14:paraId="1C9AB656">
      <w:pPr>
        <w:spacing w:line="300" w:lineRule="auto"/>
        <w:rPr>
          <w:rFonts w:ascii="Times New Roman" w:hAnsi="Times New Roman"/>
          <w:szCs w:val="21"/>
        </w:rPr>
      </w:pPr>
      <w:r>
        <w:rPr>
          <w:rFonts w:ascii="Times New Roman" w:hAnsi="Times New Roman"/>
          <w:szCs w:val="21"/>
        </w:rPr>
        <w:t>A.1.2 消毒灭菌设备：干烤/干燥设备，高压灭菌、过滤除菌、紫外线等装置。</w:t>
      </w:r>
    </w:p>
    <w:p w14:paraId="1B7D4147">
      <w:pPr>
        <w:spacing w:line="300" w:lineRule="auto"/>
        <w:rPr>
          <w:rFonts w:ascii="Times New Roman" w:hAnsi="Times New Roman"/>
          <w:szCs w:val="21"/>
        </w:rPr>
      </w:pPr>
      <w:r>
        <w:rPr>
          <w:rFonts w:ascii="Times New Roman" w:hAnsi="Times New Roman"/>
          <w:szCs w:val="21"/>
        </w:rPr>
        <w:t>A.1.3 培养基</w:t>
      </w:r>
      <w:r>
        <w:rPr>
          <w:rFonts w:hint="eastAsia" w:ascii="Times New Roman" w:hAnsi="Times New Roman"/>
          <w:szCs w:val="21"/>
        </w:rPr>
        <w:t>配制</w:t>
      </w:r>
      <w:r>
        <w:rPr>
          <w:rFonts w:ascii="Times New Roman" w:hAnsi="Times New Roman"/>
          <w:szCs w:val="21"/>
        </w:rPr>
        <w:t>设备：pH计等。</w:t>
      </w:r>
    </w:p>
    <w:p w14:paraId="65943448">
      <w:pPr>
        <w:spacing w:line="300" w:lineRule="auto"/>
        <w:rPr>
          <w:rFonts w:ascii="Times New Roman" w:hAnsi="Times New Roman"/>
          <w:szCs w:val="21"/>
        </w:rPr>
      </w:pPr>
      <w:r>
        <w:rPr>
          <w:rFonts w:ascii="Times New Roman" w:hAnsi="Times New Roman"/>
          <w:szCs w:val="21"/>
        </w:rPr>
        <w:t>A.1.4 样品处理设备：均质器</w:t>
      </w:r>
      <w:r>
        <w:rPr>
          <w:rFonts w:hint="eastAsia" w:ascii="Times New Roman" w:hAnsi="Times New Roman"/>
          <w:szCs w:val="21"/>
        </w:rPr>
        <w:t>（</w:t>
      </w:r>
      <w:r>
        <w:rPr>
          <w:rFonts w:ascii="Times New Roman" w:hAnsi="Times New Roman"/>
          <w:szCs w:val="21"/>
        </w:rPr>
        <w:t>剪切式或拍打式均质器</w:t>
      </w:r>
      <w:r>
        <w:rPr>
          <w:rFonts w:hint="eastAsia" w:ascii="Times New Roman" w:hAnsi="Times New Roman"/>
          <w:szCs w:val="21"/>
        </w:rPr>
        <w:t>）</w:t>
      </w:r>
      <w:r>
        <w:rPr>
          <w:rFonts w:ascii="Times New Roman" w:hAnsi="Times New Roman"/>
          <w:szCs w:val="21"/>
        </w:rPr>
        <w:t>、离心机等。</w:t>
      </w:r>
    </w:p>
    <w:p w14:paraId="770B06F7">
      <w:pPr>
        <w:spacing w:line="300" w:lineRule="auto"/>
        <w:rPr>
          <w:rFonts w:ascii="Times New Roman" w:hAnsi="Times New Roman"/>
          <w:szCs w:val="21"/>
        </w:rPr>
      </w:pPr>
      <w:r>
        <w:rPr>
          <w:rFonts w:ascii="Times New Roman" w:hAnsi="Times New Roman"/>
          <w:szCs w:val="21"/>
        </w:rPr>
        <w:t>A.1.5 稀释设备：移液器等。</w:t>
      </w:r>
    </w:p>
    <w:p w14:paraId="5EAB33F9">
      <w:pPr>
        <w:spacing w:line="300" w:lineRule="auto"/>
        <w:rPr>
          <w:rFonts w:ascii="Times New Roman" w:hAnsi="Times New Roman"/>
          <w:szCs w:val="21"/>
        </w:rPr>
      </w:pPr>
      <w:r>
        <w:rPr>
          <w:rFonts w:ascii="Times New Roman" w:hAnsi="Times New Roman"/>
          <w:szCs w:val="21"/>
        </w:rPr>
        <w:t>A.1.6 培养设备：恒温培养箱、恒温水浴等装置。</w:t>
      </w:r>
    </w:p>
    <w:p w14:paraId="3661771B">
      <w:pPr>
        <w:spacing w:line="300" w:lineRule="auto"/>
        <w:rPr>
          <w:rFonts w:ascii="Times New Roman" w:hAnsi="Times New Roman"/>
          <w:szCs w:val="21"/>
        </w:rPr>
      </w:pPr>
      <w:r>
        <w:rPr>
          <w:rFonts w:ascii="Times New Roman" w:hAnsi="Times New Roman"/>
          <w:szCs w:val="21"/>
        </w:rPr>
        <w:t>A.1.7 镜检计数设备：显微镜、放大镜等。</w:t>
      </w:r>
    </w:p>
    <w:p w14:paraId="2577A249">
      <w:pPr>
        <w:spacing w:line="300" w:lineRule="auto"/>
        <w:rPr>
          <w:rFonts w:ascii="Times New Roman" w:hAnsi="Times New Roman"/>
          <w:szCs w:val="21"/>
        </w:rPr>
      </w:pPr>
      <w:r>
        <w:rPr>
          <w:rFonts w:ascii="Times New Roman" w:hAnsi="Times New Roman"/>
          <w:szCs w:val="21"/>
        </w:rPr>
        <w:t>A.1.8 冷藏冷冻设备：冰箱、冷冻柜等。</w:t>
      </w:r>
    </w:p>
    <w:p w14:paraId="59C6E72B">
      <w:pPr>
        <w:spacing w:line="300" w:lineRule="auto"/>
        <w:rPr>
          <w:rFonts w:ascii="Times New Roman" w:hAnsi="Times New Roman"/>
          <w:szCs w:val="21"/>
        </w:rPr>
      </w:pPr>
      <w:r>
        <w:rPr>
          <w:rFonts w:ascii="Times New Roman" w:hAnsi="Times New Roman"/>
          <w:szCs w:val="21"/>
        </w:rPr>
        <w:t>A.1.9 生物安全设备：生物安全柜。</w:t>
      </w:r>
    </w:p>
    <w:p w14:paraId="43B5C0A8">
      <w:pPr>
        <w:spacing w:line="300" w:lineRule="auto"/>
        <w:rPr>
          <w:rFonts w:ascii="Times New Roman" w:hAnsi="Times New Roman"/>
          <w:szCs w:val="21"/>
        </w:rPr>
      </w:pPr>
      <w:r>
        <w:rPr>
          <w:rFonts w:ascii="Times New Roman" w:hAnsi="Times New Roman"/>
          <w:szCs w:val="21"/>
        </w:rPr>
        <w:t>A.1.10 其他设备。</w:t>
      </w:r>
    </w:p>
    <w:p w14:paraId="629C6FAB">
      <w:pPr>
        <w:spacing w:before="159" w:beforeLines="50" w:after="159" w:afterLines="50" w:line="300" w:lineRule="auto"/>
        <w:rPr>
          <w:rFonts w:ascii="Times New Roman" w:hAnsi="Times New Roman"/>
          <w:szCs w:val="21"/>
        </w:rPr>
      </w:pPr>
      <w:r>
        <w:rPr>
          <w:rFonts w:ascii="Times New Roman" w:hAnsi="Times New Roman"/>
          <w:szCs w:val="21"/>
        </w:rPr>
        <w:t>A.2</w:t>
      </w:r>
      <w:r>
        <w:rPr>
          <w:rFonts w:hint="eastAsia" w:ascii="Times New Roman" w:hAnsi="Times New Roman"/>
          <w:szCs w:val="21"/>
        </w:rPr>
        <w:t xml:space="preserve"> </w:t>
      </w:r>
      <w:r>
        <w:rPr>
          <w:rFonts w:ascii="Times New Roman" w:hAnsi="Times New Roman"/>
          <w:szCs w:val="21"/>
        </w:rPr>
        <w:t xml:space="preserve"> </w:t>
      </w:r>
      <w:r>
        <w:rPr>
          <w:rFonts w:hint="eastAsia" w:ascii="Times New Roman" w:hAnsi="Times New Roman"/>
          <w:szCs w:val="21"/>
        </w:rPr>
        <w:t>检验用品</w:t>
      </w:r>
    </w:p>
    <w:p w14:paraId="6BC27C2E">
      <w:pPr>
        <w:spacing w:line="300" w:lineRule="auto"/>
        <w:ind w:firstLine="426" w:firstLineChars="200"/>
        <w:rPr>
          <w:rFonts w:ascii="Times New Roman" w:hAnsi="Times New Roman"/>
          <w:szCs w:val="21"/>
        </w:rPr>
      </w:pPr>
      <w:bookmarkStart w:id="157" w:name="OLE_LINK471"/>
      <w:bookmarkStart w:id="158" w:name="OLE_LINK470"/>
      <w:r>
        <w:rPr>
          <w:rFonts w:ascii="Times New Roman" w:hAnsi="Times New Roman"/>
          <w:szCs w:val="21"/>
        </w:rPr>
        <w:t>接种环</w:t>
      </w:r>
      <w:r>
        <w:rPr>
          <w:rFonts w:hint="eastAsia" w:ascii="Times New Roman" w:hAnsi="Times New Roman"/>
          <w:szCs w:val="21"/>
        </w:rPr>
        <w:t>（</w:t>
      </w:r>
      <w:r>
        <w:rPr>
          <w:rFonts w:ascii="Times New Roman" w:hAnsi="Times New Roman"/>
          <w:szCs w:val="21"/>
        </w:rPr>
        <w:t>针</w:t>
      </w:r>
      <w:r>
        <w:rPr>
          <w:rFonts w:hint="eastAsia" w:ascii="Times New Roman" w:hAnsi="Times New Roman"/>
          <w:szCs w:val="21"/>
        </w:rPr>
        <w:t>）</w:t>
      </w:r>
      <w:r>
        <w:rPr>
          <w:rFonts w:ascii="Times New Roman" w:hAnsi="Times New Roman"/>
          <w:szCs w:val="21"/>
        </w:rPr>
        <w:t>、酒精灯、镊子、剪刀、药匙、消毒棉球、硅胶</w:t>
      </w:r>
      <w:r>
        <w:rPr>
          <w:rFonts w:hint="eastAsia" w:ascii="Times New Roman" w:hAnsi="Times New Roman"/>
          <w:szCs w:val="21"/>
        </w:rPr>
        <w:t>（</w:t>
      </w:r>
      <w:r>
        <w:rPr>
          <w:rFonts w:ascii="Times New Roman" w:hAnsi="Times New Roman"/>
          <w:szCs w:val="21"/>
        </w:rPr>
        <w:t>棉</w:t>
      </w:r>
      <w:r>
        <w:rPr>
          <w:rFonts w:hint="eastAsia" w:ascii="Times New Roman" w:hAnsi="Times New Roman"/>
          <w:szCs w:val="21"/>
        </w:rPr>
        <w:t>）</w:t>
      </w:r>
      <w:r>
        <w:rPr>
          <w:rFonts w:ascii="Times New Roman" w:hAnsi="Times New Roman"/>
          <w:szCs w:val="21"/>
        </w:rPr>
        <w:t>塞、吸管、吸球、试管、平皿、锥形瓶、微孔板、广口瓶、量筒、玻棒及L形玻棒、pH试纸、记号笔、均质袋等。</w:t>
      </w:r>
    </w:p>
    <w:bookmarkEnd w:id="154"/>
    <w:bookmarkEnd w:id="155"/>
    <w:bookmarkEnd w:id="157"/>
    <w:bookmarkEnd w:id="158"/>
    <w:p w14:paraId="2A99AB7C">
      <w:pPr>
        <w:spacing w:before="159" w:beforeLines="50" w:after="159" w:afterLines="50" w:line="300" w:lineRule="auto"/>
        <w:jc w:val="both"/>
        <w:rPr>
          <w:rFonts w:ascii="Times New Roman" w:hAnsi="Times New Roman" w:eastAsia="黑体"/>
          <w:bCs/>
          <w:szCs w:val="21"/>
        </w:rPr>
      </w:pPr>
      <w:bookmarkStart w:id="159" w:name="OLE_LINK502"/>
      <w:bookmarkStart w:id="160" w:name="OLE_LINK501"/>
    </w:p>
    <w:p w14:paraId="5BF2C44D">
      <w:pPr>
        <w:widowControl/>
        <w:spacing w:before="159" w:beforeLines="50" w:after="159" w:afterLines="50" w:line="300" w:lineRule="auto"/>
        <w:jc w:val="center"/>
        <w:rPr>
          <w:rFonts w:ascii="黑体" w:hAnsi="黑体" w:eastAsia="黑体" w:cs="黑体"/>
          <w:szCs w:val="21"/>
        </w:rPr>
        <w:sectPr>
          <w:footerReference r:id="rId3" w:type="default"/>
          <w:pgSz w:w="11905"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AndChars" w:linePitch="319" w:charSpace="635"/>
        </w:sectPr>
      </w:pPr>
    </w:p>
    <w:p w14:paraId="64428234">
      <w:pPr>
        <w:widowControl/>
        <w:spacing w:before="159" w:beforeLines="50" w:after="159" w:afterLines="50" w:line="300" w:lineRule="auto"/>
        <w:jc w:val="center"/>
        <w:rPr>
          <w:rFonts w:ascii="黑体" w:hAnsi="黑体" w:eastAsia="黑体" w:cs="黑体"/>
          <w:szCs w:val="21"/>
        </w:rPr>
      </w:pPr>
      <w:r>
        <w:rPr>
          <w:rFonts w:hint="eastAsia" w:ascii="黑体" w:hAnsi="黑体" w:eastAsia="黑体" w:cs="黑体"/>
          <w:szCs w:val="21"/>
        </w:rPr>
        <w:t>附录</w:t>
      </w:r>
      <w:r>
        <w:rPr>
          <w:rFonts w:ascii="Times New Roman" w:hAnsi="Times New Roman" w:eastAsia="黑体"/>
          <w:szCs w:val="21"/>
        </w:rPr>
        <w:t>B</w:t>
      </w:r>
    </w:p>
    <w:p w14:paraId="44460BFD">
      <w:pPr>
        <w:widowControl/>
        <w:spacing w:before="159" w:beforeLines="50" w:after="159" w:afterLines="50" w:line="300" w:lineRule="auto"/>
        <w:jc w:val="center"/>
        <w:rPr>
          <w:rFonts w:ascii="黑体" w:hAnsi="黑体" w:eastAsia="黑体" w:cs="黑体"/>
          <w:szCs w:val="21"/>
        </w:rPr>
      </w:pPr>
      <w:r>
        <w:rPr>
          <w:rFonts w:ascii="黑体" w:hAnsi="黑体" w:eastAsia="黑体" w:cs="黑体"/>
          <w:szCs w:val="21"/>
        </w:rPr>
        <w:t>（资料性附录）</w:t>
      </w:r>
    </w:p>
    <w:p w14:paraId="09632480">
      <w:pPr>
        <w:widowControl/>
        <w:spacing w:before="159" w:beforeLines="50" w:after="159" w:afterLines="50" w:line="300" w:lineRule="auto"/>
        <w:jc w:val="center"/>
        <w:rPr>
          <w:rFonts w:ascii="黑体" w:hAnsi="黑体" w:eastAsia="黑体" w:cs="黑体"/>
          <w:szCs w:val="21"/>
        </w:rPr>
      </w:pPr>
      <w:r>
        <w:rPr>
          <w:rFonts w:ascii="黑体" w:hAnsi="黑体" w:eastAsia="黑体" w:cs="黑体"/>
          <w:szCs w:val="21"/>
        </w:rPr>
        <w:t>推荐菌株</w:t>
      </w:r>
    </w:p>
    <w:p w14:paraId="15618643">
      <w:pPr>
        <w:spacing w:before="159" w:beforeLines="50" w:after="159" w:afterLines="50" w:line="300" w:lineRule="auto"/>
        <w:jc w:val="center"/>
        <w:rPr>
          <w:rFonts w:ascii="黑体" w:hAnsi="黑体" w:eastAsia="黑体" w:cs="黑体"/>
          <w:szCs w:val="21"/>
        </w:rPr>
      </w:pPr>
      <w:r>
        <w:rPr>
          <w:rFonts w:ascii="黑体" w:hAnsi="黑体" w:eastAsia="黑体" w:cs="黑体"/>
          <w:szCs w:val="21"/>
        </w:rPr>
        <w:t>表</w:t>
      </w:r>
      <w:r>
        <w:rPr>
          <w:rFonts w:ascii="Times New Roman" w:hAnsi="Times New Roman" w:eastAsia="黑体"/>
          <w:szCs w:val="21"/>
        </w:rPr>
        <w:t>B.1</w:t>
      </w:r>
      <w:r>
        <w:rPr>
          <w:rFonts w:ascii="黑体" w:hAnsi="黑体" w:eastAsia="黑体" w:cs="黑体"/>
          <w:szCs w:val="21"/>
        </w:rPr>
        <w:t xml:space="preserve"> 推荐菌株</w:t>
      </w:r>
      <w:r>
        <w:rPr>
          <w:rFonts w:hint="eastAsia" w:ascii="黑体" w:hAnsi="黑体" w:eastAsia="黑体" w:cs="黑体"/>
          <w:szCs w:val="21"/>
        </w:rPr>
        <w:t>信息</w:t>
      </w:r>
      <w:r>
        <w:rPr>
          <w:rFonts w:ascii="黑体" w:hAnsi="黑体" w:eastAsia="黑体" w:cs="黑体"/>
          <w:szCs w:val="21"/>
        </w:rPr>
        <w:t>表</w:t>
      </w:r>
    </w:p>
    <w:tbl>
      <w:tblPr>
        <w:tblStyle w:val="4"/>
        <w:tblW w:w="49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5"/>
        <w:gridCol w:w="3403"/>
        <w:gridCol w:w="4103"/>
        <w:gridCol w:w="1801"/>
        <w:gridCol w:w="1801"/>
        <w:gridCol w:w="1801"/>
      </w:tblGrid>
      <w:tr w14:paraId="4B18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7" w:type="pct"/>
            <w:noWrap/>
            <w:vAlign w:val="center"/>
          </w:tcPr>
          <w:p w14:paraId="24BE2A79">
            <w:pPr>
              <w:widowControl/>
              <w:spacing w:line="300" w:lineRule="auto"/>
              <w:jc w:val="center"/>
              <w:rPr>
                <w:rFonts w:ascii="Times New Roman" w:hAnsi="Times New Roman"/>
                <w:b/>
                <w:bCs/>
                <w:sz w:val="18"/>
                <w:szCs w:val="18"/>
              </w:rPr>
            </w:pPr>
            <w:r>
              <w:rPr>
                <w:rFonts w:ascii="Times New Roman" w:hAnsi="Times New Roman"/>
                <w:b/>
                <w:bCs/>
                <w:sz w:val="18"/>
                <w:szCs w:val="18"/>
              </w:rPr>
              <w:t>序号</w:t>
            </w:r>
            <w:r>
              <w:rPr>
                <w:rFonts w:ascii="Times New Roman" w:hAnsi="Times New Roman" w:eastAsia="等线"/>
                <w:sz w:val="18"/>
                <w:szCs w:val="18"/>
                <w:vertAlign w:val="superscript"/>
              </w:rPr>
              <w:t>a</w:t>
            </w:r>
          </w:p>
        </w:tc>
        <w:tc>
          <w:tcPr>
            <w:tcW w:w="1213" w:type="pct"/>
            <w:noWrap/>
            <w:vAlign w:val="center"/>
          </w:tcPr>
          <w:p w14:paraId="27A292AA">
            <w:pPr>
              <w:widowControl/>
              <w:spacing w:line="300" w:lineRule="auto"/>
              <w:jc w:val="center"/>
              <w:rPr>
                <w:rFonts w:ascii="Times New Roman" w:hAnsi="Times New Roman"/>
                <w:b/>
                <w:bCs/>
                <w:sz w:val="18"/>
                <w:szCs w:val="18"/>
              </w:rPr>
            </w:pPr>
            <w:r>
              <w:rPr>
                <w:rFonts w:ascii="Times New Roman" w:hAnsi="Times New Roman"/>
                <w:b/>
                <w:bCs/>
                <w:color w:val="000000"/>
                <w:sz w:val="18"/>
                <w:szCs w:val="18"/>
              </w:rPr>
              <w:t>中文名</w:t>
            </w:r>
          </w:p>
        </w:tc>
        <w:tc>
          <w:tcPr>
            <w:tcW w:w="1462" w:type="pct"/>
            <w:noWrap/>
            <w:vAlign w:val="center"/>
          </w:tcPr>
          <w:p w14:paraId="06D4C8E9">
            <w:pPr>
              <w:widowControl/>
              <w:spacing w:line="300" w:lineRule="auto"/>
              <w:jc w:val="center"/>
              <w:rPr>
                <w:rFonts w:ascii="Times New Roman" w:hAnsi="Times New Roman"/>
                <w:b/>
                <w:bCs/>
                <w:sz w:val="18"/>
                <w:szCs w:val="18"/>
              </w:rPr>
            </w:pPr>
            <w:r>
              <w:rPr>
                <w:rFonts w:ascii="Times New Roman" w:hAnsi="Times New Roman"/>
                <w:b/>
                <w:bCs/>
                <w:color w:val="000000"/>
                <w:sz w:val="18"/>
                <w:szCs w:val="18"/>
              </w:rPr>
              <w:t>拉丁名</w:t>
            </w:r>
          </w:p>
        </w:tc>
        <w:tc>
          <w:tcPr>
            <w:tcW w:w="642" w:type="pct"/>
            <w:noWrap/>
            <w:vAlign w:val="center"/>
          </w:tcPr>
          <w:p w14:paraId="54CB70B1">
            <w:pPr>
              <w:widowControl/>
              <w:spacing w:line="300" w:lineRule="auto"/>
              <w:jc w:val="center"/>
              <w:rPr>
                <w:rFonts w:ascii="Times New Roman" w:hAnsi="Times New Roman"/>
                <w:b/>
                <w:bCs/>
                <w:sz w:val="18"/>
                <w:szCs w:val="18"/>
              </w:rPr>
            </w:pPr>
            <w:r>
              <w:rPr>
                <w:rFonts w:ascii="Times New Roman" w:hAnsi="Times New Roman"/>
                <w:b/>
                <w:bCs/>
                <w:sz w:val="18"/>
                <w:szCs w:val="18"/>
              </w:rPr>
              <w:t>CMCC编号</w:t>
            </w:r>
            <w:r>
              <w:rPr>
                <w:rFonts w:ascii="Times New Roman" w:hAnsi="Times New Roman" w:eastAsia="黑体"/>
                <w:color w:val="000000"/>
                <w:vertAlign w:val="superscript"/>
              </w:rPr>
              <w:t>b</w:t>
            </w:r>
          </w:p>
        </w:tc>
        <w:tc>
          <w:tcPr>
            <w:tcW w:w="642" w:type="pct"/>
            <w:noWrap w:val="0"/>
            <w:vAlign w:val="center"/>
          </w:tcPr>
          <w:p w14:paraId="5A407062">
            <w:pPr>
              <w:widowControl/>
              <w:spacing w:line="300" w:lineRule="auto"/>
              <w:jc w:val="center"/>
              <w:rPr>
                <w:rFonts w:ascii="Times New Roman" w:hAnsi="Times New Roman"/>
                <w:b/>
                <w:bCs/>
                <w:sz w:val="18"/>
                <w:szCs w:val="18"/>
              </w:rPr>
            </w:pPr>
            <w:r>
              <w:rPr>
                <w:rFonts w:ascii="Times New Roman" w:hAnsi="Times New Roman"/>
                <w:b/>
                <w:bCs/>
                <w:sz w:val="18"/>
                <w:szCs w:val="18"/>
              </w:rPr>
              <w:t>CICC编号</w:t>
            </w:r>
            <w:r>
              <w:rPr>
                <w:rFonts w:ascii="Times New Roman" w:hAnsi="Times New Roman"/>
                <w:b/>
                <w:bCs/>
                <w:sz w:val="18"/>
                <w:szCs w:val="18"/>
                <w:vertAlign w:val="superscript"/>
              </w:rPr>
              <w:t>c</w:t>
            </w:r>
          </w:p>
        </w:tc>
        <w:tc>
          <w:tcPr>
            <w:tcW w:w="642" w:type="pct"/>
            <w:noWrap w:val="0"/>
            <w:vAlign w:val="center"/>
          </w:tcPr>
          <w:p w14:paraId="067B0F85">
            <w:pPr>
              <w:widowControl/>
              <w:spacing w:line="300" w:lineRule="auto"/>
              <w:jc w:val="center"/>
              <w:rPr>
                <w:rFonts w:ascii="Times New Roman" w:hAnsi="Times New Roman"/>
                <w:b/>
                <w:bCs/>
                <w:sz w:val="18"/>
                <w:szCs w:val="18"/>
              </w:rPr>
            </w:pPr>
            <w:r>
              <w:rPr>
                <w:rFonts w:ascii="Times New Roman" w:hAnsi="Times New Roman"/>
                <w:b/>
                <w:bCs/>
                <w:sz w:val="18"/>
                <w:szCs w:val="18"/>
              </w:rPr>
              <w:t>GDMCC编号</w:t>
            </w:r>
            <w:r>
              <w:rPr>
                <w:rFonts w:ascii="Times New Roman" w:hAnsi="Times New Roman"/>
                <w:b/>
                <w:bCs/>
                <w:sz w:val="18"/>
                <w:szCs w:val="18"/>
                <w:vertAlign w:val="superscript"/>
              </w:rPr>
              <w:t>d</w:t>
            </w:r>
          </w:p>
        </w:tc>
      </w:tr>
      <w:tr w14:paraId="593B0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7" w:type="pct"/>
            <w:noWrap/>
            <w:vAlign w:val="center"/>
          </w:tcPr>
          <w:p w14:paraId="1344C64A">
            <w:pPr>
              <w:widowControl/>
              <w:spacing w:line="300" w:lineRule="auto"/>
              <w:jc w:val="center"/>
              <w:rPr>
                <w:rFonts w:ascii="Times New Roman" w:hAnsi="Times New Roman"/>
                <w:sz w:val="18"/>
                <w:szCs w:val="18"/>
              </w:rPr>
            </w:pPr>
            <w:r>
              <w:rPr>
                <w:rFonts w:ascii="Times New Roman" w:hAnsi="Times New Roman" w:eastAsia="等线"/>
                <w:color w:val="000000"/>
                <w:sz w:val="18"/>
                <w:szCs w:val="18"/>
              </w:rPr>
              <w:t>1</w:t>
            </w:r>
          </w:p>
        </w:tc>
        <w:tc>
          <w:tcPr>
            <w:tcW w:w="1213" w:type="pct"/>
            <w:noWrap/>
            <w:vAlign w:val="center"/>
          </w:tcPr>
          <w:p w14:paraId="027C0CF5">
            <w:pPr>
              <w:spacing w:line="300" w:lineRule="auto"/>
              <w:rPr>
                <w:rFonts w:ascii="Times New Roman" w:hAnsi="Times New Roman"/>
                <w:sz w:val="18"/>
                <w:szCs w:val="18"/>
              </w:rPr>
            </w:pPr>
            <w:r>
              <w:rPr>
                <w:rFonts w:ascii="Times New Roman" w:hAnsi="Times New Roman"/>
                <w:color w:val="000000"/>
                <w:sz w:val="18"/>
                <w:szCs w:val="18"/>
              </w:rPr>
              <w:t>大肠埃希氏菌</w:t>
            </w:r>
          </w:p>
        </w:tc>
        <w:tc>
          <w:tcPr>
            <w:tcW w:w="1462" w:type="pct"/>
            <w:noWrap/>
            <w:vAlign w:val="center"/>
          </w:tcPr>
          <w:p w14:paraId="32E7C8E7">
            <w:pPr>
              <w:widowControl/>
              <w:spacing w:line="300" w:lineRule="auto"/>
              <w:jc w:val="left"/>
              <w:rPr>
                <w:rFonts w:ascii="Times New Roman" w:hAnsi="Times New Roman"/>
                <w:i/>
                <w:iCs/>
                <w:sz w:val="18"/>
                <w:szCs w:val="18"/>
              </w:rPr>
            </w:pPr>
            <w:r>
              <w:rPr>
                <w:rFonts w:ascii="Times New Roman" w:hAnsi="Times New Roman"/>
                <w:i/>
                <w:iCs/>
                <w:color w:val="000000"/>
                <w:sz w:val="18"/>
                <w:szCs w:val="18"/>
              </w:rPr>
              <w:t>Escherichia coli</w:t>
            </w:r>
          </w:p>
        </w:tc>
        <w:tc>
          <w:tcPr>
            <w:tcW w:w="642" w:type="pct"/>
            <w:noWrap/>
            <w:vAlign w:val="center"/>
          </w:tcPr>
          <w:p w14:paraId="65C0BA9F">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CMCC(B)44102</w:t>
            </w:r>
          </w:p>
        </w:tc>
        <w:tc>
          <w:tcPr>
            <w:tcW w:w="642" w:type="pct"/>
            <w:noWrap w:val="0"/>
            <w:vAlign w:val="center"/>
          </w:tcPr>
          <w:p w14:paraId="674DAF99">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CICC 24106</w:t>
            </w:r>
          </w:p>
        </w:tc>
        <w:tc>
          <w:tcPr>
            <w:tcW w:w="642" w:type="pct"/>
            <w:noWrap w:val="0"/>
            <w:vAlign w:val="center"/>
          </w:tcPr>
          <w:p w14:paraId="3F4F1EDA">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1.223</w:t>
            </w:r>
          </w:p>
        </w:tc>
      </w:tr>
      <w:tr w14:paraId="0C91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7" w:type="pct"/>
            <w:noWrap/>
            <w:vAlign w:val="center"/>
          </w:tcPr>
          <w:p w14:paraId="6790A01E">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2</w:t>
            </w:r>
          </w:p>
        </w:tc>
        <w:tc>
          <w:tcPr>
            <w:tcW w:w="1213" w:type="pct"/>
            <w:noWrap/>
            <w:vAlign w:val="center"/>
          </w:tcPr>
          <w:p w14:paraId="59080CE8">
            <w:pPr>
              <w:widowControl/>
              <w:spacing w:line="300" w:lineRule="auto"/>
              <w:jc w:val="left"/>
              <w:rPr>
                <w:rFonts w:ascii="Times New Roman" w:hAnsi="Times New Roman"/>
                <w:sz w:val="18"/>
                <w:szCs w:val="18"/>
              </w:rPr>
            </w:pPr>
            <w:r>
              <w:rPr>
                <w:rFonts w:ascii="Times New Roman" w:hAnsi="Times New Roman"/>
                <w:sz w:val="18"/>
                <w:szCs w:val="18"/>
              </w:rPr>
              <w:t>产气克雷伯氏菌（产气肠杆菌）</w:t>
            </w:r>
          </w:p>
        </w:tc>
        <w:tc>
          <w:tcPr>
            <w:tcW w:w="1462" w:type="pct"/>
            <w:noWrap/>
            <w:vAlign w:val="center"/>
          </w:tcPr>
          <w:p w14:paraId="441F125E">
            <w:pPr>
              <w:widowControl/>
              <w:spacing w:line="300" w:lineRule="auto"/>
              <w:jc w:val="left"/>
              <w:rPr>
                <w:rFonts w:ascii="Times New Roman" w:hAnsi="Times New Roman" w:eastAsia="等线"/>
                <w:i/>
                <w:iCs/>
                <w:color w:val="000000"/>
                <w:sz w:val="18"/>
                <w:szCs w:val="18"/>
              </w:rPr>
            </w:pPr>
            <w:r>
              <w:rPr>
                <w:rFonts w:ascii="Times New Roman" w:hAnsi="Times New Roman" w:eastAsia="等线"/>
                <w:i/>
                <w:iCs/>
                <w:color w:val="000000"/>
                <w:sz w:val="18"/>
                <w:szCs w:val="18"/>
              </w:rPr>
              <w:t>Klebsiella aerogenes (Enterobacter aerogenes)</w:t>
            </w:r>
          </w:p>
        </w:tc>
        <w:tc>
          <w:tcPr>
            <w:tcW w:w="642" w:type="pct"/>
            <w:noWrap/>
            <w:vAlign w:val="center"/>
          </w:tcPr>
          <w:p w14:paraId="5B38A4CE">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CMCC(B)45108</w:t>
            </w:r>
          </w:p>
        </w:tc>
        <w:tc>
          <w:tcPr>
            <w:tcW w:w="642" w:type="pct"/>
            <w:noWrap w:val="0"/>
            <w:vAlign w:val="center"/>
          </w:tcPr>
          <w:p w14:paraId="430FC5BA">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CICC 25014</w:t>
            </w:r>
          </w:p>
        </w:tc>
        <w:tc>
          <w:tcPr>
            <w:tcW w:w="642" w:type="pct"/>
            <w:noWrap w:val="0"/>
            <w:vAlign w:val="center"/>
          </w:tcPr>
          <w:p w14:paraId="738A6924">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1.2340</w:t>
            </w:r>
          </w:p>
        </w:tc>
      </w:tr>
      <w:tr w14:paraId="062A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7" w:type="pct"/>
            <w:noWrap/>
            <w:vAlign w:val="center"/>
          </w:tcPr>
          <w:p w14:paraId="5A200516">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3</w:t>
            </w:r>
          </w:p>
        </w:tc>
        <w:tc>
          <w:tcPr>
            <w:tcW w:w="1213" w:type="pct"/>
            <w:noWrap/>
            <w:vAlign w:val="center"/>
          </w:tcPr>
          <w:p w14:paraId="7A0247FB">
            <w:pPr>
              <w:spacing w:line="300" w:lineRule="auto"/>
              <w:rPr>
                <w:rFonts w:ascii="Times New Roman" w:hAnsi="Times New Roman"/>
                <w:color w:val="000000"/>
                <w:sz w:val="18"/>
                <w:szCs w:val="18"/>
              </w:rPr>
            </w:pPr>
            <w:r>
              <w:rPr>
                <w:rFonts w:ascii="Times New Roman" w:hAnsi="Times New Roman"/>
                <w:color w:val="000000"/>
                <w:sz w:val="18"/>
                <w:szCs w:val="18"/>
              </w:rPr>
              <w:t>铜绿假单胞菌</w:t>
            </w:r>
          </w:p>
        </w:tc>
        <w:tc>
          <w:tcPr>
            <w:tcW w:w="1462" w:type="pct"/>
            <w:noWrap/>
            <w:vAlign w:val="center"/>
          </w:tcPr>
          <w:p w14:paraId="0AA85C6B">
            <w:pPr>
              <w:widowControl/>
              <w:spacing w:line="300" w:lineRule="auto"/>
              <w:jc w:val="left"/>
              <w:rPr>
                <w:rFonts w:ascii="Times New Roman" w:hAnsi="Times New Roman"/>
                <w:i/>
                <w:iCs/>
                <w:color w:val="000000"/>
                <w:sz w:val="18"/>
                <w:szCs w:val="18"/>
              </w:rPr>
            </w:pPr>
            <w:r>
              <w:rPr>
                <w:rFonts w:ascii="Times New Roman" w:hAnsi="Times New Roman" w:eastAsia="等线"/>
                <w:i/>
                <w:iCs/>
                <w:color w:val="000000"/>
                <w:sz w:val="18"/>
                <w:szCs w:val="18"/>
              </w:rPr>
              <w:t>Pseudomonas aeruginosa</w:t>
            </w:r>
          </w:p>
        </w:tc>
        <w:tc>
          <w:tcPr>
            <w:tcW w:w="642" w:type="pct"/>
            <w:noWrap/>
            <w:vAlign w:val="center"/>
          </w:tcPr>
          <w:p w14:paraId="20E1C3DE">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CMCC(B)10104</w:t>
            </w:r>
          </w:p>
        </w:tc>
        <w:tc>
          <w:tcPr>
            <w:tcW w:w="642" w:type="pct"/>
            <w:noWrap w:val="0"/>
            <w:vAlign w:val="center"/>
          </w:tcPr>
          <w:p w14:paraId="7C0D5821">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lang w:bidi="ar"/>
              </w:rPr>
              <w:t>CICC 10419</w:t>
            </w:r>
          </w:p>
        </w:tc>
        <w:tc>
          <w:tcPr>
            <w:tcW w:w="642" w:type="pct"/>
            <w:noWrap w:val="0"/>
            <w:vAlign w:val="center"/>
          </w:tcPr>
          <w:p w14:paraId="2A90DF9B">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1.1506</w:t>
            </w:r>
          </w:p>
        </w:tc>
      </w:tr>
      <w:tr w14:paraId="71D6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7" w:type="pct"/>
            <w:noWrap/>
            <w:vAlign w:val="center"/>
          </w:tcPr>
          <w:p w14:paraId="05F6D798">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4</w:t>
            </w:r>
          </w:p>
        </w:tc>
        <w:tc>
          <w:tcPr>
            <w:tcW w:w="1213" w:type="pct"/>
            <w:noWrap/>
            <w:vAlign w:val="center"/>
          </w:tcPr>
          <w:p w14:paraId="2B14278A">
            <w:pPr>
              <w:spacing w:line="300" w:lineRule="auto"/>
              <w:rPr>
                <w:rFonts w:ascii="Times New Roman" w:hAnsi="Times New Roman"/>
                <w:color w:val="000000"/>
                <w:sz w:val="18"/>
                <w:szCs w:val="18"/>
              </w:rPr>
            </w:pPr>
            <w:r>
              <w:rPr>
                <w:rFonts w:ascii="Times New Roman" w:hAnsi="Times New Roman"/>
                <w:color w:val="000000"/>
                <w:sz w:val="18"/>
                <w:szCs w:val="18"/>
              </w:rPr>
              <w:t>洋葱伯克霍尔德菌</w:t>
            </w:r>
          </w:p>
        </w:tc>
        <w:tc>
          <w:tcPr>
            <w:tcW w:w="1462" w:type="pct"/>
            <w:noWrap/>
            <w:vAlign w:val="center"/>
          </w:tcPr>
          <w:p w14:paraId="3C3D6879">
            <w:pPr>
              <w:widowControl/>
              <w:spacing w:line="300" w:lineRule="auto"/>
              <w:jc w:val="left"/>
              <w:rPr>
                <w:rFonts w:ascii="Times New Roman" w:hAnsi="Times New Roman"/>
                <w:i/>
                <w:iCs/>
                <w:color w:val="000000"/>
                <w:sz w:val="18"/>
                <w:szCs w:val="18"/>
              </w:rPr>
            </w:pPr>
            <w:r>
              <w:rPr>
                <w:rFonts w:ascii="Times New Roman" w:hAnsi="Times New Roman" w:eastAsia="等线"/>
                <w:i/>
                <w:iCs/>
                <w:color w:val="000000"/>
                <w:sz w:val="18"/>
                <w:szCs w:val="18"/>
              </w:rPr>
              <w:t>Burkholderia</w:t>
            </w:r>
            <w:r>
              <w:rPr>
                <w:rFonts w:hint="eastAsia" w:ascii="Times New Roman" w:hAnsi="Times New Roman" w:eastAsia="等线"/>
                <w:i/>
                <w:iCs/>
                <w:color w:val="000000"/>
                <w:sz w:val="18"/>
                <w:szCs w:val="18"/>
              </w:rPr>
              <w:t xml:space="preserve"> </w:t>
            </w:r>
            <w:r>
              <w:rPr>
                <w:rFonts w:ascii="Times New Roman" w:hAnsi="Times New Roman" w:eastAsia="等线"/>
                <w:i/>
                <w:iCs/>
                <w:color w:val="000000"/>
                <w:sz w:val="18"/>
                <w:szCs w:val="18"/>
              </w:rPr>
              <w:t>cepacia</w:t>
            </w:r>
          </w:p>
        </w:tc>
        <w:tc>
          <w:tcPr>
            <w:tcW w:w="642" w:type="pct"/>
            <w:noWrap/>
            <w:vAlign w:val="center"/>
          </w:tcPr>
          <w:p w14:paraId="10AA85D1">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CMCC(B)23015</w:t>
            </w:r>
          </w:p>
        </w:tc>
        <w:tc>
          <w:tcPr>
            <w:tcW w:w="642" w:type="pct"/>
            <w:noWrap w:val="0"/>
            <w:vAlign w:val="center"/>
          </w:tcPr>
          <w:p w14:paraId="55CD5914">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lang w:bidi="ar"/>
              </w:rPr>
              <w:t>CICC 25293</w:t>
            </w:r>
          </w:p>
        </w:tc>
        <w:tc>
          <w:tcPr>
            <w:tcW w:w="642" w:type="pct"/>
            <w:noWrap w:val="0"/>
            <w:vAlign w:val="center"/>
          </w:tcPr>
          <w:p w14:paraId="6C09FDD6">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1.</w:t>
            </w:r>
            <w:r>
              <w:rPr>
                <w:rFonts w:hint="eastAsia" w:ascii="Times New Roman" w:hAnsi="Times New Roman" w:eastAsia="等线"/>
                <w:color w:val="000000"/>
                <w:sz w:val="18"/>
                <w:szCs w:val="18"/>
              </w:rPr>
              <w:t>6857</w:t>
            </w:r>
          </w:p>
        </w:tc>
      </w:tr>
      <w:tr w14:paraId="06F2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7" w:type="pct"/>
            <w:noWrap/>
            <w:vAlign w:val="center"/>
          </w:tcPr>
          <w:p w14:paraId="7D7C6D0C">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5</w:t>
            </w:r>
          </w:p>
        </w:tc>
        <w:tc>
          <w:tcPr>
            <w:tcW w:w="1213" w:type="pct"/>
            <w:noWrap/>
            <w:vAlign w:val="center"/>
          </w:tcPr>
          <w:p w14:paraId="5970DA58">
            <w:pPr>
              <w:spacing w:line="300" w:lineRule="auto"/>
              <w:rPr>
                <w:rFonts w:ascii="Times New Roman" w:hAnsi="Times New Roman"/>
                <w:color w:val="000000"/>
                <w:sz w:val="18"/>
                <w:szCs w:val="18"/>
              </w:rPr>
            </w:pPr>
            <w:r>
              <w:rPr>
                <w:rFonts w:ascii="Times New Roman" w:hAnsi="Times New Roman"/>
                <w:color w:val="000000"/>
                <w:sz w:val="18"/>
                <w:szCs w:val="18"/>
              </w:rPr>
              <w:t>新洋葱伯克霍尔德菌</w:t>
            </w:r>
          </w:p>
        </w:tc>
        <w:tc>
          <w:tcPr>
            <w:tcW w:w="1462" w:type="pct"/>
            <w:noWrap/>
            <w:vAlign w:val="center"/>
          </w:tcPr>
          <w:p w14:paraId="72DF63D8">
            <w:pPr>
              <w:widowControl/>
              <w:spacing w:line="300" w:lineRule="auto"/>
              <w:jc w:val="left"/>
              <w:rPr>
                <w:rFonts w:ascii="Times New Roman" w:hAnsi="Times New Roman"/>
                <w:i/>
                <w:iCs/>
                <w:color w:val="000000"/>
                <w:sz w:val="18"/>
                <w:szCs w:val="18"/>
              </w:rPr>
            </w:pPr>
            <w:r>
              <w:rPr>
                <w:rFonts w:ascii="Times New Roman" w:hAnsi="Times New Roman" w:eastAsia="等线"/>
                <w:i/>
                <w:iCs/>
                <w:color w:val="000000"/>
                <w:sz w:val="18"/>
                <w:szCs w:val="18"/>
              </w:rPr>
              <w:t>Burkholderia</w:t>
            </w:r>
            <w:r>
              <w:rPr>
                <w:rFonts w:hint="eastAsia" w:ascii="Times New Roman" w:hAnsi="Times New Roman" w:eastAsia="等线"/>
                <w:i/>
                <w:iCs/>
                <w:color w:val="000000"/>
                <w:sz w:val="18"/>
                <w:szCs w:val="18"/>
              </w:rPr>
              <w:t xml:space="preserve"> </w:t>
            </w:r>
            <w:r>
              <w:rPr>
                <w:rFonts w:ascii="Times New Roman" w:hAnsi="Times New Roman" w:eastAsia="等线"/>
                <w:i/>
                <w:iCs/>
                <w:color w:val="000000"/>
                <w:sz w:val="18"/>
                <w:szCs w:val="18"/>
              </w:rPr>
              <w:t>cenocepacia</w:t>
            </w:r>
          </w:p>
        </w:tc>
        <w:tc>
          <w:tcPr>
            <w:tcW w:w="642" w:type="pct"/>
            <w:noWrap/>
            <w:vAlign w:val="center"/>
          </w:tcPr>
          <w:p w14:paraId="346DD2BB">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CMCC(B)23014</w:t>
            </w:r>
          </w:p>
        </w:tc>
        <w:tc>
          <w:tcPr>
            <w:tcW w:w="642" w:type="pct"/>
            <w:noWrap w:val="0"/>
            <w:vAlign w:val="center"/>
          </w:tcPr>
          <w:p w14:paraId="5E9B57BF">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lang w:bidi="ar"/>
              </w:rPr>
              <w:t>CICC 25294</w:t>
            </w:r>
          </w:p>
        </w:tc>
        <w:tc>
          <w:tcPr>
            <w:tcW w:w="642" w:type="pct"/>
            <w:noWrap w:val="0"/>
            <w:vAlign w:val="center"/>
          </w:tcPr>
          <w:p w14:paraId="71D3EDA1">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1.</w:t>
            </w:r>
            <w:r>
              <w:rPr>
                <w:rFonts w:hint="eastAsia" w:ascii="Times New Roman" w:hAnsi="Times New Roman" w:eastAsia="等线"/>
                <w:color w:val="000000"/>
                <w:sz w:val="18"/>
                <w:szCs w:val="18"/>
              </w:rPr>
              <w:t>6856</w:t>
            </w:r>
          </w:p>
        </w:tc>
      </w:tr>
      <w:tr w14:paraId="24E1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7" w:type="pct"/>
            <w:noWrap/>
            <w:vAlign w:val="center"/>
          </w:tcPr>
          <w:p w14:paraId="690B17DB">
            <w:pPr>
              <w:widowControl/>
              <w:spacing w:line="300" w:lineRule="auto"/>
              <w:jc w:val="center"/>
              <w:rPr>
                <w:rFonts w:ascii="Times New Roman" w:hAnsi="Times New Roman"/>
                <w:sz w:val="18"/>
                <w:szCs w:val="18"/>
              </w:rPr>
            </w:pPr>
            <w:r>
              <w:rPr>
                <w:rFonts w:ascii="Times New Roman" w:hAnsi="Times New Roman"/>
                <w:sz w:val="18"/>
                <w:szCs w:val="18"/>
              </w:rPr>
              <w:t>6</w:t>
            </w:r>
          </w:p>
        </w:tc>
        <w:tc>
          <w:tcPr>
            <w:tcW w:w="1213" w:type="pct"/>
            <w:noWrap/>
            <w:vAlign w:val="center"/>
          </w:tcPr>
          <w:p w14:paraId="1E490AD1">
            <w:pPr>
              <w:spacing w:line="300" w:lineRule="auto"/>
              <w:rPr>
                <w:rFonts w:ascii="Times New Roman" w:hAnsi="Times New Roman"/>
                <w:sz w:val="18"/>
                <w:szCs w:val="18"/>
              </w:rPr>
            </w:pPr>
            <w:r>
              <w:rPr>
                <w:rFonts w:ascii="Times New Roman" w:hAnsi="Times New Roman"/>
                <w:color w:val="000000"/>
                <w:sz w:val="18"/>
                <w:szCs w:val="18"/>
              </w:rPr>
              <w:t>金黄色葡萄球菌</w:t>
            </w:r>
          </w:p>
        </w:tc>
        <w:tc>
          <w:tcPr>
            <w:tcW w:w="1462" w:type="pct"/>
            <w:noWrap/>
            <w:vAlign w:val="center"/>
          </w:tcPr>
          <w:p w14:paraId="3FECF7CA">
            <w:pPr>
              <w:widowControl/>
              <w:spacing w:line="300" w:lineRule="auto"/>
              <w:jc w:val="left"/>
              <w:rPr>
                <w:rFonts w:ascii="Times New Roman" w:hAnsi="Times New Roman"/>
                <w:i/>
                <w:iCs/>
                <w:sz w:val="18"/>
                <w:szCs w:val="18"/>
              </w:rPr>
            </w:pPr>
            <w:r>
              <w:rPr>
                <w:rFonts w:ascii="Times New Roman" w:hAnsi="Times New Roman"/>
                <w:i/>
                <w:iCs/>
                <w:color w:val="000000"/>
                <w:sz w:val="18"/>
                <w:szCs w:val="18"/>
              </w:rPr>
              <w:t>Staphylococcus aureus</w:t>
            </w:r>
          </w:p>
        </w:tc>
        <w:tc>
          <w:tcPr>
            <w:tcW w:w="642" w:type="pct"/>
            <w:noWrap/>
            <w:vAlign w:val="center"/>
          </w:tcPr>
          <w:p w14:paraId="75CD8C9B">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CMCC(B)26003</w:t>
            </w:r>
          </w:p>
        </w:tc>
        <w:tc>
          <w:tcPr>
            <w:tcW w:w="642" w:type="pct"/>
            <w:noWrap w:val="0"/>
            <w:vAlign w:val="center"/>
          </w:tcPr>
          <w:p w14:paraId="1833598E">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CICC 10384</w:t>
            </w:r>
          </w:p>
        </w:tc>
        <w:tc>
          <w:tcPr>
            <w:tcW w:w="642" w:type="pct"/>
            <w:noWrap w:val="0"/>
            <w:vAlign w:val="center"/>
          </w:tcPr>
          <w:p w14:paraId="2BA83C30">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1.221</w:t>
            </w:r>
          </w:p>
        </w:tc>
      </w:tr>
      <w:tr w14:paraId="017D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7" w:type="pct"/>
            <w:noWrap/>
            <w:vAlign w:val="center"/>
          </w:tcPr>
          <w:p w14:paraId="03E1ADE2">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7</w:t>
            </w:r>
          </w:p>
        </w:tc>
        <w:tc>
          <w:tcPr>
            <w:tcW w:w="1213" w:type="pct"/>
            <w:noWrap/>
            <w:vAlign w:val="center"/>
          </w:tcPr>
          <w:p w14:paraId="4751F107">
            <w:pPr>
              <w:spacing w:line="300" w:lineRule="auto"/>
              <w:rPr>
                <w:rFonts w:ascii="Times New Roman" w:hAnsi="Times New Roman"/>
                <w:color w:val="000000"/>
                <w:sz w:val="18"/>
                <w:szCs w:val="18"/>
              </w:rPr>
            </w:pPr>
            <w:r>
              <w:rPr>
                <w:rFonts w:ascii="Times New Roman" w:hAnsi="Times New Roman"/>
                <w:color w:val="000000"/>
                <w:sz w:val="18"/>
                <w:szCs w:val="18"/>
              </w:rPr>
              <w:t>表皮葡萄球菌</w:t>
            </w:r>
          </w:p>
        </w:tc>
        <w:tc>
          <w:tcPr>
            <w:tcW w:w="1462" w:type="pct"/>
            <w:noWrap/>
            <w:vAlign w:val="center"/>
          </w:tcPr>
          <w:p w14:paraId="4C94DD9F">
            <w:pPr>
              <w:widowControl/>
              <w:spacing w:line="300" w:lineRule="auto"/>
              <w:jc w:val="left"/>
              <w:rPr>
                <w:rFonts w:ascii="Times New Roman" w:hAnsi="Times New Roman"/>
                <w:i/>
                <w:iCs/>
                <w:color w:val="000000"/>
                <w:sz w:val="18"/>
                <w:szCs w:val="18"/>
              </w:rPr>
            </w:pPr>
            <w:r>
              <w:rPr>
                <w:rFonts w:ascii="Times New Roman" w:hAnsi="Times New Roman" w:eastAsia="等线"/>
                <w:i/>
                <w:iCs/>
                <w:color w:val="000000"/>
                <w:sz w:val="18"/>
                <w:szCs w:val="18"/>
              </w:rPr>
              <w:t>Staphylococcus epidermidis</w:t>
            </w:r>
          </w:p>
        </w:tc>
        <w:tc>
          <w:tcPr>
            <w:tcW w:w="642" w:type="pct"/>
            <w:noWrap w:val="0"/>
            <w:vAlign w:val="center"/>
          </w:tcPr>
          <w:p w14:paraId="25370AC3">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CMCC(B)26069</w:t>
            </w:r>
          </w:p>
        </w:tc>
        <w:tc>
          <w:tcPr>
            <w:tcW w:w="642" w:type="pct"/>
            <w:noWrap w:val="0"/>
            <w:vAlign w:val="center"/>
          </w:tcPr>
          <w:p w14:paraId="290423AE">
            <w:pPr>
              <w:widowControl/>
              <w:spacing w:line="300" w:lineRule="auto"/>
              <w:jc w:val="center"/>
              <w:rPr>
                <w:rFonts w:ascii="Times New Roman" w:hAnsi="Times New Roman" w:eastAsia="等线"/>
                <w:color w:val="000000"/>
                <w:sz w:val="18"/>
                <w:szCs w:val="18"/>
              </w:rPr>
            </w:pPr>
            <w:r>
              <w:rPr>
                <w:rFonts w:hint="eastAsia" w:ascii="Times New Roman" w:hAnsi="Times New Roman" w:eastAsia="等线"/>
                <w:color w:val="000000"/>
                <w:sz w:val="18"/>
                <w:szCs w:val="18"/>
              </w:rPr>
              <w:t>CICC 10436</w:t>
            </w:r>
          </w:p>
        </w:tc>
        <w:tc>
          <w:tcPr>
            <w:tcW w:w="642" w:type="pct"/>
            <w:noWrap w:val="0"/>
            <w:vAlign w:val="center"/>
          </w:tcPr>
          <w:p w14:paraId="18B97E91">
            <w:pPr>
              <w:widowControl/>
              <w:spacing w:line="300" w:lineRule="auto"/>
              <w:jc w:val="center"/>
              <w:rPr>
                <w:rFonts w:ascii="Times New Roman" w:hAnsi="Times New Roman" w:eastAsia="等线"/>
                <w:color w:val="000000"/>
                <w:sz w:val="18"/>
                <w:szCs w:val="18"/>
              </w:rPr>
            </w:pPr>
            <w:r>
              <w:rPr>
                <w:rFonts w:hint="eastAsia" w:ascii="Times New Roman" w:hAnsi="Times New Roman" w:eastAsia="等线"/>
                <w:color w:val="000000"/>
                <w:sz w:val="18"/>
                <w:szCs w:val="18"/>
              </w:rPr>
              <w:t>GDMCC 1.4852</w:t>
            </w:r>
          </w:p>
        </w:tc>
      </w:tr>
      <w:tr w14:paraId="55EA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7" w:type="pct"/>
            <w:noWrap/>
            <w:vAlign w:val="center"/>
          </w:tcPr>
          <w:p w14:paraId="6DA11576">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8</w:t>
            </w:r>
          </w:p>
        </w:tc>
        <w:tc>
          <w:tcPr>
            <w:tcW w:w="1213" w:type="pct"/>
            <w:noWrap/>
            <w:vAlign w:val="center"/>
          </w:tcPr>
          <w:p w14:paraId="7A95AD5C">
            <w:pPr>
              <w:spacing w:line="300" w:lineRule="auto"/>
              <w:rPr>
                <w:rFonts w:ascii="Times New Roman" w:hAnsi="Times New Roman"/>
                <w:sz w:val="18"/>
                <w:szCs w:val="18"/>
              </w:rPr>
            </w:pPr>
            <w:r>
              <w:rPr>
                <w:rFonts w:ascii="Times New Roman" w:hAnsi="Times New Roman"/>
                <w:color w:val="000000"/>
                <w:sz w:val="18"/>
                <w:szCs w:val="18"/>
              </w:rPr>
              <w:t>粪肠球菌</w:t>
            </w:r>
          </w:p>
        </w:tc>
        <w:tc>
          <w:tcPr>
            <w:tcW w:w="1462" w:type="pct"/>
            <w:noWrap/>
            <w:vAlign w:val="center"/>
          </w:tcPr>
          <w:p w14:paraId="0182365E">
            <w:pPr>
              <w:widowControl/>
              <w:spacing w:line="300" w:lineRule="auto"/>
              <w:jc w:val="left"/>
              <w:rPr>
                <w:rFonts w:ascii="Times New Roman" w:hAnsi="Times New Roman" w:eastAsia="等线"/>
                <w:i/>
                <w:iCs/>
                <w:color w:val="000000"/>
                <w:sz w:val="18"/>
                <w:szCs w:val="18"/>
              </w:rPr>
            </w:pPr>
            <w:r>
              <w:rPr>
                <w:rFonts w:ascii="Times New Roman" w:hAnsi="Times New Roman"/>
                <w:i/>
                <w:iCs/>
                <w:color w:val="000000"/>
                <w:sz w:val="18"/>
                <w:szCs w:val="18"/>
              </w:rPr>
              <w:t>Enterococcus faecalis</w:t>
            </w:r>
          </w:p>
        </w:tc>
        <w:tc>
          <w:tcPr>
            <w:tcW w:w="642" w:type="pct"/>
            <w:noWrap w:val="0"/>
            <w:vAlign w:val="center"/>
          </w:tcPr>
          <w:p w14:paraId="46CE233B">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CMCC(B)32480</w:t>
            </w:r>
          </w:p>
        </w:tc>
        <w:tc>
          <w:tcPr>
            <w:tcW w:w="642" w:type="pct"/>
            <w:noWrap w:val="0"/>
            <w:vAlign w:val="center"/>
          </w:tcPr>
          <w:p w14:paraId="2565C348">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CICC 25037</w:t>
            </w:r>
          </w:p>
        </w:tc>
        <w:tc>
          <w:tcPr>
            <w:tcW w:w="642" w:type="pct"/>
            <w:noWrap w:val="0"/>
            <w:vAlign w:val="center"/>
          </w:tcPr>
          <w:p w14:paraId="60275B6B">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1.2902</w:t>
            </w:r>
          </w:p>
        </w:tc>
      </w:tr>
      <w:tr w14:paraId="77C7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7" w:type="pct"/>
            <w:noWrap/>
            <w:vAlign w:val="center"/>
          </w:tcPr>
          <w:p w14:paraId="24F63A57">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9</w:t>
            </w:r>
          </w:p>
        </w:tc>
        <w:tc>
          <w:tcPr>
            <w:tcW w:w="1213" w:type="pct"/>
            <w:noWrap/>
            <w:vAlign w:val="center"/>
          </w:tcPr>
          <w:p w14:paraId="0CC97430">
            <w:pPr>
              <w:spacing w:line="300" w:lineRule="auto"/>
              <w:rPr>
                <w:rFonts w:ascii="Times New Roman" w:hAnsi="Times New Roman"/>
                <w:sz w:val="18"/>
                <w:szCs w:val="18"/>
              </w:rPr>
            </w:pPr>
            <w:r>
              <w:rPr>
                <w:rFonts w:ascii="Times New Roman" w:hAnsi="Times New Roman"/>
                <w:color w:val="000000"/>
                <w:sz w:val="18"/>
                <w:szCs w:val="18"/>
              </w:rPr>
              <w:t>藤黄微球菌（嗜根考克氏菌）</w:t>
            </w:r>
          </w:p>
        </w:tc>
        <w:tc>
          <w:tcPr>
            <w:tcW w:w="1462" w:type="pct"/>
            <w:noWrap/>
            <w:vAlign w:val="center"/>
          </w:tcPr>
          <w:p w14:paraId="7794B445">
            <w:pPr>
              <w:widowControl/>
              <w:spacing w:line="300" w:lineRule="auto"/>
              <w:jc w:val="left"/>
              <w:rPr>
                <w:rFonts w:ascii="Times New Roman" w:hAnsi="Times New Roman" w:eastAsia="等线"/>
                <w:i/>
                <w:iCs/>
                <w:color w:val="000000"/>
                <w:sz w:val="18"/>
                <w:szCs w:val="18"/>
              </w:rPr>
            </w:pPr>
            <w:r>
              <w:rPr>
                <w:rFonts w:ascii="Times New Roman" w:hAnsi="Times New Roman"/>
                <w:i/>
                <w:iCs/>
                <w:color w:val="000000"/>
                <w:sz w:val="18"/>
                <w:szCs w:val="18"/>
              </w:rPr>
              <w:t>Micrococcus luteus（Kocuria rhizophila）</w:t>
            </w:r>
          </w:p>
        </w:tc>
        <w:tc>
          <w:tcPr>
            <w:tcW w:w="642" w:type="pct"/>
            <w:noWrap w:val="0"/>
            <w:vAlign w:val="center"/>
          </w:tcPr>
          <w:p w14:paraId="5E6AC92F">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CMCC(B)28001</w:t>
            </w:r>
          </w:p>
        </w:tc>
        <w:tc>
          <w:tcPr>
            <w:tcW w:w="642" w:type="pct"/>
            <w:noWrap w:val="0"/>
            <w:vAlign w:val="center"/>
          </w:tcPr>
          <w:p w14:paraId="20C9D6D1">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CICC 10445</w:t>
            </w:r>
          </w:p>
        </w:tc>
        <w:tc>
          <w:tcPr>
            <w:tcW w:w="642" w:type="pct"/>
            <w:noWrap w:val="0"/>
            <w:vAlign w:val="center"/>
          </w:tcPr>
          <w:p w14:paraId="066B7FD2">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1.226</w:t>
            </w:r>
          </w:p>
        </w:tc>
      </w:tr>
      <w:tr w14:paraId="523A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7" w:type="pct"/>
            <w:noWrap/>
            <w:vAlign w:val="center"/>
          </w:tcPr>
          <w:p w14:paraId="3E21E900">
            <w:pPr>
              <w:widowControl/>
              <w:spacing w:line="300" w:lineRule="auto"/>
              <w:jc w:val="center"/>
              <w:rPr>
                <w:rFonts w:ascii="Times New Roman" w:hAnsi="Times New Roman"/>
                <w:sz w:val="18"/>
                <w:szCs w:val="18"/>
              </w:rPr>
            </w:pPr>
            <w:r>
              <w:rPr>
                <w:rFonts w:ascii="Times New Roman" w:hAnsi="Times New Roman"/>
                <w:sz w:val="18"/>
                <w:szCs w:val="18"/>
              </w:rPr>
              <w:t>10</w:t>
            </w:r>
          </w:p>
        </w:tc>
        <w:tc>
          <w:tcPr>
            <w:tcW w:w="1213" w:type="pct"/>
            <w:noWrap/>
            <w:vAlign w:val="center"/>
          </w:tcPr>
          <w:p w14:paraId="7A150B40">
            <w:pPr>
              <w:spacing w:line="300" w:lineRule="auto"/>
              <w:rPr>
                <w:rFonts w:ascii="Times New Roman" w:hAnsi="Times New Roman"/>
                <w:sz w:val="18"/>
                <w:szCs w:val="18"/>
              </w:rPr>
            </w:pPr>
            <w:r>
              <w:rPr>
                <w:rFonts w:ascii="Times New Roman" w:hAnsi="Times New Roman"/>
                <w:color w:val="000000"/>
                <w:sz w:val="18"/>
                <w:szCs w:val="18"/>
              </w:rPr>
              <w:t>人参土芽孢杆菌</w:t>
            </w:r>
          </w:p>
        </w:tc>
        <w:tc>
          <w:tcPr>
            <w:tcW w:w="1462" w:type="pct"/>
            <w:noWrap/>
            <w:vAlign w:val="center"/>
          </w:tcPr>
          <w:p w14:paraId="4F5387A9">
            <w:pPr>
              <w:widowControl/>
              <w:spacing w:line="300" w:lineRule="auto"/>
              <w:jc w:val="left"/>
              <w:rPr>
                <w:rFonts w:ascii="Times New Roman" w:hAnsi="Times New Roman" w:eastAsia="等线"/>
                <w:i/>
                <w:iCs/>
                <w:color w:val="000000"/>
                <w:sz w:val="18"/>
                <w:szCs w:val="18"/>
              </w:rPr>
            </w:pPr>
            <w:r>
              <w:rPr>
                <w:rFonts w:ascii="Times New Roman" w:hAnsi="Times New Roman"/>
                <w:i/>
                <w:iCs/>
                <w:color w:val="000000"/>
                <w:sz w:val="18"/>
                <w:szCs w:val="18"/>
              </w:rPr>
              <w:t>Bacillus</w:t>
            </w:r>
            <w:r>
              <w:rPr>
                <w:rFonts w:hint="eastAsia" w:ascii="Times New Roman" w:hAnsi="Times New Roman"/>
                <w:i/>
                <w:iCs/>
                <w:color w:val="000000"/>
                <w:sz w:val="18"/>
                <w:szCs w:val="18"/>
              </w:rPr>
              <w:t xml:space="preserve"> </w:t>
            </w:r>
            <w:r>
              <w:rPr>
                <w:rFonts w:ascii="Times New Roman" w:hAnsi="Times New Roman"/>
                <w:i/>
                <w:iCs/>
                <w:color w:val="000000"/>
                <w:sz w:val="18"/>
                <w:szCs w:val="18"/>
              </w:rPr>
              <w:t>ginsengihumi</w:t>
            </w:r>
          </w:p>
        </w:tc>
        <w:tc>
          <w:tcPr>
            <w:tcW w:w="642" w:type="pct"/>
            <w:noWrap w:val="0"/>
            <w:vAlign w:val="center"/>
          </w:tcPr>
          <w:p w14:paraId="3C647857">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CMCC(B)63612</w:t>
            </w:r>
          </w:p>
        </w:tc>
        <w:tc>
          <w:tcPr>
            <w:tcW w:w="642" w:type="pct"/>
            <w:noWrap w:val="0"/>
            <w:vAlign w:val="center"/>
          </w:tcPr>
          <w:p w14:paraId="7B3A40A6">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CICC 25038</w:t>
            </w:r>
          </w:p>
        </w:tc>
        <w:tc>
          <w:tcPr>
            <w:tcW w:w="642" w:type="pct"/>
            <w:noWrap w:val="0"/>
            <w:vAlign w:val="center"/>
          </w:tcPr>
          <w:p w14:paraId="004A0FCF">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1.2919</w:t>
            </w:r>
          </w:p>
        </w:tc>
      </w:tr>
    </w:tbl>
    <w:p w14:paraId="59779535">
      <w:pPr>
        <w:spacing w:before="159" w:beforeLines="50" w:after="160" w:line="278" w:lineRule="auto"/>
        <w:rPr>
          <w:rFonts w:ascii="Times New Roman" w:hAnsi="Times New Roman" w:eastAsia="黑体"/>
          <w:color w:val="000000"/>
        </w:rPr>
      </w:pPr>
      <w:r>
        <w:rPr>
          <w:rFonts w:ascii="Times New Roman" w:hAnsi="Times New Roman" w:eastAsia="黑体"/>
          <w:color w:val="000000"/>
        </w:rPr>
        <w:br w:type="page"/>
      </w:r>
    </w:p>
    <w:p w14:paraId="53E36AE7">
      <w:pPr>
        <w:spacing w:before="159" w:beforeLines="50" w:after="159" w:afterLines="50"/>
        <w:jc w:val="center"/>
        <w:rPr>
          <w:rFonts w:ascii="黑体" w:hAnsi="黑体" w:eastAsia="黑体" w:cs="黑体"/>
          <w:szCs w:val="21"/>
        </w:rPr>
      </w:pPr>
      <w:r>
        <w:rPr>
          <w:rFonts w:ascii="黑体" w:hAnsi="黑体" w:eastAsia="黑体" w:cs="黑体"/>
          <w:szCs w:val="21"/>
        </w:rPr>
        <w:t>表</w:t>
      </w:r>
      <w:r>
        <w:rPr>
          <w:rFonts w:ascii="Times New Roman" w:hAnsi="Times New Roman" w:eastAsia="黑体"/>
          <w:szCs w:val="21"/>
        </w:rPr>
        <w:t>B.1</w:t>
      </w:r>
      <w:r>
        <w:rPr>
          <w:rFonts w:ascii="黑体" w:hAnsi="黑体" w:eastAsia="黑体" w:cs="黑体"/>
          <w:szCs w:val="21"/>
        </w:rPr>
        <w:t>（续）</w:t>
      </w:r>
    </w:p>
    <w:tbl>
      <w:tblPr>
        <w:tblStyle w:val="4"/>
        <w:tblW w:w="49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2"/>
        <w:gridCol w:w="3333"/>
        <w:gridCol w:w="4136"/>
        <w:gridCol w:w="1803"/>
        <w:gridCol w:w="1803"/>
        <w:gridCol w:w="1814"/>
      </w:tblGrid>
      <w:tr w14:paraId="34FC8A0E">
        <w:tblPrEx>
          <w:tblCellMar>
            <w:top w:w="0" w:type="dxa"/>
            <w:left w:w="108" w:type="dxa"/>
            <w:bottom w:w="0" w:type="dxa"/>
            <w:right w:w="108" w:type="dxa"/>
          </w:tblCellMar>
        </w:tblPrEx>
        <w:trPr>
          <w:trHeight w:val="454" w:hRule="atLeast"/>
          <w:jc w:val="center"/>
        </w:trPr>
        <w:tc>
          <w:tcPr>
            <w:tcW w:w="410" w:type="pct"/>
            <w:noWrap/>
            <w:vAlign w:val="center"/>
          </w:tcPr>
          <w:p w14:paraId="398AAFBC">
            <w:pPr>
              <w:widowControl/>
              <w:spacing w:line="300" w:lineRule="auto"/>
              <w:jc w:val="center"/>
              <w:rPr>
                <w:rFonts w:ascii="Times New Roman" w:hAnsi="Times New Roman"/>
                <w:b/>
                <w:bCs/>
                <w:sz w:val="18"/>
                <w:szCs w:val="18"/>
              </w:rPr>
            </w:pPr>
            <w:r>
              <w:rPr>
                <w:rFonts w:ascii="Times New Roman" w:hAnsi="Times New Roman"/>
                <w:b/>
                <w:bCs/>
                <w:sz w:val="18"/>
                <w:szCs w:val="18"/>
              </w:rPr>
              <w:t>序号</w:t>
            </w:r>
          </w:p>
        </w:tc>
        <w:tc>
          <w:tcPr>
            <w:tcW w:w="1187" w:type="pct"/>
            <w:noWrap/>
            <w:vAlign w:val="center"/>
          </w:tcPr>
          <w:p w14:paraId="6B849085">
            <w:pPr>
              <w:widowControl/>
              <w:spacing w:line="300" w:lineRule="auto"/>
              <w:jc w:val="center"/>
              <w:rPr>
                <w:rFonts w:ascii="Times New Roman" w:hAnsi="Times New Roman"/>
                <w:b/>
                <w:bCs/>
                <w:sz w:val="18"/>
                <w:szCs w:val="18"/>
              </w:rPr>
            </w:pPr>
            <w:r>
              <w:rPr>
                <w:rFonts w:ascii="Times New Roman" w:hAnsi="Times New Roman"/>
                <w:b/>
                <w:bCs/>
                <w:color w:val="000000"/>
                <w:sz w:val="18"/>
                <w:szCs w:val="18"/>
              </w:rPr>
              <w:t>中文名</w:t>
            </w:r>
          </w:p>
        </w:tc>
        <w:tc>
          <w:tcPr>
            <w:tcW w:w="1473" w:type="pct"/>
            <w:noWrap/>
            <w:vAlign w:val="center"/>
          </w:tcPr>
          <w:p w14:paraId="7FFF7EF0">
            <w:pPr>
              <w:widowControl/>
              <w:spacing w:line="300" w:lineRule="auto"/>
              <w:jc w:val="center"/>
              <w:rPr>
                <w:rFonts w:ascii="Times New Roman" w:hAnsi="Times New Roman"/>
                <w:b/>
                <w:bCs/>
                <w:sz w:val="18"/>
                <w:szCs w:val="18"/>
              </w:rPr>
            </w:pPr>
            <w:r>
              <w:rPr>
                <w:rFonts w:ascii="Times New Roman" w:hAnsi="Times New Roman"/>
                <w:b/>
                <w:bCs/>
                <w:color w:val="000000"/>
                <w:sz w:val="18"/>
                <w:szCs w:val="18"/>
              </w:rPr>
              <w:t>拉丁名</w:t>
            </w:r>
          </w:p>
        </w:tc>
        <w:tc>
          <w:tcPr>
            <w:tcW w:w="642" w:type="pct"/>
            <w:noWrap/>
            <w:vAlign w:val="center"/>
          </w:tcPr>
          <w:p w14:paraId="1C34AE5B">
            <w:pPr>
              <w:widowControl/>
              <w:spacing w:line="300" w:lineRule="auto"/>
              <w:jc w:val="center"/>
              <w:rPr>
                <w:rFonts w:ascii="Times New Roman" w:hAnsi="Times New Roman"/>
                <w:b/>
                <w:bCs/>
                <w:sz w:val="18"/>
                <w:szCs w:val="18"/>
              </w:rPr>
            </w:pPr>
            <w:r>
              <w:rPr>
                <w:rFonts w:ascii="Times New Roman" w:hAnsi="Times New Roman"/>
                <w:b/>
                <w:bCs/>
                <w:sz w:val="18"/>
                <w:szCs w:val="18"/>
              </w:rPr>
              <w:t>CMCC编号</w:t>
            </w:r>
            <w:r>
              <w:rPr>
                <w:rFonts w:ascii="Times New Roman" w:hAnsi="Times New Roman" w:eastAsia="黑体"/>
                <w:color w:val="000000"/>
                <w:vertAlign w:val="superscript"/>
              </w:rPr>
              <w:t>b</w:t>
            </w:r>
          </w:p>
        </w:tc>
        <w:tc>
          <w:tcPr>
            <w:tcW w:w="642" w:type="pct"/>
            <w:noWrap w:val="0"/>
            <w:vAlign w:val="center"/>
          </w:tcPr>
          <w:p w14:paraId="210473F3">
            <w:pPr>
              <w:widowControl/>
              <w:spacing w:line="300" w:lineRule="auto"/>
              <w:jc w:val="center"/>
              <w:rPr>
                <w:rFonts w:ascii="Times New Roman" w:hAnsi="Times New Roman"/>
                <w:b/>
                <w:bCs/>
                <w:sz w:val="18"/>
                <w:szCs w:val="18"/>
              </w:rPr>
            </w:pPr>
            <w:r>
              <w:rPr>
                <w:rFonts w:ascii="Times New Roman" w:hAnsi="Times New Roman"/>
                <w:b/>
                <w:bCs/>
                <w:sz w:val="18"/>
                <w:szCs w:val="18"/>
              </w:rPr>
              <w:t>CICC编号</w:t>
            </w:r>
            <w:r>
              <w:rPr>
                <w:rFonts w:ascii="Times New Roman" w:hAnsi="Times New Roman"/>
                <w:b/>
                <w:bCs/>
                <w:sz w:val="18"/>
                <w:szCs w:val="18"/>
                <w:vertAlign w:val="superscript"/>
              </w:rPr>
              <w:t>c</w:t>
            </w:r>
          </w:p>
        </w:tc>
        <w:tc>
          <w:tcPr>
            <w:tcW w:w="643" w:type="pct"/>
            <w:noWrap w:val="0"/>
            <w:vAlign w:val="center"/>
          </w:tcPr>
          <w:p w14:paraId="2CDB52A6">
            <w:pPr>
              <w:widowControl/>
              <w:spacing w:line="300" w:lineRule="auto"/>
              <w:jc w:val="center"/>
              <w:rPr>
                <w:rFonts w:ascii="Times New Roman" w:hAnsi="Times New Roman"/>
                <w:b/>
                <w:bCs/>
                <w:sz w:val="18"/>
                <w:szCs w:val="18"/>
              </w:rPr>
            </w:pPr>
            <w:r>
              <w:rPr>
                <w:rFonts w:ascii="Times New Roman" w:hAnsi="Times New Roman"/>
                <w:b/>
                <w:bCs/>
                <w:sz w:val="18"/>
                <w:szCs w:val="18"/>
              </w:rPr>
              <w:t>GDMCC编号</w:t>
            </w:r>
            <w:r>
              <w:rPr>
                <w:rFonts w:ascii="Times New Roman" w:hAnsi="Times New Roman"/>
                <w:b/>
                <w:bCs/>
                <w:sz w:val="18"/>
                <w:szCs w:val="18"/>
                <w:vertAlign w:val="superscript"/>
              </w:rPr>
              <w:t>d</w:t>
            </w:r>
          </w:p>
        </w:tc>
      </w:tr>
      <w:tr w14:paraId="099A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0" w:type="pct"/>
            <w:noWrap/>
            <w:vAlign w:val="center"/>
          </w:tcPr>
          <w:p w14:paraId="050645D5">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11</w:t>
            </w:r>
          </w:p>
        </w:tc>
        <w:tc>
          <w:tcPr>
            <w:tcW w:w="1187" w:type="pct"/>
            <w:noWrap/>
            <w:vAlign w:val="center"/>
          </w:tcPr>
          <w:p w14:paraId="520140A3">
            <w:pPr>
              <w:spacing w:line="300" w:lineRule="auto"/>
              <w:rPr>
                <w:rFonts w:ascii="Times New Roman" w:hAnsi="Times New Roman"/>
                <w:sz w:val="18"/>
                <w:szCs w:val="18"/>
              </w:rPr>
            </w:pPr>
            <w:r>
              <w:rPr>
                <w:rFonts w:ascii="Times New Roman" w:hAnsi="Times New Roman"/>
                <w:color w:val="000000"/>
                <w:sz w:val="18"/>
                <w:szCs w:val="18"/>
              </w:rPr>
              <w:t>嗜热</w:t>
            </w:r>
            <w:r>
              <w:rPr>
                <w:rFonts w:hint="eastAsia" w:ascii="Times New Roman" w:hAnsi="Times New Roman"/>
                <w:color w:val="000000"/>
                <w:sz w:val="18"/>
                <w:szCs w:val="18"/>
              </w:rPr>
              <w:t>嗜</w:t>
            </w:r>
            <w:r>
              <w:rPr>
                <w:rFonts w:ascii="Times New Roman" w:hAnsi="Times New Roman"/>
                <w:color w:val="000000"/>
                <w:sz w:val="18"/>
                <w:szCs w:val="18"/>
              </w:rPr>
              <w:t>脂肪地芽孢杆菌</w:t>
            </w:r>
          </w:p>
        </w:tc>
        <w:tc>
          <w:tcPr>
            <w:tcW w:w="1473" w:type="pct"/>
            <w:noWrap/>
            <w:vAlign w:val="center"/>
          </w:tcPr>
          <w:p w14:paraId="245B9CD8">
            <w:pPr>
              <w:spacing w:line="300" w:lineRule="auto"/>
              <w:rPr>
                <w:rFonts w:ascii="Times New Roman" w:hAnsi="Times New Roman" w:eastAsia="等线"/>
                <w:i/>
                <w:iCs/>
                <w:color w:val="000000"/>
                <w:sz w:val="18"/>
                <w:szCs w:val="18"/>
              </w:rPr>
            </w:pPr>
            <w:r>
              <w:rPr>
                <w:rFonts w:ascii="Times New Roman" w:hAnsi="Times New Roman"/>
                <w:i/>
                <w:iCs/>
                <w:color w:val="000000"/>
                <w:sz w:val="18"/>
                <w:szCs w:val="18"/>
              </w:rPr>
              <w:t xml:space="preserve">Geobacillus </w:t>
            </w:r>
            <w:r>
              <w:rPr>
                <w:rFonts w:ascii="Times New Roman" w:hAnsi="Times New Roman"/>
                <w:i/>
                <w:iCs/>
                <w:sz w:val="18"/>
                <w:szCs w:val="18"/>
              </w:rPr>
              <w:t>stearothermophilus</w:t>
            </w:r>
          </w:p>
        </w:tc>
        <w:tc>
          <w:tcPr>
            <w:tcW w:w="642" w:type="pct"/>
            <w:noWrap w:val="0"/>
            <w:vAlign w:val="center"/>
          </w:tcPr>
          <w:p w14:paraId="329942AC">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CMCC(B)63509</w:t>
            </w:r>
          </w:p>
        </w:tc>
        <w:tc>
          <w:tcPr>
            <w:tcW w:w="642" w:type="pct"/>
            <w:noWrap w:val="0"/>
            <w:vAlign w:val="center"/>
          </w:tcPr>
          <w:p w14:paraId="75D8EF6A">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CICC 25039</w:t>
            </w:r>
          </w:p>
        </w:tc>
        <w:tc>
          <w:tcPr>
            <w:tcW w:w="643" w:type="pct"/>
            <w:noWrap w:val="0"/>
            <w:vAlign w:val="center"/>
          </w:tcPr>
          <w:p w14:paraId="717CC0D3">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1.301</w:t>
            </w:r>
          </w:p>
        </w:tc>
      </w:tr>
      <w:tr w14:paraId="13A6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0" w:type="pct"/>
            <w:noWrap/>
            <w:vAlign w:val="center"/>
          </w:tcPr>
          <w:p w14:paraId="7038B773">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12</w:t>
            </w:r>
          </w:p>
        </w:tc>
        <w:tc>
          <w:tcPr>
            <w:tcW w:w="1187" w:type="pct"/>
            <w:noWrap/>
            <w:vAlign w:val="center"/>
          </w:tcPr>
          <w:p w14:paraId="1FCBCFB2">
            <w:pPr>
              <w:spacing w:line="300" w:lineRule="auto"/>
              <w:rPr>
                <w:rFonts w:ascii="Times New Roman" w:hAnsi="Times New Roman"/>
                <w:color w:val="000000"/>
                <w:sz w:val="18"/>
                <w:szCs w:val="18"/>
              </w:rPr>
            </w:pPr>
            <w:r>
              <w:rPr>
                <w:rFonts w:ascii="Times New Roman" w:hAnsi="Times New Roman"/>
                <w:color w:val="000000"/>
                <w:sz w:val="18"/>
                <w:szCs w:val="18"/>
              </w:rPr>
              <w:t>枯草芽孢杆菌</w:t>
            </w:r>
          </w:p>
        </w:tc>
        <w:tc>
          <w:tcPr>
            <w:tcW w:w="1473" w:type="pct"/>
            <w:noWrap/>
            <w:vAlign w:val="center"/>
          </w:tcPr>
          <w:p w14:paraId="32A5CA60">
            <w:pPr>
              <w:widowControl/>
              <w:spacing w:line="300" w:lineRule="auto"/>
              <w:jc w:val="left"/>
              <w:rPr>
                <w:rFonts w:ascii="Times New Roman" w:hAnsi="Times New Roman"/>
                <w:i/>
                <w:iCs/>
                <w:color w:val="000000"/>
                <w:sz w:val="18"/>
                <w:szCs w:val="18"/>
              </w:rPr>
            </w:pPr>
            <w:r>
              <w:rPr>
                <w:rFonts w:ascii="Times New Roman" w:hAnsi="Times New Roman"/>
                <w:i/>
                <w:iCs/>
                <w:color w:val="000000"/>
                <w:sz w:val="18"/>
                <w:szCs w:val="18"/>
              </w:rPr>
              <w:t>Bacillus subtilis</w:t>
            </w:r>
          </w:p>
        </w:tc>
        <w:tc>
          <w:tcPr>
            <w:tcW w:w="642" w:type="pct"/>
            <w:noWrap w:val="0"/>
            <w:vAlign w:val="center"/>
          </w:tcPr>
          <w:p w14:paraId="49D35FAA">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CMCC(B)63501</w:t>
            </w:r>
          </w:p>
        </w:tc>
        <w:tc>
          <w:tcPr>
            <w:tcW w:w="642" w:type="pct"/>
            <w:noWrap w:val="0"/>
            <w:vAlign w:val="center"/>
          </w:tcPr>
          <w:p w14:paraId="14C0A11D">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CICC 10275</w:t>
            </w:r>
          </w:p>
        </w:tc>
        <w:tc>
          <w:tcPr>
            <w:tcW w:w="643" w:type="pct"/>
            <w:noWrap w:val="0"/>
            <w:vAlign w:val="center"/>
          </w:tcPr>
          <w:p w14:paraId="3233EC59">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1.222</w:t>
            </w:r>
          </w:p>
        </w:tc>
      </w:tr>
      <w:tr w14:paraId="2D73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0" w:type="pct"/>
            <w:noWrap/>
            <w:vAlign w:val="center"/>
          </w:tcPr>
          <w:p w14:paraId="3581A771">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13</w:t>
            </w:r>
          </w:p>
        </w:tc>
        <w:tc>
          <w:tcPr>
            <w:tcW w:w="1187" w:type="pct"/>
            <w:noWrap/>
            <w:vAlign w:val="center"/>
          </w:tcPr>
          <w:p w14:paraId="23FE2D4A">
            <w:pPr>
              <w:spacing w:line="300" w:lineRule="auto"/>
              <w:rPr>
                <w:rFonts w:ascii="Times New Roman" w:hAnsi="Times New Roman"/>
                <w:sz w:val="18"/>
                <w:szCs w:val="18"/>
              </w:rPr>
            </w:pPr>
            <w:r>
              <w:rPr>
                <w:rFonts w:ascii="Times New Roman" w:hAnsi="Times New Roman"/>
                <w:color w:val="000000"/>
                <w:sz w:val="18"/>
                <w:szCs w:val="18"/>
              </w:rPr>
              <w:t>白色念珠菌（白假丝酵母）</w:t>
            </w:r>
          </w:p>
        </w:tc>
        <w:tc>
          <w:tcPr>
            <w:tcW w:w="1473" w:type="pct"/>
            <w:noWrap/>
            <w:vAlign w:val="center"/>
          </w:tcPr>
          <w:p w14:paraId="123ED0E8">
            <w:pPr>
              <w:widowControl/>
              <w:spacing w:line="300" w:lineRule="auto"/>
              <w:jc w:val="left"/>
              <w:rPr>
                <w:rFonts w:ascii="Times New Roman" w:hAnsi="Times New Roman" w:eastAsia="等线"/>
                <w:i/>
                <w:iCs/>
                <w:color w:val="000000"/>
                <w:sz w:val="18"/>
                <w:szCs w:val="18"/>
              </w:rPr>
            </w:pPr>
            <w:r>
              <w:rPr>
                <w:rFonts w:ascii="Times New Roman" w:hAnsi="Times New Roman"/>
                <w:i/>
                <w:iCs/>
                <w:color w:val="000000"/>
                <w:sz w:val="18"/>
                <w:szCs w:val="18"/>
              </w:rPr>
              <w:t>Candida albicans</w:t>
            </w:r>
          </w:p>
        </w:tc>
        <w:tc>
          <w:tcPr>
            <w:tcW w:w="642" w:type="pct"/>
            <w:noWrap w:val="0"/>
            <w:vAlign w:val="center"/>
          </w:tcPr>
          <w:p w14:paraId="76675D38">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CMCC(F)98001</w:t>
            </w:r>
          </w:p>
        </w:tc>
        <w:tc>
          <w:tcPr>
            <w:tcW w:w="642" w:type="pct"/>
            <w:noWrap w:val="0"/>
            <w:vAlign w:val="center"/>
          </w:tcPr>
          <w:p w14:paraId="18B31DA8">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CICC 1965</w:t>
            </w:r>
          </w:p>
        </w:tc>
        <w:tc>
          <w:tcPr>
            <w:tcW w:w="643" w:type="pct"/>
            <w:noWrap w:val="0"/>
            <w:vAlign w:val="center"/>
          </w:tcPr>
          <w:p w14:paraId="1A988164">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2.178</w:t>
            </w:r>
          </w:p>
        </w:tc>
      </w:tr>
      <w:tr w14:paraId="5DB46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0" w:type="pct"/>
            <w:noWrap/>
            <w:vAlign w:val="center"/>
          </w:tcPr>
          <w:p w14:paraId="28FBA7EC">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14</w:t>
            </w:r>
          </w:p>
        </w:tc>
        <w:tc>
          <w:tcPr>
            <w:tcW w:w="1187" w:type="pct"/>
            <w:noWrap/>
            <w:vAlign w:val="center"/>
          </w:tcPr>
          <w:p w14:paraId="615D2A79">
            <w:pPr>
              <w:spacing w:line="300" w:lineRule="auto"/>
              <w:rPr>
                <w:rFonts w:ascii="Times New Roman" w:hAnsi="Times New Roman"/>
                <w:sz w:val="18"/>
                <w:szCs w:val="18"/>
              </w:rPr>
            </w:pPr>
            <w:r>
              <w:rPr>
                <w:rFonts w:ascii="Times New Roman" w:hAnsi="Times New Roman"/>
                <w:color w:val="000000"/>
                <w:sz w:val="18"/>
                <w:szCs w:val="18"/>
              </w:rPr>
              <w:t>黑曲霉</w:t>
            </w:r>
          </w:p>
        </w:tc>
        <w:tc>
          <w:tcPr>
            <w:tcW w:w="1473" w:type="pct"/>
            <w:noWrap/>
            <w:vAlign w:val="center"/>
          </w:tcPr>
          <w:p w14:paraId="2EE3E2BA">
            <w:pPr>
              <w:widowControl/>
              <w:spacing w:line="300" w:lineRule="auto"/>
              <w:jc w:val="left"/>
              <w:rPr>
                <w:rFonts w:ascii="Times New Roman" w:hAnsi="Times New Roman" w:eastAsia="等线"/>
                <w:i/>
                <w:iCs/>
                <w:color w:val="000000"/>
                <w:sz w:val="18"/>
                <w:szCs w:val="18"/>
              </w:rPr>
            </w:pPr>
            <w:r>
              <w:rPr>
                <w:rFonts w:ascii="Times New Roman" w:hAnsi="Times New Roman"/>
                <w:i/>
                <w:iCs/>
                <w:color w:val="000000"/>
                <w:sz w:val="18"/>
                <w:szCs w:val="18"/>
              </w:rPr>
              <w:t>Aspergillus niger</w:t>
            </w:r>
          </w:p>
        </w:tc>
        <w:tc>
          <w:tcPr>
            <w:tcW w:w="642" w:type="pct"/>
            <w:noWrap w:val="0"/>
            <w:vAlign w:val="center"/>
          </w:tcPr>
          <w:p w14:paraId="5699E7FE">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CMCC(F)98003</w:t>
            </w:r>
          </w:p>
        </w:tc>
        <w:tc>
          <w:tcPr>
            <w:tcW w:w="642" w:type="pct"/>
            <w:noWrap w:val="0"/>
            <w:vAlign w:val="center"/>
          </w:tcPr>
          <w:p w14:paraId="301C9E25">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CICC 2487</w:t>
            </w:r>
          </w:p>
        </w:tc>
        <w:tc>
          <w:tcPr>
            <w:tcW w:w="643" w:type="pct"/>
            <w:noWrap w:val="0"/>
            <w:vAlign w:val="center"/>
          </w:tcPr>
          <w:p w14:paraId="093ED883">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3.516</w:t>
            </w:r>
          </w:p>
        </w:tc>
      </w:tr>
      <w:tr w14:paraId="1A38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0" w:type="pct"/>
            <w:noWrap/>
            <w:vAlign w:val="center"/>
          </w:tcPr>
          <w:p w14:paraId="5B2C24D8">
            <w:pPr>
              <w:widowControl/>
              <w:spacing w:line="300" w:lineRule="auto"/>
              <w:jc w:val="center"/>
              <w:rPr>
                <w:rFonts w:ascii="Times New Roman" w:hAnsi="Times New Roman" w:eastAsia="等线"/>
                <w:sz w:val="18"/>
                <w:szCs w:val="18"/>
              </w:rPr>
            </w:pPr>
            <w:r>
              <w:rPr>
                <w:rFonts w:ascii="Times New Roman" w:hAnsi="Times New Roman" w:eastAsia="等线"/>
                <w:color w:val="000000"/>
                <w:sz w:val="18"/>
                <w:szCs w:val="18"/>
              </w:rPr>
              <w:t>15</w:t>
            </w:r>
          </w:p>
        </w:tc>
        <w:tc>
          <w:tcPr>
            <w:tcW w:w="1187" w:type="pct"/>
            <w:noWrap/>
            <w:vAlign w:val="center"/>
          </w:tcPr>
          <w:p w14:paraId="7F2AD74E">
            <w:pPr>
              <w:spacing w:line="300" w:lineRule="auto"/>
              <w:rPr>
                <w:rFonts w:ascii="Times New Roman" w:hAnsi="Times New Roman"/>
                <w:sz w:val="18"/>
                <w:szCs w:val="18"/>
              </w:rPr>
            </w:pPr>
            <w:r>
              <w:rPr>
                <w:rFonts w:ascii="Times New Roman" w:hAnsi="Times New Roman"/>
                <w:color w:val="000000"/>
                <w:sz w:val="18"/>
                <w:szCs w:val="18"/>
              </w:rPr>
              <w:t>桔青霉</w:t>
            </w:r>
          </w:p>
        </w:tc>
        <w:tc>
          <w:tcPr>
            <w:tcW w:w="1473" w:type="pct"/>
            <w:noWrap/>
            <w:vAlign w:val="center"/>
          </w:tcPr>
          <w:p w14:paraId="65501B7F">
            <w:pPr>
              <w:widowControl/>
              <w:spacing w:line="300" w:lineRule="auto"/>
              <w:jc w:val="left"/>
              <w:rPr>
                <w:rFonts w:ascii="Times New Roman" w:hAnsi="Times New Roman" w:eastAsia="等线"/>
                <w:i/>
                <w:iCs/>
                <w:color w:val="000000"/>
                <w:sz w:val="18"/>
                <w:szCs w:val="18"/>
              </w:rPr>
            </w:pPr>
            <w:r>
              <w:rPr>
                <w:rFonts w:ascii="Times New Roman" w:hAnsi="Times New Roman"/>
                <w:i/>
                <w:iCs/>
                <w:color w:val="000000"/>
                <w:sz w:val="18"/>
                <w:szCs w:val="18"/>
              </w:rPr>
              <w:t>Penicillium</w:t>
            </w:r>
            <w:r>
              <w:rPr>
                <w:rFonts w:hint="eastAsia" w:ascii="Times New Roman" w:hAnsi="Times New Roman"/>
                <w:i/>
                <w:iCs/>
                <w:color w:val="000000"/>
                <w:sz w:val="18"/>
                <w:szCs w:val="18"/>
              </w:rPr>
              <w:t xml:space="preserve"> </w:t>
            </w:r>
            <w:r>
              <w:rPr>
                <w:rFonts w:ascii="Times New Roman" w:hAnsi="Times New Roman"/>
                <w:i/>
                <w:iCs/>
                <w:color w:val="000000"/>
                <w:sz w:val="18"/>
                <w:szCs w:val="18"/>
              </w:rPr>
              <w:t>citrinum</w:t>
            </w:r>
          </w:p>
        </w:tc>
        <w:tc>
          <w:tcPr>
            <w:tcW w:w="642" w:type="pct"/>
            <w:noWrap w:val="0"/>
            <w:vAlign w:val="center"/>
          </w:tcPr>
          <w:p w14:paraId="40DFF5EC">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CMCC(F)98028</w:t>
            </w:r>
          </w:p>
        </w:tc>
        <w:tc>
          <w:tcPr>
            <w:tcW w:w="642" w:type="pct"/>
            <w:noWrap w:val="0"/>
            <w:vAlign w:val="center"/>
          </w:tcPr>
          <w:p w14:paraId="6A07EBDE">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CICC 41779</w:t>
            </w:r>
          </w:p>
        </w:tc>
        <w:tc>
          <w:tcPr>
            <w:tcW w:w="643" w:type="pct"/>
            <w:noWrap w:val="0"/>
            <w:vAlign w:val="center"/>
          </w:tcPr>
          <w:p w14:paraId="5A7206AF">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3.693</w:t>
            </w:r>
          </w:p>
        </w:tc>
      </w:tr>
      <w:tr w14:paraId="12BDE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0" w:type="pct"/>
            <w:noWrap/>
            <w:vAlign w:val="center"/>
          </w:tcPr>
          <w:p w14:paraId="38830AB8">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16</w:t>
            </w:r>
          </w:p>
        </w:tc>
        <w:tc>
          <w:tcPr>
            <w:tcW w:w="1187" w:type="pct"/>
            <w:noWrap/>
            <w:vAlign w:val="center"/>
          </w:tcPr>
          <w:p w14:paraId="3077ADFD">
            <w:pPr>
              <w:spacing w:line="300" w:lineRule="auto"/>
              <w:rPr>
                <w:rFonts w:ascii="Times New Roman" w:hAnsi="Times New Roman"/>
                <w:color w:val="000000"/>
                <w:sz w:val="18"/>
                <w:szCs w:val="18"/>
              </w:rPr>
            </w:pPr>
            <w:r>
              <w:rPr>
                <w:rFonts w:ascii="Times New Roman" w:hAnsi="Times New Roman"/>
                <w:color w:val="000000"/>
                <w:sz w:val="18"/>
                <w:szCs w:val="18"/>
              </w:rPr>
              <w:t>产黄青霉</w:t>
            </w:r>
          </w:p>
        </w:tc>
        <w:tc>
          <w:tcPr>
            <w:tcW w:w="1473" w:type="pct"/>
            <w:noWrap/>
            <w:vAlign w:val="center"/>
          </w:tcPr>
          <w:p w14:paraId="2A30A9F2">
            <w:pPr>
              <w:widowControl/>
              <w:spacing w:line="300" w:lineRule="auto"/>
              <w:jc w:val="left"/>
              <w:rPr>
                <w:rFonts w:ascii="Times New Roman" w:hAnsi="Times New Roman" w:eastAsia="等线"/>
                <w:i/>
                <w:iCs/>
                <w:color w:val="000000"/>
                <w:sz w:val="18"/>
                <w:szCs w:val="18"/>
              </w:rPr>
            </w:pPr>
            <w:r>
              <w:rPr>
                <w:rFonts w:ascii="Times New Roman" w:hAnsi="Times New Roman"/>
                <w:i/>
                <w:iCs/>
                <w:color w:val="000000"/>
                <w:sz w:val="18"/>
                <w:szCs w:val="18"/>
              </w:rPr>
              <w:t>Penicillium</w:t>
            </w:r>
            <w:r>
              <w:rPr>
                <w:rFonts w:hint="eastAsia" w:ascii="Times New Roman" w:hAnsi="Times New Roman"/>
                <w:i/>
                <w:iCs/>
                <w:color w:val="000000"/>
                <w:sz w:val="18"/>
                <w:szCs w:val="18"/>
              </w:rPr>
              <w:t xml:space="preserve"> </w:t>
            </w:r>
            <w:r>
              <w:rPr>
                <w:rFonts w:ascii="Times New Roman" w:hAnsi="Times New Roman"/>
                <w:i/>
                <w:iCs/>
                <w:color w:val="000000"/>
                <w:sz w:val="18"/>
                <w:szCs w:val="18"/>
              </w:rPr>
              <w:t>chrysogenum</w:t>
            </w:r>
          </w:p>
        </w:tc>
        <w:tc>
          <w:tcPr>
            <w:tcW w:w="642" w:type="pct"/>
            <w:noWrap w:val="0"/>
            <w:vAlign w:val="center"/>
          </w:tcPr>
          <w:p w14:paraId="0B716A39">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CMCC(F)98801</w:t>
            </w:r>
          </w:p>
        </w:tc>
        <w:tc>
          <w:tcPr>
            <w:tcW w:w="642" w:type="pct"/>
            <w:noWrap w:val="0"/>
            <w:vAlign w:val="center"/>
          </w:tcPr>
          <w:p w14:paraId="1BD6C9F3">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CICC 41780</w:t>
            </w:r>
          </w:p>
        </w:tc>
        <w:tc>
          <w:tcPr>
            <w:tcW w:w="643" w:type="pct"/>
            <w:noWrap w:val="0"/>
            <w:vAlign w:val="center"/>
          </w:tcPr>
          <w:p w14:paraId="29D78B0D">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3.710</w:t>
            </w:r>
          </w:p>
        </w:tc>
      </w:tr>
      <w:tr w14:paraId="0910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0" w:type="pct"/>
            <w:noWrap/>
            <w:vAlign w:val="center"/>
          </w:tcPr>
          <w:p w14:paraId="52A3D700">
            <w:pPr>
              <w:widowControl/>
              <w:spacing w:line="300" w:lineRule="auto"/>
              <w:jc w:val="center"/>
              <w:rPr>
                <w:rFonts w:ascii="Times New Roman" w:hAnsi="Times New Roman" w:eastAsia="等线"/>
                <w:sz w:val="18"/>
                <w:szCs w:val="18"/>
              </w:rPr>
            </w:pPr>
            <w:r>
              <w:rPr>
                <w:rFonts w:ascii="Times New Roman" w:hAnsi="Times New Roman" w:eastAsia="等线"/>
                <w:color w:val="000000"/>
                <w:sz w:val="18"/>
                <w:szCs w:val="18"/>
              </w:rPr>
              <w:t>17</w:t>
            </w:r>
          </w:p>
        </w:tc>
        <w:tc>
          <w:tcPr>
            <w:tcW w:w="1187" w:type="pct"/>
            <w:noWrap/>
            <w:vAlign w:val="center"/>
          </w:tcPr>
          <w:p w14:paraId="36069051">
            <w:pPr>
              <w:spacing w:line="300" w:lineRule="auto"/>
              <w:rPr>
                <w:rFonts w:ascii="Times New Roman" w:hAnsi="Times New Roman"/>
                <w:color w:val="000000"/>
                <w:sz w:val="18"/>
                <w:szCs w:val="18"/>
              </w:rPr>
            </w:pPr>
            <w:r>
              <w:rPr>
                <w:rFonts w:ascii="Times New Roman" w:hAnsi="Times New Roman"/>
                <w:color w:val="000000"/>
                <w:sz w:val="18"/>
                <w:szCs w:val="18"/>
              </w:rPr>
              <w:t>酿酒酵母</w:t>
            </w:r>
          </w:p>
        </w:tc>
        <w:tc>
          <w:tcPr>
            <w:tcW w:w="1473" w:type="pct"/>
            <w:noWrap/>
            <w:vAlign w:val="center"/>
          </w:tcPr>
          <w:p w14:paraId="6D8379A9">
            <w:pPr>
              <w:widowControl/>
              <w:spacing w:line="300" w:lineRule="auto"/>
              <w:jc w:val="left"/>
              <w:rPr>
                <w:rFonts w:ascii="Times New Roman" w:hAnsi="Times New Roman"/>
                <w:i/>
                <w:iCs/>
                <w:color w:val="000000"/>
                <w:sz w:val="18"/>
                <w:szCs w:val="18"/>
              </w:rPr>
            </w:pPr>
            <w:r>
              <w:rPr>
                <w:rFonts w:ascii="Times New Roman" w:hAnsi="Times New Roman"/>
                <w:i/>
                <w:iCs/>
                <w:color w:val="000000"/>
                <w:sz w:val="18"/>
                <w:szCs w:val="18"/>
              </w:rPr>
              <w:t>Saccharomyces cerevisiae</w:t>
            </w:r>
          </w:p>
        </w:tc>
        <w:tc>
          <w:tcPr>
            <w:tcW w:w="642" w:type="pct"/>
            <w:noWrap/>
            <w:vAlign w:val="center"/>
          </w:tcPr>
          <w:p w14:paraId="5F8AD431">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CMCC(F)98018</w:t>
            </w:r>
          </w:p>
        </w:tc>
        <w:tc>
          <w:tcPr>
            <w:tcW w:w="642" w:type="pct"/>
            <w:noWrap w:val="0"/>
            <w:vAlign w:val="center"/>
          </w:tcPr>
          <w:p w14:paraId="1C390075">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CICC 33482</w:t>
            </w:r>
          </w:p>
        </w:tc>
        <w:tc>
          <w:tcPr>
            <w:tcW w:w="643" w:type="pct"/>
            <w:noWrap w:val="0"/>
            <w:vAlign w:val="center"/>
          </w:tcPr>
          <w:p w14:paraId="46D8DA8B">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2.243</w:t>
            </w:r>
          </w:p>
        </w:tc>
      </w:tr>
      <w:tr w14:paraId="13BC4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0" w:type="pct"/>
            <w:noWrap/>
            <w:vAlign w:val="center"/>
          </w:tcPr>
          <w:p w14:paraId="1728BD23">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18</w:t>
            </w:r>
          </w:p>
        </w:tc>
        <w:tc>
          <w:tcPr>
            <w:tcW w:w="1187" w:type="pct"/>
            <w:noWrap/>
            <w:vAlign w:val="center"/>
          </w:tcPr>
          <w:p w14:paraId="6242DDCB">
            <w:pPr>
              <w:spacing w:line="300" w:lineRule="auto"/>
              <w:rPr>
                <w:rFonts w:ascii="Times New Roman" w:hAnsi="Times New Roman"/>
                <w:color w:val="000000"/>
                <w:sz w:val="18"/>
                <w:szCs w:val="18"/>
              </w:rPr>
            </w:pPr>
            <w:r>
              <w:rPr>
                <w:rFonts w:ascii="Times New Roman" w:hAnsi="Times New Roman"/>
                <w:color w:val="000000"/>
                <w:sz w:val="18"/>
                <w:szCs w:val="18"/>
              </w:rPr>
              <w:t>酿酒酵母</w:t>
            </w:r>
          </w:p>
        </w:tc>
        <w:tc>
          <w:tcPr>
            <w:tcW w:w="1473" w:type="pct"/>
            <w:noWrap/>
            <w:vAlign w:val="center"/>
          </w:tcPr>
          <w:p w14:paraId="6E9F69B1">
            <w:pPr>
              <w:widowControl/>
              <w:spacing w:line="300" w:lineRule="auto"/>
              <w:jc w:val="left"/>
              <w:rPr>
                <w:rFonts w:ascii="Times New Roman" w:hAnsi="Times New Roman"/>
                <w:i/>
                <w:iCs/>
                <w:color w:val="000000"/>
                <w:sz w:val="18"/>
                <w:szCs w:val="18"/>
              </w:rPr>
            </w:pPr>
            <w:r>
              <w:rPr>
                <w:rFonts w:ascii="Times New Roman" w:hAnsi="Times New Roman"/>
                <w:i/>
                <w:iCs/>
                <w:color w:val="000000"/>
                <w:sz w:val="18"/>
                <w:szCs w:val="18"/>
              </w:rPr>
              <w:t>Saccharomyces cerevisiae</w:t>
            </w:r>
          </w:p>
        </w:tc>
        <w:tc>
          <w:tcPr>
            <w:tcW w:w="642" w:type="pct"/>
            <w:noWrap/>
            <w:vAlign w:val="center"/>
          </w:tcPr>
          <w:p w14:paraId="15EBEB12">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CMCC(F)98017</w:t>
            </w:r>
          </w:p>
        </w:tc>
        <w:tc>
          <w:tcPr>
            <w:tcW w:w="642" w:type="pct"/>
            <w:noWrap w:val="0"/>
            <w:vAlign w:val="center"/>
          </w:tcPr>
          <w:p w14:paraId="5243BAF2">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CICC 33471</w:t>
            </w:r>
          </w:p>
        </w:tc>
        <w:tc>
          <w:tcPr>
            <w:tcW w:w="643" w:type="pct"/>
            <w:noWrap w:val="0"/>
            <w:vAlign w:val="center"/>
          </w:tcPr>
          <w:p w14:paraId="61E5D8FB">
            <w:pPr>
              <w:widowControl/>
              <w:spacing w:line="300" w:lineRule="auto"/>
              <w:jc w:val="center"/>
              <w:rPr>
                <w:rFonts w:ascii="Times New Roman" w:hAnsi="Times New Roman" w:eastAsia="等线"/>
                <w:color w:val="000000"/>
                <w:sz w:val="18"/>
                <w:szCs w:val="18"/>
              </w:rPr>
            </w:pPr>
            <w:r>
              <w:rPr>
                <w:rFonts w:ascii="Times New Roman" w:hAnsi="Times New Roman" w:eastAsia="等线"/>
                <w:color w:val="000000"/>
                <w:sz w:val="18"/>
                <w:szCs w:val="18"/>
              </w:rPr>
              <w:t>GDMCC 2.258</w:t>
            </w:r>
          </w:p>
        </w:tc>
      </w:tr>
      <w:tr w14:paraId="7642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6"/>
            <w:noWrap/>
            <w:vAlign w:val="center"/>
          </w:tcPr>
          <w:p w14:paraId="7DF75331">
            <w:pPr>
              <w:spacing w:line="300" w:lineRule="auto"/>
              <w:jc w:val="left"/>
              <w:rPr>
                <w:rFonts w:ascii="Times New Roman" w:hAnsi="Times New Roman"/>
                <w:sz w:val="18"/>
                <w:szCs w:val="18"/>
              </w:rPr>
            </w:pPr>
            <w:r>
              <w:rPr>
                <w:rFonts w:ascii="Times New Roman" w:hAnsi="Times New Roman"/>
                <w:sz w:val="18"/>
                <w:szCs w:val="18"/>
              </w:rPr>
              <w:t>a：为方便检验实验室菌种获取，同一序号菌种如出现不同菌种编号，全部为同一株菌在</w:t>
            </w:r>
            <w:r>
              <w:rPr>
                <w:rFonts w:hint="eastAsia" w:ascii="Times New Roman" w:hAnsi="Times New Roman"/>
                <w:sz w:val="18"/>
                <w:szCs w:val="18"/>
              </w:rPr>
              <w:t>不同</w:t>
            </w:r>
            <w:r>
              <w:rPr>
                <w:rFonts w:ascii="Times New Roman" w:hAnsi="Times New Roman"/>
                <w:sz w:val="18"/>
                <w:szCs w:val="18"/>
              </w:rPr>
              <w:t>菌种保藏管理</w:t>
            </w:r>
            <w:r>
              <w:rPr>
                <w:rFonts w:hint="eastAsia" w:ascii="Times New Roman" w:hAnsi="Times New Roman"/>
                <w:sz w:val="18"/>
                <w:szCs w:val="18"/>
              </w:rPr>
              <w:t>机构</w:t>
            </w:r>
            <w:r>
              <w:rPr>
                <w:rFonts w:ascii="Times New Roman" w:hAnsi="Times New Roman"/>
                <w:sz w:val="18"/>
                <w:szCs w:val="18"/>
              </w:rPr>
              <w:t>同时注册获得</w:t>
            </w:r>
            <w:r>
              <w:rPr>
                <w:rFonts w:hint="eastAsia" w:ascii="Times New Roman" w:hAnsi="Times New Roman"/>
                <w:sz w:val="18"/>
                <w:szCs w:val="18"/>
              </w:rPr>
              <w:t>；</w:t>
            </w:r>
          </w:p>
          <w:p w14:paraId="203CC812">
            <w:pPr>
              <w:spacing w:line="300" w:lineRule="auto"/>
              <w:jc w:val="left"/>
              <w:rPr>
                <w:rFonts w:ascii="Times New Roman" w:hAnsi="Times New Roman"/>
                <w:sz w:val="18"/>
                <w:szCs w:val="18"/>
              </w:rPr>
            </w:pPr>
            <w:r>
              <w:rPr>
                <w:rFonts w:ascii="Times New Roman" w:hAnsi="Times New Roman"/>
                <w:sz w:val="18"/>
                <w:szCs w:val="18"/>
              </w:rPr>
              <w:t>b：CMCC代表中国医学细菌保藏管理中心；</w:t>
            </w:r>
          </w:p>
          <w:p w14:paraId="581B81FB">
            <w:pPr>
              <w:spacing w:line="300" w:lineRule="auto"/>
              <w:jc w:val="left"/>
              <w:rPr>
                <w:rFonts w:ascii="Times New Roman" w:hAnsi="Times New Roman"/>
                <w:sz w:val="18"/>
                <w:szCs w:val="18"/>
              </w:rPr>
            </w:pPr>
            <w:r>
              <w:rPr>
                <w:rFonts w:ascii="Times New Roman" w:hAnsi="Times New Roman"/>
                <w:sz w:val="18"/>
                <w:szCs w:val="18"/>
              </w:rPr>
              <w:t>c：CICC代表中国工业微生物菌种保藏管理中心；</w:t>
            </w:r>
          </w:p>
          <w:p w14:paraId="224D270F">
            <w:pPr>
              <w:spacing w:line="300" w:lineRule="auto"/>
              <w:jc w:val="left"/>
              <w:rPr>
                <w:rFonts w:ascii="Times New Roman" w:hAnsi="Times New Roman" w:eastAsia="等线"/>
                <w:sz w:val="18"/>
                <w:szCs w:val="18"/>
              </w:rPr>
            </w:pPr>
            <w:r>
              <w:rPr>
                <w:rFonts w:ascii="Times New Roman" w:hAnsi="Times New Roman"/>
                <w:sz w:val="18"/>
                <w:szCs w:val="18"/>
              </w:rPr>
              <w:t>d：GDMCC代表广东省微生物菌种保藏管理中心</w:t>
            </w:r>
            <w:r>
              <w:rPr>
                <w:rFonts w:hint="eastAsia" w:ascii="Times New Roman" w:hAnsi="Times New Roman"/>
                <w:sz w:val="18"/>
                <w:szCs w:val="18"/>
              </w:rPr>
              <w:t>。</w:t>
            </w:r>
          </w:p>
        </w:tc>
      </w:tr>
    </w:tbl>
    <w:p w14:paraId="5FFEFADA">
      <w:pPr>
        <w:spacing w:before="159" w:beforeLines="50" w:after="159" w:afterLines="50" w:line="300" w:lineRule="auto"/>
        <w:jc w:val="center"/>
        <w:rPr>
          <w:rFonts w:ascii="Times New Roman" w:hAnsi="Times New Roman" w:eastAsia="黑体"/>
          <w:bCs/>
          <w:szCs w:val="21"/>
        </w:rPr>
      </w:pPr>
    </w:p>
    <w:p w14:paraId="7E541996">
      <w:pPr>
        <w:spacing w:before="159" w:beforeLines="50" w:after="159" w:afterLines="50" w:line="300" w:lineRule="auto"/>
        <w:jc w:val="center"/>
        <w:rPr>
          <w:rFonts w:ascii="黑体" w:hAnsi="黑体" w:eastAsia="黑体" w:cs="黑体"/>
          <w:szCs w:val="21"/>
        </w:rPr>
        <w:sectPr>
          <w:pgSz w:w="16838" w:h="11905" w:orient="landscape"/>
          <w:pgMar w:top="1797" w:right="1440" w:bottom="1797" w:left="1440" w:header="851" w:footer="992" w:gutter="0"/>
          <w:pgBorders>
            <w:top w:val="none" w:sz="0" w:space="0"/>
            <w:left w:val="none" w:sz="0" w:space="0"/>
            <w:bottom w:val="none" w:sz="0" w:space="0"/>
            <w:right w:val="none" w:sz="0" w:space="0"/>
          </w:pgBorders>
          <w:pgNumType w:fmt="decimal"/>
          <w:cols w:space="720" w:num="1"/>
          <w:docGrid w:type="linesAndChars" w:linePitch="319" w:charSpace="819"/>
        </w:sectPr>
      </w:pPr>
    </w:p>
    <w:p w14:paraId="61612618">
      <w:pPr>
        <w:spacing w:before="159" w:beforeLines="50" w:after="159" w:afterLines="50" w:line="300" w:lineRule="auto"/>
        <w:jc w:val="center"/>
        <w:rPr>
          <w:rFonts w:ascii="Times New Roman" w:hAnsi="Times New Roman" w:eastAsia="黑体"/>
          <w:szCs w:val="21"/>
        </w:rPr>
      </w:pPr>
      <w:r>
        <w:rPr>
          <w:rFonts w:ascii="黑体" w:hAnsi="黑体" w:eastAsia="黑体" w:cs="黑体"/>
          <w:szCs w:val="21"/>
        </w:rPr>
        <w:t>附录</w:t>
      </w:r>
      <w:r>
        <w:rPr>
          <w:rFonts w:hint="default" w:ascii="Times New Roman" w:hAnsi="Times New Roman" w:eastAsia="黑体" w:cs="Times New Roman"/>
          <w:szCs w:val="21"/>
        </w:rPr>
        <w:t>C</w:t>
      </w:r>
    </w:p>
    <w:p w14:paraId="556BD877">
      <w:pPr>
        <w:spacing w:before="159" w:beforeLines="50" w:after="159" w:afterLines="50" w:line="300" w:lineRule="auto"/>
        <w:jc w:val="center"/>
        <w:rPr>
          <w:rFonts w:ascii="黑体" w:hAnsi="黑体" w:eastAsia="黑体" w:cs="黑体"/>
          <w:szCs w:val="21"/>
        </w:rPr>
      </w:pPr>
      <w:r>
        <w:rPr>
          <w:rFonts w:ascii="黑体" w:hAnsi="黑体" w:eastAsia="黑体" w:cs="黑体"/>
          <w:szCs w:val="21"/>
        </w:rPr>
        <w:t>（规范性附录）</w:t>
      </w:r>
    </w:p>
    <w:p w14:paraId="5BFB6F35">
      <w:pPr>
        <w:spacing w:before="159" w:beforeLines="50" w:after="159" w:afterLines="50" w:line="300" w:lineRule="auto"/>
        <w:jc w:val="center"/>
        <w:rPr>
          <w:rFonts w:ascii="黑体" w:hAnsi="黑体" w:eastAsia="黑体" w:cs="黑体"/>
          <w:szCs w:val="21"/>
        </w:rPr>
      </w:pPr>
      <w:r>
        <w:rPr>
          <w:rFonts w:ascii="黑体" w:hAnsi="黑体" w:eastAsia="黑体" w:cs="黑体"/>
          <w:szCs w:val="21"/>
        </w:rPr>
        <w:t>培养基和试剂</w:t>
      </w:r>
    </w:p>
    <w:p w14:paraId="419D0492">
      <w:pPr>
        <w:spacing w:line="300" w:lineRule="auto"/>
        <w:ind w:firstLine="420" w:firstLineChars="200"/>
        <w:rPr>
          <w:rFonts w:ascii="Times New Roman" w:hAnsi="Times New Roman"/>
          <w:szCs w:val="21"/>
        </w:rPr>
      </w:pPr>
      <w:r>
        <w:rPr>
          <w:rFonts w:hint="eastAsia" w:ascii="Times New Roman" w:hAnsi="Times New Roman"/>
          <w:szCs w:val="21"/>
        </w:rPr>
        <w:t xml:space="preserve">本附录中所列培养基的pH值，均为灭菌后室温（约25 </w:t>
      </w:r>
      <w:r>
        <w:rPr>
          <w:rFonts w:ascii="Times New Roman" w:hAnsi="Times New Roman"/>
          <w:szCs w:val="21"/>
        </w:rPr>
        <w:t>℃</w:t>
      </w:r>
      <w:r>
        <w:rPr>
          <w:rFonts w:hint="eastAsia" w:ascii="Times New Roman" w:hAnsi="Times New Roman"/>
          <w:szCs w:val="21"/>
        </w:rPr>
        <w:t>）时测定的数值。</w:t>
      </w:r>
    </w:p>
    <w:p w14:paraId="6E307832">
      <w:pPr>
        <w:spacing w:before="159" w:beforeLines="50" w:after="159" w:afterLines="50" w:line="300" w:lineRule="auto"/>
        <w:rPr>
          <w:rFonts w:ascii="Times New Roman" w:hAnsi="Times New Roman"/>
          <w:szCs w:val="21"/>
        </w:rPr>
      </w:pPr>
      <w:r>
        <w:rPr>
          <w:rFonts w:hint="eastAsia" w:ascii="Times New Roman" w:hAnsi="Times New Roman"/>
          <w:szCs w:val="21"/>
        </w:rPr>
        <w:t>C.1  SCDLP液体培养基</w:t>
      </w:r>
    </w:p>
    <w:p w14:paraId="02525888">
      <w:pPr>
        <w:spacing w:line="300" w:lineRule="auto"/>
        <w:ind w:firstLine="420" w:firstLineChars="200"/>
        <w:rPr>
          <w:rFonts w:ascii="Times New Roman" w:hAnsi="Times New Roman"/>
          <w:szCs w:val="21"/>
        </w:rPr>
      </w:pPr>
      <w:r>
        <w:rPr>
          <w:rFonts w:hint="eastAsia" w:ascii="Times New Roman" w:hAnsi="Times New Roman"/>
          <w:szCs w:val="21"/>
        </w:rPr>
        <w:t>成分：酪蛋白胨</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17</w:t>
      </w:r>
      <w:r>
        <w:rPr>
          <w:rFonts w:hint="eastAsia" w:ascii="Times New Roman" w:hAnsi="Times New Roman"/>
          <w:szCs w:val="21"/>
        </w:rPr>
        <w:t>.0</w:t>
      </w:r>
      <w:r>
        <w:rPr>
          <w:rFonts w:ascii="Times New Roman" w:hAnsi="Times New Roman"/>
          <w:szCs w:val="21"/>
        </w:rPr>
        <w:t xml:space="preserve"> g</w:t>
      </w:r>
    </w:p>
    <w:p w14:paraId="3429605F">
      <w:pPr>
        <w:spacing w:line="300" w:lineRule="auto"/>
        <w:ind w:firstLine="1050" w:firstLineChars="500"/>
        <w:rPr>
          <w:rFonts w:ascii="Times New Roman" w:hAnsi="Times New Roman"/>
          <w:szCs w:val="21"/>
        </w:rPr>
      </w:pPr>
      <w:r>
        <w:rPr>
          <w:rFonts w:hint="eastAsia" w:ascii="Times New Roman" w:hAnsi="Times New Roman"/>
          <w:szCs w:val="21"/>
        </w:rPr>
        <w:t>大豆蛋白胨</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3</w:t>
      </w:r>
      <w:r>
        <w:rPr>
          <w:rFonts w:hint="eastAsia" w:ascii="Times New Roman" w:hAnsi="Times New Roman"/>
          <w:szCs w:val="21"/>
        </w:rPr>
        <w:t xml:space="preserve">.0 </w:t>
      </w:r>
      <w:r>
        <w:rPr>
          <w:rFonts w:ascii="Times New Roman" w:hAnsi="Times New Roman"/>
          <w:szCs w:val="21"/>
        </w:rPr>
        <w:t>g</w:t>
      </w:r>
    </w:p>
    <w:p w14:paraId="052B2FBA">
      <w:pPr>
        <w:spacing w:line="300" w:lineRule="auto"/>
        <w:ind w:firstLine="1050" w:firstLineChars="500"/>
        <w:rPr>
          <w:rFonts w:ascii="Times New Roman" w:hAnsi="Times New Roman"/>
          <w:szCs w:val="21"/>
        </w:rPr>
      </w:pPr>
      <w:r>
        <w:rPr>
          <w:rFonts w:hint="eastAsia" w:ascii="Times New Roman" w:hAnsi="Times New Roman"/>
          <w:szCs w:val="21"/>
        </w:rPr>
        <w:t>氯化钠</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5</w:t>
      </w:r>
      <w:r>
        <w:rPr>
          <w:rFonts w:hint="eastAsia" w:ascii="Times New Roman" w:hAnsi="Times New Roman"/>
          <w:szCs w:val="21"/>
        </w:rPr>
        <w:t>.0</w:t>
      </w:r>
      <w:r>
        <w:rPr>
          <w:rFonts w:ascii="Times New Roman" w:hAnsi="Times New Roman"/>
          <w:szCs w:val="21"/>
        </w:rPr>
        <w:t xml:space="preserve"> g</w:t>
      </w:r>
    </w:p>
    <w:p w14:paraId="5E19EC3F">
      <w:pPr>
        <w:spacing w:line="300" w:lineRule="auto"/>
        <w:ind w:firstLine="1050" w:firstLineChars="500"/>
        <w:rPr>
          <w:rFonts w:ascii="Times New Roman" w:hAnsi="Times New Roman"/>
          <w:szCs w:val="21"/>
        </w:rPr>
      </w:pPr>
      <w:r>
        <w:rPr>
          <w:rFonts w:hint="eastAsia" w:ascii="Times New Roman" w:hAnsi="Times New Roman"/>
          <w:szCs w:val="21"/>
        </w:rPr>
        <w:t>磷酸氢二钾</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2.5 g</w:t>
      </w:r>
    </w:p>
    <w:p w14:paraId="038DC692">
      <w:pPr>
        <w:spacing w:line="300" w:lineRule="auto"/>
        <w:ind w:firstLine="1050" w:firstLineChars="500"/>
        <w:rPr>
          <w:rFonts w:ascii="Times New Roman" w:hAnsi="Times New Roman"/>
          <w:szCs w:val="21"/>
        </w:rPr>
      </w:pPr>
      <w:r>
        <w:rPr>
          <w:rFonts w:hint="eastAsia" w:ascii="Times New Roman" w:hAnsi="Times New Roman"/>
          <w:szCs w:val="21"/>
        </w:rPr>
        <w:t>葡萄糖</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2.5 g</w:t>
      </w:r>
    </w:p>
    <w:p w14:paraId="776A6B63">
      <w:pPr>
        <w:spacing w:line="300" w:lineRule="auto"/>
        <w:ind w:firstLine="1050" w:firstLineChars="500"/>
        <w:rPr>
          <w:rFonts w:ascii="Times New Roman" w:hAnsi="Times New Roman"/>
          <w:szCs w:val="21"/>
        </w:rPr>
      </w:pPr>
      <w:r>
        <w:rPr>
          <w:rFonts w:hint="eastAsia" w:ascii="Times New Roman" w:hAnsi="Times New Roman"/>
          <w:szCs w:val="21"/>
        </w:rPr>
        <w:t>卵磷脂</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1</w:t>
      </w:r>
      <w:r>
        <w:rPr>
          <w:rFonts w:hint="eastAsia" w:ascii="Times New Roman" w:hAnsi="Times New Roman"/>
          <w:szCs w:val="21"/>
        </w:rPr>
        <w:t>.0</w:t>
      </w:r>
      <w:r>
        <w:rPr>
          <w:rFonts w:ascii="Times New Roman" w:hAnsi="Times New Roman"/>
          <w:szCs w:val="21"/>
        </w:rPr>
        <w:t xml:space="preserve"> g</w:t>
      </w:r>
    </w:p>
    <w:p w14:paraId="0CED75CB">
      <w:pPr>
        <w:spacing w:line="300" w:lineRule="auto"/>
        <w:ind w:firstLine="1050" w:firstLineChars="500"/>
        <w:rPr>
          <w:rFonts w:ascii="Times New Roman" w:hAnsi="Times New Roman"/>
          <w:szCs w:val="21"/>
        </w:rPr>
      </w:pPr>
      <w:r>
        <w:rPr>
          <w:rFonts w:hint="eastAsia" w:ascii="Times New Roman" w:hAnsi="Times New Roman"/>
          <w:szCs w:val="21"/>
        </w:rPr>
        <w:t>吐温</w:t>
      </w:r>
      <w:r>
        <w:rPr>
          <w:rFonts w:ascii="Times New Roman" w:hAnsi="Times New Roman"/>
          <w:szCs w:val="21"/>
        </w:rPr>
        <w:t>80</w:t>
      </w:r>
      <w:r>
        <w:rPr>
          <w:rFonts w:hint="eastAsia" w:ascii="Times New Roman" w:hAnsi="Times New Roman"/>
          <w:szCs w:val="21"/>
        </w:rPr>
        <w:t xml:space="preserve">  </w:t>
      </w:r>
      <w:r>
        <w:rPr>
          <w:rFonts w:ascii="Times New Roman" w:hAnsi="Times New Roman"/>
          <w:szCs w:val="21"/>
        </w:rPr>
        <w:t xml:space="preserve">                                7</w:t>
      </w:r>
      <w:r>
        <w:rPr>
          <w:rFonts w:hint="eastAsia" w:ascii="Times New Roman" w:hAnsi="Times New Roman"/>
          <w:szCs w:val="21"/>
        </w:rPr>
        <w:t>.0</w:t>
      </w:r>
      <w:r>
        <w:rPr>
          <w:rFonts w:ascii="Times New Roman" w:hAnsi="Times New Roman"/>
          <w:szCs w:val="21"/>
        </w:rPr>
        <w:t xml:space="preserve"> g</w:t>
      </w:r>
    </w:p>
    <w:p w14:paraId="1A0353A8">
      <w:pPr>
        <w:spacing w:line="300" w:lineRule="auto"/>
        <w:ind w:firstLine="1050" w:firstLineChars="500"/>
        <w:rPr>
          <w:rFonts w:ascii="Times New Roman" w:hAnsi="Times New Roman"/>
          <w:szCs w:val="21"/>
        </w:rPr>
      </w:pPr>
      <w:r>
        <w:rPr>
          <w:rFonts w:hint="eastAsia" w:ascii="Times New Roman" w:hAnsi="Times New Roman"/>
          <w:szCs w:val="21"/>
        </w:rPr>
        <w:t>蒸馏水</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1000 mL</w:t>
      </w:r>
    </w:p>
    <w:p w14:paraId="52261CD9">
      <w:pPr>
        <w:spacing w:line="300" w:lineRule="auto"/>
        <w:ind w:firstLine="420" w:firstLineChars="200"/>
        <w:rPr>
          <w:rFonts w:ascii="Times New Roman" w:hAnsi="Times New Roman"/>
          <w:szCs w:val="21"/>
        </w:rPr>
      </w:pPr>
      <w:r>
        <w:rPr>
          <w:rFonts w:ascii="Times New Roman" w:hAnsi="Times New Roman"/>
          <w:szCs w:val="21"/>
        </w:rPr>
        <w:t>制法：先将卵磷脂在少量蒸馏水中加热融化后，再与其他成分混合，加热溶解，调</w:t>
      </w:r>
      <w:r>
        <w:rPr>
          <w:rFonts w:hint="eastAsia" w:ascii="Times New Roman" w:hAnsi="Times New Roman"/>
          <w:szCs w:val="21"/>
        </w:rPr>
        <w:t>节</w:t>
      </w:r>
      <w:r>
        <w:rPr>
          <w:rFonts w:ascii="Times New Roman" w:hAnsi="Times New Roman"/>
          <w:szCs w:val="21"/>
        </w:rPr>
        <w:t>pH</w:t>
      </w:r>
      <w:r>
        <w:rPr>
          <w:rFonts w:hint="eastAsia" w:ascii="Times New Roman" w:hAnsi="Times New Roman"/>
          <w:szCs w:val="21"/>
        </w:rPr>
        <w:t>值，</w:t>
      </w:r>
      <w:r>
        <w:rPr>
          <w:rFonts w:ascii="Times New Roman" w:hAnsi="Times New Roman"/>
          <w:szCs w:val="21"/>
        </w:rPr>
        <w:t>分装，每瓶90</w:t>
      </w:r>
      <w:r>
        <w:rPr>
          <w:rFonts w:hint="eastAsia" w:ascii="Times New Roman" w:hAnsi="Times New Roman"/>
          <w:szCs w:val="21"/>
        </w:rPr>
        <w:t xml:space="preserve"> </w:t>
      </w:r>
      <w:r>
        <w:rPr>
          <w:rFonts w:ascii="Times New Roman" w:hAnsi="Times New Roman"/>
          <w:szCs w:val="21"/>
        </w:rPr>
        <w:t>mL，121 ℃高压灭菌20</w:t>
      </w:r>
      <w:r>
        <w:rPr>
          <w:rFonts w:hint="eastAsia" w:ascii="Times New Roman" w:hAnsi="Times New Roman"/>
          <w:szCs w:val="21"/>
        </w:rPr>
        <w:t xml:space="preserve"> </w:t>
      </w:r>
      <w:r>
        <w:rPr>
          <w:rFonts w:ascii="Times New Roman" w:hAnsi="Times New Roman"/>
          <w:szCs w:val="21"/>
        </w:rPr>
        <w:t>min</w:t>
      </w:r>
      <w:r>
        <w:rPr>
          <w:rFonts w:hint="eastAsia" w:ascii="Times New Roman" w:hAnsi="Times New Roman"/>
          <w:szCs w:val="21"/>
          <w:lang w:eastAsia="zh-CN"/>
        </w:rPr>
        <w:t>。</w:t>
      </w:r>
      <w:r>
        <w:rPr>
          <w:rFonts w:ascii="Times New Roman" w:hAnsi="Times New Roman"/>
          <w:szCs w:val="21"/>
        </w:rPr>
        <w:t>注意振荡，使沉淀于底层的吐温80充分混合，冷却至</w:t>
      </w:r>
      <w:r>
        <w:rPr>
          <w:rFonts w:hint="eastAsia" w:ascii="Times New Roman" w:hAnsi="Times New Roman"/>
          <w:szCs w:val="21"/>
          <w:lang w:eastAsia="zh-CN"/>
        </w:rPr>
        <w:t>室温</w:t>
      </w:r>
      <w:r>
        <w:rPr>
          <w:rFonts w:ascii="Times New Roman" w:hAnsi="Times New Roman"/>
          <w:szCs w:val="21"/>
        </w:rPr>
        <w:t>使用</w:t>
      </w:r>
      <w:r>
        <w:rPr>
          <w:rFonts w:hint="eastAsia" w:ascii="Times New Roman" w:hAnsi="Times New Roman"/>
          <w:szCs w:val="21"/>
          <w:lang w:eastAsia="zh-CN"/>
        </w:rPr>
        <w:t>。</w:t>
      </w:r>
      <w:r>
        <w:rPr>
          <w:rFonts w:hint="eastAsia" w:ascii="Times New Roman" w:hAnsi="Times New Roman"/>
          <w:szCs w:val="21"/>
          <w:lang w:val="en-US" w:eastAsia="zh-CN"/>
        </w:rPr>
        <w:t>培养基pH值应为</w:t>
      </w:r>
      <w:r>
        <w:rPr>
          <w:rFonts w:ascii="Times New Roman" w:hAnsi="Times New Roman"/>
          <w:szCs w:val="21"/>
        </w:rPr>
        <w:t>7.2±0.2。</w:t>
      </w:r>
    </w:p>
    <w:p w14:paraId="0712F615">
      <w:pPr>
        <w:spacing w:before="159" w:beforeLines="50" w:after="159" w:afterLines="50" w:line="300" w:lineRule="auto"/>
        <w:rPr>
          <w:rFonts w:ascii="Times New Roman" w:hAnsi="Times New Roman"/>
          <w:szCs w:val="21"/>
        </w:rPr>
      </w:pPr>
      <w:r>
        <w:rPr>
          <w:rFonts w:hint="eastAsia" w:ascii="Times New Roman" w:hAnsi="Times New Roman"/>
          <w:szCs w:val="21"/>
        </w:rPr>
        <w:t>C.2  胰酪大豆胨琼脂（TSA）培养基</w:t>
      </w:r>
    </w:p>
    <w:p w14:paraId="40EC20C4">
      <w:pPr>
        <w:spacing w:line="300" w:lineRule="auto"/>
        <w:ind w:firstLine="420" w:firstLineChars="200"/>
        <w:rPr>
          <w:rFonts w:ascii="Times New Roman" w:hAnsi="Times New Roman"/>
          <w:szCs w:val="21"/>
        </w:rPr>
      </w:pPr>
      <w:r>
        <w:rPr>
          <w:rFonts w:hint="eastAsia" w:ascii="Times New Roman" w:hAnsi="Times New Roman"/>
          <w:szCs w:val="21"/>
        </w:rPr>
        <w:t xml:space="preserve">成分：胰酪胨                                 </w:t>
      </w:r>
      <w:r>
        <w:rPr>
          <w:rFonts w:ascii="Times New Roman" w:hAnsi="Times New Roman"/>
          <w:szCs w:val="21"/>
        </w:rPr>
        <w:t xml:space="preserve">15.0 </w:t>
      </w:r>
      <w:r>
        <w:rPr>
          <w:rFonts w:hint="eastAsia" w:ascii="Times New Roman" w:hAnsi="Times New Roman"/>
          <w:szCs w:val="21"/>
        </w:rPr>
        <w:t>g</w:t>
      </w:r>
    </w:p>
    <w:p w14:paraId="1E5B4F4D">
      <w:pPr>
        <w:spacing w:line="300" w:lineRule="auto"/>
        <w:ind w:firstLine="1050" w:firstLineChars="500"/>
        <w:rPr>
          <w:rFonts w:ascii="Times New Roman" w:hAnsi="Times New Roman"/>
          <w:szCs w:val="21"/>
        </w:rPr>
      </w:pPr>
      <w:r>
        <w:rPr>
          <w:rFonts w:hint="eastAsia" w:ascii="Times New Roman" w:hAnsi="Times New Roman"/>
          <w:szCs w:val="21"/>
        </w:rPr>
        <w:t xml:space="preserve">大豆蛋白胨                            </w:t>
      </w:r>
      <w:r>
        <w:rPr>
          <w:rFonts w:ascii="Times New Roman" w:hAnsi="Times New Roman"/>
          <w:szCs w:val="21"/>
        </w:rPr>
        <w:t xml:space="preserve">  5.0</w:t>
      </w:r>
      <w:r>
        <w:rPr>
          <w:rFonts w:hint="eastAsia" w:ascii="Times New Roman" w:hAnsi="Times New Roman"/>
          <w:szCs w:val="21"/>
        </w:rPr>
        <w:t xml:space="preserve"> g</w:t>
      </w:r>
    </w:p>
    <w:p w14:paraId="19258F26">
      <w:pPr>
        <w:spacing w:line="300" w:lineRule="auto"/>
        <w:ind w:firstLine="1050" w:firstLineChars="500"/>
        <w:rPr>
          <w:rFonts w:ascii="Times New Roman" w:hAnsi="Times New Roman"/>
          <w:szCs w:val="21"/>
        </w:rPr>
      </w:pPr>
      <w:r>
        <w:rPr>
          <w:rFonts w:hint="eastAsia" w:ascii="Times New Roman" w:hAnsi="Times New Roman"/>
          <w:szCs w:val="21"/>
        </w:rPr>
        <w:t xml:space="preserve">氯化钠 </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5.0</w:t>
      </w:r>
      <w:r>
        <w:rPr>
          <w:rFonts w:hint="eastAsia" w:ascii="Times New Roman" w:hAnsi="Times New Roman"/>
          <w:szCs w:val="21"/>
        </w:rPr>
        <w:t xml:space="preserve"> </w:t>
      </w:r>
      <w:r>
        <w:rPr>
          <w:rFonts w:ascii="Times New Roman" w:hAnsi="Times New Roman"/>
          <w:szCs w:val="21"/>
        </w:rPr>
        <w:t>g</w:t>
      </w:r>
    </w:p>
    <w:p w14:paraId="48A85CAB">
      <w:pPr>
        <w:spacing w:line="300" w:lineRule="auto"/>
        <w:ind w:firstLine="1050" w:firstLineChars="500"/>
        <w:rPr>
          <w:rFonts w:ascii="Times New Roman" w:hAnsi="Times New Roman"/>
          <w:szCs w:val="21"/>
        </w:rPr>
      </w:pPr>
      <w:r>
        <w:rPr>
          <w:rFonts w:hint="eastAsia" w:ascii="Times New Roman" w:hAnsi="Times New Roman"/>
          <w:szCs w:val="21"/>
        </w:rPr>
        <w:t xml:space="preserve">琼脂                                   </w:t>
      </w:r>
      <w:r>
        <w:rPr>
          <w:rFonts w:ascii="Times New Roman" w:hAnsi="Times New Roman"/>
          <w:szCs w:val="21"/>
        </w:rPr>
        <w:t>15</w:t>
      </w:r>
      <w:r>
        <w:rPr>
          <w:rFonts w:hint="eastAsia" w:ascii="Times New Roman" w:hAnsi="Times New Roman"/>
          <w:szCs w:val="21"/>
        </w:rPr>
        <w:t>.0 g</w:t>
      </w:r>
    </w:p>
    <w:p w14:paraId="0EAD9413">
      <w:pPr>
        <w:spacing w:line="300" w:lineRule="auto"/>
        <w:ind w:firstLine="1050" w:firstLineChars="500"/>
        <w:rPr>
          <w:rFonts w:ascii="Times New Roman" w:hAnsi="Times New Roman"/>
          <w:szCs w:val="21"/>
        </w:rPr>
      </w:pPr>
      <w:r>
        <w:rPr>
          <w:rFonts w:hint="eastAsia" w:ascii="Times New Roman" w:hAnsi="Times New Roman"/>
          <w:szCs w:val="21"/>
        </w:rPr>
        <w:t>蒸馏水                               1000 mL</w:t>
      </w:r>
    </w:p>
    <w:p w14:paraId="1D0EF944">
      <w:pPr>
        <w:spacing w:line="300" w:lineRule="auto"/>
        <w:ind w:firstLine="420" w:firstLineChars="200"/>
        <w:rPr>
          <w:rFonts w:hint="eastAsia" w:ascii="Times New Roman" w:hAnsi="Times New Roman" w:eastAsia="宋体"/>
          <w:szCs w:val="21"/>
          <w:lang w:eastAsia="zh-CN"/>
        </w:rPr>
      </w:pPr>
      <w:r>
        <w:rPr>
          <w:rFonts w:hint="eastAsia" w:ascii="Times New Roman" w:hAnsi="Times New Roman"/>
          <w:szCs w:val="21"/>
        </w:rPr>
        <w:t xml:space="preserve">制法：除琼脂外，将各成分溶于水中，混合，微温溶解，调节pH值，加入琼脂，加热融化后，摇匀，121 </w:t>
      </w:r>
      <w:r>
        <w:rPr>
          <w:rFonts w:ascii="Times New Roman" w:hAnsi="Times New Roman"/>
          <w:szCs w:val="21"/>
        </w:rPr>
        <w:t>℃</w:t>
      </w:r>
      <w:r>
        <w:rPr>
          <w:rFonts w:hint="eastAsia" w:ascii="Times New Roman" w:hAnsi="Times New Roman"/>
          <w:szCs w:val="21"/>
        </w:rPr>
        <w:t>高压灭菌15 min。</w:t>
      </w:r>
      <w:r>
        <w:rPr>
          <w:rFonts w:hint="eastAsia" w:ascii="Times New Roman" w:hAnsi="Times New Roman"/>
          <w:szCs w:val="21"/>
          <w:lang w:val="en-US" w:eastAsia="zh-CN"/>
        </w:rPr>
        <w:t>培养基pH值应为</w:t>
      </w:r>
      <w:r>
        <w:rPr>
          <w:rFonts w:ascii="Times New Roman" w:hAnsi="Times New Roman"/>
          <w:szCs w:val="21"/>
        </w:rPr>
        <w:t>7.3±</w:t>
      </w:r>
      <w:r>
        <w:rPr>
          <w:rFonts w:hint="eastAsia" w:ascii="Times New Roman" w:hAnsi="Times New Roman"/>
          <w:szCs w:val="21"/>
        </w:rPr>
        <w:t>0.2</w:t>
      </w:r>
      <w:r>
        <w:rPr>
          <w:rFonts w:hint="eastAsia" w:ascii="Times New Roman" w:hAnsi="Times New Roman"/>
          <w:szCs w:val="21"/>
          <w:lang w:eastAsia="zh-CN"/>
        </w:rPr>
        <w:t>。</w:t>
      </w:r>
    </w:p>
    <w:p w14:paraId="60792EC5">
      <w:pPr>
        <w:spacing w:before="159" w:beforeLines="50" w:after="159" w:afterLines="50" w:line="300" w:lineRule="auto"/>
        <w:rPr>
          <w:rFonts w:ascii="Times New Roman" w:hAnsi="Times New Roman"/>
          <w:szCs w:val="21"/>
        </w:rPr>
      </w:pPr>
      <w:r>
        <w:rPr>
          <w:rFonts w:hint="eastAsia" w:ascii="Times New Roman" w:hAnsi="Times New Roman"/>
          <w:szCs w:val="21"/>
        </w:rPr>
        <w:t>C</w:t>
      </w:r>
      <w:r>
        <w:rPr>
          <w:rFonts w:ascii="Times New Roman" w:hAnsi="Times New Roman"/>
          <w:szCs w:val="21"/>
        </w:rPr>
        <w:t>.3</w:t>
      </w:r>
      <w:r>
        <w:rPr>
          <w:rFonts w:hint="eastAsia" w:ascii="Times New Roman" w:hAnsi="Times New Roman"/>
          <w:szCs w:val="21"/>
        </w:rPr>
        <w:t xml:space="preserve">  沙氏葡萄糖琼脂（</w:t>
      </w:r>
      <w:r>
        <w:rPr>
          <w:rFonts w:ascii="Times New Roman" w:hAnsi="Times New Roman"/>
          <w:szCs w:val="21"/>
        </w:rPr>
        <w:t>SDA</w:t>
      </w:r>
      <w:r>
        <w:rPr>
          <w:rFonts w:hint="eastAsia" w:ascii="Times New Roman" w:hAnsi="Times New Roman"/>
          <w:szCs w:val="21"/>
        </w:rPr>
        <w:t>）培养基</w:t>
      </w:r>
    </w:p>
    <w:p w14:paraId="6E51D591">
      <w:pPr>
        <w:spacing w:line="300" w:lineRule="auto"/>
        <w:ind w:firstLine="420" w:firstLineChars="200"/>
        <w:rPr>
          <w:rFonts w:ascii="Times New Roman" w:hAnsi="Times New Roman"/>
          <w:szCs w:val="21"/>
        </w:rPr>
      </w:pPr>
      <w:r>
        <w:rPr>
          <w:rFonts w:hint="eastAsia" w:ascii="Times New Roman" w:hAnsi="Times New Roman"/>
          <w:szCs w:val="21"/>
        </w:rPr>
        <w:t xml:space="preserve">成分：牛肉蛋白胨                             </w:t>
      </w:r>
      <w:r>
        <w:rPr>
          <w:rFonts w:ascii="Times New Roman" w:hAnsi="Times New Roman"/>
          <w:szCs w:val="21"/>
        </w:rPr>
        <w:t xml:space="preserve">5.0 </w:t>
      </w:r>
      <w:r>
        <w:rPr>
          <w:rFonts w:hint="eastAsia" w:ascii="Times New Roman" w:hAnsi="Times New Roman"/>
          <w:szCs w:val="21"/>
        </w:rPr>
        <w:t>g</w:t>
      </w:r>
    </w:p>
    <w:p w14:paraId="16F25A66">
      <w:pPr>
        <w:spacing w:line="300" w:lineRule="auto"/>
        <w:ind w:firstLine="1050" w:firstLineChars="500"/>
        <w:rPr>
          <w:rFonts w:ascii="Times New Roman" w:hAnsi="Times New Roman"/>
          <w:szCs w:val="21"/>
        </w:rPr>
      </w:pPr>
      <w:r>
        <w:rPr>
          <w:rFonts w:hint="eastAsia" w:ascii="Times New Roman" w:hAnsi="Times New Roman"/>
          <w:szCs w:val="21"/>
        </w:rPr>
        <w:t>酪蛋白胨</w:t>
      </w:r>
      <w:r>
        <w:rPr>
          <w:rFonts w:ascii="Times New Roman" w:hAnsi="Times New Roman"/>
          <w:szCs w:val="21"/>
        </w:rPr>
        <w:t xml:space="preserve">                         </w:t>
      </w:r>
      <w:r>
        <w:rPr>
          <w:rFonts w:hint="eastAsia" w:ascii="Times New Roman" w:hAnsi="Times New Roman"/>
          <w:szCs w:val="21"/>
        </w:rPr>
        <w:t xml:space="preserve">   </w:t>
      </w:r>
      <w:r>
        <w:rPr>
          <w:rFonts w:ascii="Times New Roman" w:hAnsi="Times New Roman"/>
          <w:szCs w:val="21"/>
        </w:rPr>
        <w:t xml:space="preserve">   5.0 g</w:t>
      </w:r>
    </w:p>
    <w:p w14:paraId="4B3727D2">
      <w:pPr>
        <w:spacing w:line="300" w:lineRule="auto"/>
        <w:ind w:firstLine="1050" w:firstLineChars="500"/>
        <w:rPr>
          <w:rFonts w:ascii="Times New Roman" w:hAnsi="Times New Roman"/>
          <w:szCs w:val="21"/>
        </w:rPr>
      </w:pPr>
      <w:r>
        <w:rPr>
          <w:rFonts w:hint="eastAsia" w:ascii="Times New Roman" w:hAnsi="Times New Roman"/>
          <w:szCs w:val="21"/>
        </w:rPr>
        <w:t xml:space="preserve">葡萄糖                                </w:t>
      </w:r>
      <w:r>
        <w:rPr>
          <w:rFonts w:ascii="Times New Roman" w:hAnsi="Times New Roman"/>
          <w:szCs w:val="21"/>
        </w:rPr>
        <w:t>40.0</w:t>
      </w:r>
      <w:r>
        <w:rPr>
          <w:rFonts w:hint="eastAsia" w:ascii="Times New Roman" w:hAnsi="Times New Roman"/>
          <w:szCs w:val="21"/>
        </w:rPr>
        <w:t xml:space="preserve"> g</w:t>
      </w:r>
    </w:p>
    <w:p w14:paraId="1B320681">
      <w:pPr>
        <w:spacing w:line="300" w:lineRule="auto"/>
        <w:ind w:firstLine="1050" w:firstLineChars="500"/>
        <w:rPr>
          <w:rFonts w:ascii="Times New Roman" w:hAnsi="Times New Roman"/>
          <w:szCs w:val="21"/>
        </w:rPr>
      </w:pPr>
      <w:r>
        <w:rPr>
          <w:rFonts w:hint="eastAsia" w:ascii="Times New Roman" w:hAnsi="Times New Roman"/>
          <w:szCs w:val="21"/>
        </w:rPr>
        <w:t xml:space="preserve">琼脂                                 </w:t>
      </w:r>
      <w:r>
        <w:rPr>
          <w:rFonts w:ascii="Times New Roman" w:hAnsi="Times New Roman"/>
          <w:szCs w:val="21"/>
        </w:rPr>
        <w:t xml:space="preserve"> 15.0</w:t>
      </w:r>
      <w:r>
        <w:rPr>
          <w:rFonts w:hint="eastAsia" w:ascii="Times New Roman" w:hAnsi="Times New Roman"/>
          <w:szCs w:val="21"/>
        </w:rPr>
        <w:t xml:space="preserve"> g</w:t>
      </w:r>
    </w:p>
    <w:p w14:paraId="7F65FE42">
      <w:pPr>
        <w:spacing w:line="300" w:lineRule="auto"/>
        <w:ind w:firstLine="1050" w:firstLineChars="500"/>
        <w:rPr>
          <w:rFonts w:ascii="Times New Roman" w:hAnsi="Times New Roman"/>
          <w:szCs w:val="21"/>
        </w:rPr>
      </w:pPr>
      <w:r>
        <w:rPr>
          <w:rFonts w:hint="eastAsia" w:ascii="Times New Roman" w:hAnsi="Times New Roman"/>
          <w:szCs w:val="21"/>
        </w:rPr>
        <w:t>蒸馏水                              1000 mL</w:t>
      </w:r>
    </w:p>
    <w:p w14:paraId="3310BA6C">
      <w:pPr>
        <w:spacing w:line="300" w:lineRule="auto"/>
        <w:ind w:firstLine="420" w:firstLineChars="200"/>
        <w:rPr>
          <w:rFonts w:ascii="Times New Roman" w:hAnsi="Times New Roman"/>
          <w:szCs w:val="21"/>
        </w:rPr>
      </w:pPr>
      <w:r>
        <w:rPr>
          <w:rFonts w:hint="eastAsia" w:ascii="Times New Roman" w:hAnsi="Times New Roman"/>
          <w:szCs w:val="21"/>
        </w:rPr>
        <w:t>制法：除葡萄糖、琼脂外，取上述成分，混合，微温溶解，调节pH值，加入琼脂，加热</w:t>
      </w:r>
      <w:r>
        <w:rPr>
          <w:rFonts w:ascii="Times New Roman" w:hAnsi="Times New Roman"/>
          <w:szCs w:val="21"/>
        </w:rPr>
        <w:t>融化</w:t>
      </w:r>
      <w:r>
        <w:rPr>
          <w:rFonts w:hint="eastAsia" w:ascii="Times New Roman" w:hAnsi="Times New Roman"/>
          <w:szCs w:val="21"/>
        </w:rPr>
        <w:t>后，再加入葡萄糖，摇匀，分装，</w:t>
      </w:r>
      <w:r>
        <w:rPr>
          <w:rFonts w:ascii="Times New Roman" w:hAnsi="Times New Roman"/>
          <w:szCs w:val="21"/>
        </w:rPr>
        <w:t xml:space="preserve">121 </w:t>
      </w:r>
      <w:r>
        <w:rPr>
          <w:rFonts w:hint="default" w:ascii="Times New Roman" w:hAnsi="Times New Roman" w:cs="Times New Roman"/>
          <w:szCs w:val="21"/>
        </w:rPr>
        <w:t>℃</w:t>
      </w:r>
      <w:r>
        <w:rPr>
          <w:rFonts w:hint="eastAsia" w:ascii="Times New Roman" w:hAnsi="Times New Roman"/>
          <w:szCs w:val="21"/>
        </w:rPr>
        <w:t>高压灭菌</w:t>
      </w:r>
      <w:r>
        <w:rPr>
          <w:rFonts w:ascii="Times New Roman" w:hAnsi="Times New Roman"/>
          <w:szCs w:val="21"/>
        </w:rPr>
        <w:t>15 min</w:t>
      </w:r>
      <w:r>
        <w:rPr>
          <w:rFonts w:hint="eastAsia" w:ascii="Times New Roman" w:hAnsi="Times New Roman"/>
          <w:szCs w:val="21"/>
        </w:rPr>
        <w:t>。</w:t>
      </w:r>
      <w:r>
        <w:rPr>
          <w:rFonts w:hint="eastAsia" w:ascii="Times New Roman" w:hAnsi="Times New Roman"/>
          <w:szCs w:val="21"/>
          <w:lang w:val="en-US" w:eastAsia="zh-CN"/>
        </w:rPr>
        <w:t>培养基pH值应为</w:t>
      </w:r>
      <w:r>
        <w:rPr>
          <w:rFonts w:hint="eastAsia" w:ascii="Times New Roman" w:hAnsi="Times New Roman"/>
          <w:szCs w:val="21"/>
        </w:rPr>
        <w:t>5.6</w:t>
      </w:r>
      <w:r>
        <w:rPr>
          <w:rFonts w:ascii="Times New Roman" w:hAnsi="Times New Roman"/>
          <w:szCs w:val="21"/>
        </w:rPr>
        <w:t>±</w:t>
      </w:r>
      <w:r>
        <w:rPr>
          <w:rFonts w:hint="eastAsia" w:ascii="Times New Roman" w:hAnsi="Times New Roman"/>
          <w:szCs w:val="21"/>
        </w:rPr>
        <w:t>0.2</w:t>
      </w:r>
      <w:r>
        <w:rPr>
          <w:rFonts w:hint="eastAsia" w:ascii="Times New Roman" w:hAnsi="Times New Roman"/>
          <w:szCs w:val="21"/>
          <w:lang w:eastAsia="zh-CN"/>
        </w:rPr>
        <w:t>。</w:t>
      </w:r>
    </w:p>
    <w:p w14:paraId="4E404DD9">
      <w:pPr>
        <w:spacing w:before="159" w:beforeLines="50" w:after="159" w:afterLines="50" w:line="300" w:lineRule="auto"/>
        <w:rPr>
          <w:rFonts w:ascii="Times New Roman" w:hAnsi="Times New Roman"/>
          <w:szCs w:val="21"/>
        </w:rPr>
      </w:pPr>
      <w:r>
        <w:rPr>
          <w:rFonts w:hint="eastAsia" w:ascii="Times New Roman" w:hAnsi="Times New Roman"/>
          <w:szCs w:val="21"/>
        </w:rPr>
        <w:t>C.4  0.85%生理盐水</w:t>
      </w:r>
    </w:p>
    <w:p w14:paraId="2DF5EDE9">
      <w:pPr>
        <w:spacing w:line="300" w:lineRule="auto"/>
        <w:ind w:firstLine="420" w:firstLineChars="200"/>
        <w:rPr>
          <w:rFonts w:ascii="Times New Roman" w:hAnsi="Times New Roman"/>
          <w:szCs w:val="21"/>
        </w:rPr>
      </w:pPr>
      <w:r>
        <w:rPr>
          <w:rFonts w:hint="eastAsia" w:ascii="Times New Roman" w:hAnsi="Times New Roman"/>
          <w:szCs w:val="21"/>
        </w:rPr>
        <w:t xml:space="preserve">成分：氯化钠 </w:t>
      </w:r>
      <w:r>
        <w:rPr>
          <w:rFonts w:ascii="Times New Roman" w:hAnsi="Times New Roman"/>
          <w:szCs w:val="21"/>
        </w:rPr>
        <w:t xml:space="preserve">                </w:t>
      </w:r>
      <w:r>
        <w:rPr>
          <w:rFonts w:hint="eastAsia" w:ascii="Times New Roman" w:hAnsi="Times New Roman"/>
          <w:szCs w:val="21"/>
        </w:rPr>
        <w:t xml:space="preserve">               8.5 </w:t>
      </w:r>
      <w:r>
        <w:rPr>
          <w:rFonts w:ascii="Times New Roman" w:hAnsi="Times New Roman"/>
          <w:szCs w:val="21"/>
        </w:rPr>
        <w:t>g</w:t>
      </w:r>
    </w:p>
    <w:p w14:paraId="5C7921B7">
      <w:pPr>
        <w:spacing w:line="300" w:lineRule="auto"/>
        <w:ind w:firstLine="1050" w:firstLineChars="500"/>
        <w:rPr>
          <w:rFonts w:ascii="Times New Roman" w:hAnsi="Times New Roman"/>
          <w:szCs w:val="21"/>
        </w:rPr>
      </w:pPr>
      <w:r>
        <w:rPr>
          <w:rFonts w:hint="eastAsia" w:ascii="Times New Roman" w:hAnsi="Times New Roman"/>
          <w:szCs w:val="21"/>
        </w:rPr>
        <w:t>蒸馏水                             1000 mL</w:t>
      </w:r>
    </w:p>
    <w:p w14:paraId="3E223F7F">
      <w:pPr>
        <w:spacing w:line="300" w:lineRule="auto"/>
        <w:ind w:firstLine="420" w:firstLineChars="200"/>
        <w:rPr>
          <w:rFonts w:ascii="Times New Roman" w:hAnsi="Times New Roman"/>
          <w:szCs w:val="21"/>
        </w:rPr>
      </w:pPr>
      <w:r>
        <w:rPr>
          <w:rFonts w:hint="eastAsia" w:ascii="Times New Roman" w:hAnsi="Times New Roman"/>
          <w:szCs w:val="21"/>
        </w:rPr>
        <w:t xml:space="preserve">制法：将上述成分溶解于蒸馏水中，摇匀，分装，121 </w:t>
      </w:r>
      <w:r>
        <w:rPr>
          <w:rFonts w:ascii="Times New Roman" w:hAnsi="Times New Roman"/>
          <w:szCs w:val="21"/>
        </w:rPr>
        <w:t>℃</w:t>
      </w:r>
      <w:r>
        <w:rPr>
          <w:rFonts w:hint="eastAsia" w:ascii="Times New Roman" w:hAnsi="Times New Roman"/>
          <w:szCs w:val="21"/>
        </w:rPr>
        <w:t>高压灭菌15 min。</w:t>
      </w:r>
    </w:p>
    <w:p w14:paraId="5BA429D5">
      <w:pPr>
        <w:spacing w:before="159" w:beforeLines="50" w:after="159" w:afterLines="50" w:line="300" w:lineRule="auto"/>
        <w:rPr>
          <w:rFonts w:ascii="Times New Roman" w:hAnsi="Times New Roman"/>
          <w:szCs w:val="21"/>
        </w:rPr>
      </w:pPr>
      <w:r>
        <w:rPr>
          <w:rFonts w:hint="eastAsia" w:ascii="Times New Roman" w:hAnsi="Times New Roman"/>
          <w:szCs w:val="21"/>
        </w:rPr>
        <w:t>C</w:t>
      </w:r>
      <w:r>
        <w:rPr>
          <w:rFonts w:ascii="Times New Roman" w:hAnsi="Times New Roman"/>
          <w:szCs w:val="21"/>
        </w:rPr>
        <w:t>.5</w:t>
      </w:r>
      <w:r>
        <w:rPr>
          <w:rFonts w:hint="eastAsia" w:ascii="Times New Roman" w:hAnsi="Times New Roman"/>
          <w:szCs w:val="21"/>
        </w:rPr>
        <w:t xml:space="preserve">  灭菌吐温80</w:t>
      </w:r>
    </w:p>
    <w:p w14:paraId="59AE70B6">
      <w:pPr>
        <w:spacing w:line="300" w:lineRule="auto"/>
        <w:ind w:firstLine="420" w:firstLineChars="200"/>
        <w:rPr>
          <w:rFonts w:ascii="Times New Roman" w:hAnsi="Times New Roman"/>
          <w:szCs w:val="21"/>
        </w:rPr>
      </w:pPr>
      <w:r>
        <w:rPr>
          <w:rFonts w:ascii="Times New Roman" w:hAnsi="Times New Roman"/>
          <w:szCs w:val="21"/>
        </w:rPr>
        <w:t>制法：取吐温80 50</w:t>
      </w:r>
      <w:r>
        <w:rPr>
          <w:rFonts w:hint="eastAsia" w:ascii="Times New Roman" w:hAnsi="Times New Roman"/>
          <w:szCs w:val="21"/>
        </w:rPr>
        <w:t xml:space="preserve"> </w:t>
      </w:r>
      <w:r>
        <w:rPr>
          <w:rFonts w:ascii="Times New Roman" w:hAnsi="Times New Roman"/>
          <w:szCs w:val="21"/>
        </w:rPr>
        <w:t>mL，121</w:t>
      </w:r>
      <w:r>
        <w:rPr>
          <w:rFonts w:hint="eastAsia" w:ascii="Times New Roman" w:hAnsi="Times New Roman"/>
          <w:szCs w:val="21"/>
        </w:rPr>
        <w:t xml:space="preserve"> </w:t>
      </w:r>
      <w:r>
        <w:rPr>
          <w:rFonts w:ascii="Times New Roman" w:hAnsi="Times New Roman"/>
          <w:szCs w:val="21"/>
        </w:rPr>
        <w:t>℃高压灭菌20</w:t>
      </w:r>
      <w:r>
        <w:rPr>
          <w:rFonts w:hint="eastAsia" w:ascii="Times New Roman" w:hAnsi="Times New Roman"/>
          <w:szCs w:val="21"/>
        </w:rPr>
        <w:t xml:space="preserve"> </w:t>
      </w:r>
      <w:r>
        <w:rPr>
          <w:rFonts w:ascii="Times New Roman" w:hAnsi="Times New Roman"/>
          <w:szCs w:val="21"/>
        </w:rPr>
        <w:t>min</w:t>
      </w:r>
      <w:r>
        <w:rPr>
          <w:rFonts w:hint="eastAsia" w:ascii="Times New Roman" w:hAnsi="Times New Roman"/>
          <w:szCs w:val="21"/>
        </w:rPr>
        <w:t>。</w:t>
      </w:r>
    </w:p>
    <w:p w14:paraId="68DE7DF6">
      <w:pPr>
        <w:spacing w:before="159" w:beforeLines="50" w:after="159" w:afterLines="50" w:line="300" w:lineRule="auto"/>
        <w:rPr>
          <w:rFonts w:ascii="Times New Roman" w:hAnsi="Times New Roman"/>
          <w:szCs w:val="21"/>
        </w:rPr>
      </w:pPr>
      <w:r>
        <w:rPr>
          <w:rFonts w:hint="eastAsia" w:ascii="Times New Roman" w:hAnsi="Times New Roman"/>
          <w:szCs w:val="21"/>
        </w:rPr>
        <w:t>C</w:t>
      </w:r>
      <w:r>
        <w:rPr>
          <w:rFonts w:ascii="Times New Roman" w:hAnsi="Times New Roman"/>
          <w:szCs w:val="21"/>
        </w:rPr>
        <w:t>.6</w:t>
      </w:r>
      <w:r>
        <w:rPr>
          <w:rFonts w:hint="eastAsia" w:ascii="Times New Roman" w:hAnsi="Times New Roman"/>
          <w:szCs w:val="21"/>
        </w:rPr>
        <w:t xml:space="preserve">  灭菌液体石蜡</w:t>
      </w:r>
    </w:p>
    <w:p w14:paraId="71E389B8">
      <w:pPr>
        <w:spacing w:line="300" w:lineRule="auto"/>
        <w:ind w:firstLine="420" w:firstLineChars="200"/>
        <w:rPr>
          <w:rFonts w:ascii="Times New Roman" w:hAnsi="Times New Roman"/>
          <w:szCs w:val="21"/>
        </w:rPr>
      </w:pPr>
      <w:r>
        <w:rPr>
          <w:rFonts w:ascii="Times New Roman" w:hAnsi="Times New Roman"/>
          <w:szCs w:val="21"/>
        </w:rPr>
        <w:t>制法：取液体石蜡50</w:t>
      </w:r>
      <w:r>
        <w:rPr>
          <w:rFonts w:hint="eastAsia" w:ascii="Times New Roman" w:hAnsi="Times New Roman"/>
          <w:szCs w:val="21"/>
        </w:rPr>
        <w:t xml:space="preserve"> </w:t>
      </w:r>
      <w:r>
        <w:rPr>
          <w:rFonts w:ascii="Times New Roman" w:hAnsi="Times New Roman"/>
          <w:szCs w:val="21"/>
        </w:rPr>
        <w:t>mL，121</w:t>
      </w:r>
      <w:r>
        <w:rPr>
          <w:rFonts w:hint="eastAsia" w:ascii="Times New Roman" w:hAnsi="Times New Roman"/>
          <w:szCs w:val="21"/>
        </w:rPr>
        <w:t xml:space="preserve"> </w:t>
      </w:r>
      <w:r>
        <w:rPr>
          <w:rFonts w:ascii="Times New Roman" w:hAnsi="Times New Roman"/>
          <w:szCs w:val="21"/>
        </w:rPr>
        <w:t>℃高压灭菌20</w:t>
      </w:r>
      <w:r>
        <w:rPr>
          <w:rFonts w:hint="eastAsia" w:ascii="Times New Roman" w:hAnsi="Times New Roman"/>
          <w:szCs w:val="21"/>
        </w:rPr>
        <w:t xml:space="preserve"> </w:t>
      </w:r>
      <w:r>
        <w:rPr>
          <w:rFonts w:ascii="Times New Roman" w:hAnsi="Times New Roman"/>
          <w:szCs w:val="21"/>
        </w:rPr>
        <w:t>min。</w:t>
      </w:r>
    </w:p>
    <w:bookmarkEnd w:id="159"/>
    <w:bookmarkEnd w:id="160"/>
    <w:p w14:paraId="45E74E71">
      <w:pPr>
        <w:spacing w:line="300" w:lineRule="auto"/>
        <w:ind w:firstLine="420" w:firstLineChars="200"/>
        <w:rPr>
          <w:rFonts w:ascii="Times New Roman" w:hAnsi="Times New Roman"/>
          <w:szCs w:val="21"/>
        </w:rPr>
      </w:pPr>
      <w:bookmarkStart w:id="161" w:name="OLE_LINK534"/>
      <w:bookmarkStart w:id="162" w:name="OLE_LINK533"/>
      <w:r>
        <w:rPr>
          <w:rFonts w:ascii="Times New Roman" w:hAnsi="Times New Roman"/>
        </w:rPr>
        <w:br w:type="page"/>
      </w:r>
      <w:bookmarkEnd w:id="161"/>
      <w:bookmarkEnd w:id="162"/>
      <w:bookmarkStart w:id="163" w:name="OLE_LINK535"/>
      <w:bookmarkStart w:id="164" w:name="OLE_LINK498"/>
    </w:p>
    <w:bookmarkEnd w:id="163"/>
    <w:bookmarkEnd w:id="164"/>
    <w:p w14:paraId="0B38985F">
      <w:pPr>
        <w:spacing w:before="159" w:beforeLines="50" w:after="159" w:afterLines="50" w:line="300" w:lineRule="auto"/>
        <w:jc w:val="center"/>
        <w:rPr>
          <w:rFonts w:ascii="黑体" w:hAnsi="黑体" w:eastAsia="黑体" w:cs="黑体"/>
          <w:szCs w:val="21"/>
        </w:rPr>
      </w:pPr>
      <w:bookmarkStart w:id="165" w:name="OLE_LINK225"/>
      <w:bookmarkStart w:id="166" w:name="OLE_LINK195"/>
      <w:r>
        <w:rPr>
          <w:rFonts w:ascii="黑体" w:hAnsi="黑体" w:eastAsia="黑体" w:cs="黑体"/>
          <w:szCs w:val="21"/>
        </w:rPr>
        <w:t>附录</w:t>
      </w:r>
      <w:r>
        <w:rPr>
          <w:rFonts w:ascii="Times New Roman" w:hAnsi="Times New Roman" w:eastAsia="黑体"/>
          <w:szCs w:val="21"/>
        </w:rPr>
        <w:t>D</w:t>
      </w:r>
    </w:p>
    <w:p w14:paraId="7EB94968">
      <w:pPr>
        <w:spacing w:before="159" w:beforeLines="50" w:after="159" w:afterLines="50" w:line="300" w:lineRule="auto"/>
        <w:jc w:val="center"/>
        <w:rPr>
          <w:rFonts w:ascii="黑体" w:hAnsi="黑体" w:eastAsia="黑体" w:cs="黑体"/>
          <w:szCs w:val="21"/>
        </w:rPr>
      </w:pPr>
      <w:r>
        <w:rPr>
          <w:rFonts w:ascii="黑体" w:hAnsi="黑体" w:eastAsia="黑体" w:cs="黑体"/>
          <w:szCs w:val="21"/>
        </w:rPr>
        <w:t>（规范性附录）</w:t>
      </w:r>
    </w:p>
    <w:p w14:paraId="037F49ED">
      <w:pPr>
        <w:spacing w:before="159" w:beforeLines="50" w:after="159" w:afterLines="50" w:line="300" w:lineRule="auto"/>
        <w:jc w:val="center"/>
        <w:rPr>
          <w:rFonts w:ascii="黑体" w:hAnsi="黑体" w:eastAsia="黑体" w:cs="黑体"/>
          <w:szCs w:val="21"/>
        </w:rPr>
      </w:pPr>
      <w:r>
        <w:rPr>
          <w:rFonts w:ascii="黑体" w:hAnsi="黑体" w:eastAsia="黑体" w:cs="黑体"/>
          <w:szCs w:val="21"/>
        </w:rPr>
        <w:t>化妆品微生物检验用</w:t>
      </w:r>
      <w:bookmarkStart w:id="167" w:name="OLE_LINK210"/>
      <w:bookmarkStart w:id="168" w:name="OLE_LINK209"/>
      <w:bookmarkStart w:id="169" w:name="OLE_LINK211"/>
      <w:r>
        <w:rPr>
          <w:rFonts w:ascii="黑体" w:hAnsi="黑体" w:eastAsia="黑体" w:cs="黑体"/>
          <w:szCs w:val="21"/>
        </w:rPr>
        <w:t>培养基和试剂</w:t>
      </w:r>
      <w:bookmarkEnd w:id="167"/>
      <w:bookmarkEnd w:id="168"/>
      <w:bookmarkEnd w:id="169"/>
      <w:r>
        <w:rPr>
          <w:rFonts w:ascii="黑体" w:hAnsi="黑体" w:eastAsia="黑体" w:cs="黑体"/>
          <w:szCs w:val="21"/>
        </w:rPr>
        <w:t>质量要求</w:t>
      </w:r>
    </w:p>
    <w:bookmarkEnd w:id="165"/>
    <w:bookmarkEnd w:id="166"/>
    <w:p w14:paraId="7D1E4827">
      <w:pPr>
        <w:spacing w:line="300" w:lineRule="auto"/>
        <w:ind w:firstLine="420" w:firstLineChars="200"/>
        <w:rPr>
          <w:rFonts w:ascii="Times New Roman" w:hAnsi="Times New Roman"/>
          <w:szCs w:val="21"/>
        </w:rPr>
      </w:pPr>
      <w:bookmarkStart w:id="170" w:name="OLE_LINK504"/>
      <w:bookmarkStart w:id="171" w:name="OLE_LINK503"/>
      <w:bookmarkStart w:id="172" w:name="OLE_LINK537"/>
      <w:bookmarkStart w:id="173" w:name="OLE_LINK536"/>
      <w:r>
        <w:rPr>
          <w:rFonts w:ascii="Times New Roman" w:hAnsi="Times New Roman"/>
          <w:szCs w:val="21"/>
        </w:rPr>
        <w:t>化妆品微生物检验用培养基</w:t>
      </w:r>
      <w:r>
        <w:rPr>
          <w:rFonts w:hint="eastAsia" w:ascii="Times New Roman" w:hAnsi="Times New Roman"/>
          <w:szCs w:val="21"/>
        </w:rPr>
        <w:t>（实验室自配或商业即用培养基）</w:t>
      </w:r>
      <w:r>
        <w:rPr>
          <w:rFonts w:ascii="Times New Roman" w:hAnsi="Times New Roman"/>
          <w:szCs w:val="21"/>
        </w:rPr>
        <w:t>的质量评价项目包括促生长能力、抑制能力及生化特性，各培养基的检验项目见表</w:t>
      </w:r>
      <w:r>
        <w:rPr>
          <w:rFonts w:hint="eastAsia" w:ascii="Times New Roman" w:hAnsi="Times New Roman"/>
          <w:szCs w:val="21"/>
        </w:rPr>
        <w:t>D.1</w:t>
      </w:r>
      <w:r>
        <w:rPr>
          <w:rFonts w:ascii="Times New Roman" w:hAnsi="Times New Roman"/>
          <w:szCs w:val="21"/>
        </w:rPr>
        <w:t>~</w:t>
      </w:r>
      <w:r>
        <w:rPr>
          <w:rFonts w:hint="eastAsia" w:ascii="Times New Roman" w:hAnsi="Times New Roman"/>
          <w:szCs w:val="21"/>
        </w:rPr>
        <w:t>D.</w:t>
      </w:r>
      <w:r>
        <w:rPr>
          <w:rFonts w:ascii="Times New Roman" w:hAnsi="Times New Roman"/>
          <w:szCs w:val="21"/>
        </w:rPr>
        <w:t>4，表中所列</w:t>
      </w:r>
      <w:r>
        <w:rPr>
          <w:rFonts w:hint="eastAsia" w:ascii="Times New Roman" w:hAnsi="Times New Roman"/>
          <w:szCs w:val="21"/>
        </w:rPr>
        <w:t>标准菌株</w:t>
      </w:r>
      <w:r>
        <w:rPr>
          <w:rFonts w:ascii="Times New Roman" w:hAnsi="Times New Roman"/>
          <w:szCs w:val="21"/>
        </w:rPr>
        <w:t>均为推荐用测试菌种，</w:t>
      </w:r>
      <w:bookmarkStart w:id="174" w:name="OLE_LINK216"/>
      <w:bookmarkStart w:id="175" w:name="OLE_LINK215"/>
      <w:r>
        <w:rPr>
          <w:rFonts w:ascii="Times New Roman" w:hAnsi="Times New Roman"/>
          <w:szCs w:val="21"/>
        </w:rPr>
        <w:t>实验室可使用国际同类标准中推荐的标准菌株开展</w:t>
      </w:r>
      <w:r>
        <w:rPr>
          <w:rFonts w:hint="eastAsia" w:ascii="Times New Roman" w:hAnsi="Times New Roman"/>
          <w:szCs w:val="21"/>
        </w:rPr>
        <w:t>培养基和试剂的质量评价</w:t>
      </w:r>
      <w:bookmarkEnd w:id="174"/>
      <w:bookmarkEnd w:id="175"/>
      <w:r>
        <w:rPr>
          <w:rFonts w:hint="eastAsia" w:ascii="Times New Roman" w:hAnsi="Times New Roman"/>
          <w:szCs w:val="21"/>
        </w:rPr>
        <w:t>。</w:t>
      </w:r>
    </w:p>
    <w:p w14:paraId="7E28E5F6">
      <w:pPr>
        <w:spacing w:line="300" w:lineRule="auto"/>
        <w:ind w:firstLine="420" w:firstLineChars="200"/>
        <w:rPr>
          <w:rFonts w:ascii="Times New Roman" w:hAnsi="Times New Roman"/>
          <w:szCs w:val="21"/>
        </w:rPr>
      </w:pPr>
      <w:r>
        <w:rPr>
          <w:rFonts w:ascii="Times New Roman" w:hAnsi="Times New Roman"/>
          <w:szCs w:val="21"/>
        </w:rPr>
        <w:t>实验室应针对每批次使用的培养基开展质量控制和评价工作。若生产商能提供由具备相应检验能力且取得国家相关认证认可资质的检验机构出具的同批次产品检验报告，实验室可保留相关证明文件，并根据实际需求对该批次培养基的质量予以评估。对于表</w:t>
      </w:r>
      <w:r>
        <w:rPr>
          <w:rFonts w:hint="eastAsia" w:ascii="Times New Roman" w:hAnsi="Times New Roman"/>
          <w:szCs w:val="21"/>
        </w:rPr>
        <w:t>D.</w:t>
      </w:r>
      <w:r>
        <w:rPr>
          <w:rFonts w:ascii="Times New Roman" w:hAnsi="Times New Roman"/>
          <w:szCs w:val="21"/>
        </w:rPr>
        <w:t>2~</w:t>
      </w:r>
      <w:r>
        <w:rPr>
          <w:rFonts w:hint="eastAsia" w:ascii="Times New Roman" w:hAnsi="Times New Roman"/>
          <w:szCs w:val="21"/>
        </w:rPr>
        <w:t>D.</w:t>
      </w:r>
      <w:r>
        <w:rPr>
          <w:rFonts w:ascii="Times New Roman" w:hAnsi="Times New Roman"/>
          <w:szCs w:val="21"/>
        </w:rPr>
        <w:t>4中未包含的培养基和试剂，实验室可根据其性能，参考表</w:t>
      </w:r>
      <w:r>
        <w:rPr>
          <w:rFonts w:hint="eastAsia" w:ascii="Times New Roman" w:hAnsi="Times New Roman"/>
          <w:szCs w:val="21"/>
        </w:rPr>
        <w:t>D.</w:t>
      </w:r>
      <w:r>
        <w:rPr>
          <w:rFonts w:ascii="Times New Roman" w:hAnsi="Times New Roman"/>
          <w:szCs w:val="21"/>
        </w:rPr>
        <w:t>2~</w:t>
      </w:r>
      <w:r>
        <w:rPr>
          <w:rFonts w:hint="eastAsia" w:ascii="Times New Roman" w:hAnsi="Times New Roman"/>
          <w:szCs w:val="21"/>
        </w:rPr>
        <w:t>D.</w:t>
      </w:r>
      <w:r>
        <w:rPr>
          <w:rFonts w:ascii="Times New Roman" w:hAnsi="Times New Roman"/>
          <w:szCs w:val="21"/>
        </w:rPr>
        <w:t>4中建立的方法进行评价。</w:t>
      </w:r>
    </w:p>
    <w:bookmarkEnd w:id="170"/>
    <w:bookmarkEnd w:id="171"/>
    <w:p w14:paraId="3CE70CF4">
      <w:pPr>
        <w:spacing w:before="159" w:beforeLines="50" w:after="159" w:afterLines="50" w:line="300" w:lineRule="auto"/>
        <w:rPr>
          <w:rFonts w:ascii="Times New Roman" w:hAnsi="Times New Roman"/>
          <w:szCs w:val="21"/>
        </w:rPr>
      </w:pPr>
      <w:bookmarkStart w:id="176" w:name="OLE_LINK177"/>
      <w:bookmarkStart w:id="177" w:name="OLE_LINK540"/>
      <w:bookmarkStart w:id="178" w:name="OLE_LINK539"/>
      <w:bookmarkStart w:id="179" w:name="OLE_LINK167"/>
      <w:bookmarkStart w:id="180" w:name="OLE_LINK185"/>
      <w:r>
        <w:rPr>
          <w:rFonts w:hint="eastAsia" w:ascii="Times New Roman" w:hAnsi="Times New Roman"/>
          <w:szCs w:val="21"/>
        </w:rPr>
        <w:t xml:space="preserve">D.1  </w:t>
      </w:r>
      <w:r>
        <w:rPr>
          <w:rFonts w:ascii="Times New Roman" w:hAnsi="Times New Roman"/>
          <w:szCs w:val="21"/>
        </w:rPr>
        <w:t>参比培养基</w:t>
      </w:r>
    </w:p>
    <w:bookmarkEnd w:id="176"/>
    <w:bookmarkEnd w:id="177"/>
    <w:bookmarkEnd w:id="178"/>
    <w:bookmarkEnd w:id="179"/>
    <w:bookmarkEnd w:id="180"/>
    <w:p w14:paraId="3B610B05">
      <w:pPr>
        <w:spacing w:line="300" w:lineRule="auto"/>
        <w:ind w:firstLine="420" w:firstLineChars="200"/>
        <w:rPr>
          <w:rFonts w:ascii="Times New Roman" w:hAnsi="Times New Roman"/>
          <w:szCs w:val="21"/>
        </w:rPr>
      </w:pPr>
      <w:r>
        <w:rPr>
          <w:rFonts w:hint="eastAsia" w:ascii="Times New Roman" w:hAnsi="Times New Roman"/>
          <w:szCs w:val="21"/>
        </w:rPr>
        <w:t>参比培养基系指按培养基配方特别制备、质量优良的培养基，用于培养基的质量控制，以保证化妆品微生物检验用培养基的质量。</w:t>
      </w:r>
    </w:p>
    <w:p w14:paraId="53BDEDBD">
      <w:pPr>
        <w:spacing w:line="300" w:lineRule="auto"/>
        <w:ind w:firstLine="420" w:firstLineChars="200"/>
        <w:rPr>
          <w:rFonts w:ascii="Times New Roman" w:hAnsi="Times New Roman"/>
          <w:szCs w:val="21"/>
        </w:rPr>
      </w:pPr>
      <w:r>
        <w:rPr>
          <w:rFonts w:hint="eastAsia" w:ascii="Times New Roman" w:hAnsi="Times New Roman"/>
          <w:szCs w:val="21"/>
        </w:rPr>
        <w:t>细菌的参比培养基</w:t>
      </w:r>
      <w:r>
        <w:rPr>
          <w:rFonts w:ascii="Times New Roman" w:hAnsi="Times New Roman"/>
          <w:szCs w:val="21"/>
        </w:rPr>
        <w:t>可选用胰酪大豆胨琼脂</w:t>
      </w:r>
      <w:r>
        <w:rPr>
          <w:rFonts w:hint="eastAsia" w:ascii="Times New Roman" w:hAnsi="Times New Roman"/>
          <w:szCs w:val="21"/>
        </w:rPr>
        <w:t>（TSA）</w:t>
      </w:r>
      <w:r>
        <w:rPr>
          <w:rFonts w:ascii="Times New Roman" w:hAnsi="Times New Roman"/>
          <w:szCs w:val="21"/>
        </w:rPr>
        <w:t>培养基，霉菌和酵母菌的参比培养基可选用沙氏葡萄糖琼脂</w:t>
      </w:r>
      <w:r>
        <w:rPr>
          <w:rFonts w:hint="eastAsia" w:ascii="Times New Roman" w:hAnsi="Times New Roman"/>
          <w:szCs w:val="21"/>
        </w:rPr>
        <w:t>（SDA）培养基</w:t>
      </w:r>
      <w:r>
        <w:rPr>
          <w:rFonts w:ascii="Times New Roman" w:hAnsi="Times New Roman"/>
          <w:szCs w:val="21"/>
        </w:rPr>
        <w:t>，参比培养基的质控标准见表D</w:t>
      </w:r>
      <w:r>
        <w:rPr>
          <w:rFonts w:hint="eastAsia" w:ascii="Times New Roman" w:hAnsi="Times New Roman"/>
          <w:szCs w:val="21"/>
        </w:rPr>
        <w:t>.</w:t>
      </w:r>
      <w:r>
        <w:rPr>
          <w:rFonts w:ascii="Times New Roman" w:hAnsi="Times New Roman"/>
          <w:szCs w:val="21"/>
        </w:rPr>
        <w:t>1，参比培养基的具体验证方法可参考</w:t>
      </w:r>
      <w:r>
        <w:rPr>
          <w:rFonts w:hint="eastAsia" w:ascii="Times New Roman" w:hAnsi="Times New Roman"/>
          <w:szCs w:val="21"/>
        </w:rPr>
        <w:t>D.2</w:t>
      </w:r>
      <w:r>
        <w:rPr>
          <w:rFonts w:ascii="Times New Roman" w:hAnsi="Times New Roman"/>
          <w:szCs w:val="21"/>
        </w:rPr>
        <w:t>.1。</w:t>
      </w:r>
    </w:p>
    <w:p w14:paraId="6048E191">
      <w:pPr>
        <w:spacing w:before="159" w:beforeLines="50" w:after="159" w:afterLines="50" w:line="300" w:lineRule="auto"/>
        <w:rPr>
          <w:rFonts w:ascii="Times New Roman" w:hAnsi="Times New Roman"/>
          <w:szCs w:val="21"/>
        </w:rPr>
      </w:pPr>
      <w:r>
        <w:rPr>
          <w:rFonts w:hint="eastAsia" w:ascii="Times New Roman" w:hAnsi="Times New Roman"/>
          <w:szCs w:val="21"/>
        </w:rPr>
        <w:t xml:space="preserve">D.2  </w:t>
      </w:r>
      <w:r>
        <w:rPr>
          <w:rFonts w:ascii="Times New Roman" w:hAnsi="Times New Roman"/>
          <w:szCs w:val="21"/>
        </w:rPr>
        <w:t>培养基的促生长能力</w:t>
      </w:r>
    </w:p>
    <w:p w14:paraId="73DE1478">
      <w:pPr>
        <w:spacing w:line="300" w:lineRule="auto"/>
        <w:rPr>
          <w:rFonts w:ascii="Times New Roman" w:hAnsi="Times New Roman"/>
          <w:szCs w:val="21"/>
        </w:rPr>
      </w:pPr>
      <w:bookmarkStart w:id="181" w:name="OLE_LINK244"/>
      <w:bookmarkStart w:id="182" w:name="OLE_LINK245"/>
      <w:r>
        <w:rPr>
          <w:rFonts w:hint="eastAsia" w:ascii="Times New Roman" w:hAnsi="Times New Roman"/>
          <w:szCs w:val="21"/>
        </w:rPr>
        <w:t>D.2</w:t>
      </w:r>
      <w:r>
        <w:rPr>
          <w:rFonts w:ascii="Times New Roman" w:hAnsi="Times New Roman"/>
          <w:szCs w:val="21"/>
        </w:rPr>
        <w:t>.1</w:t>
      </w:r>
      <w:bookmarkEnd w:id="181"/>
      <w:bookmarkEnd w:id="182"/>
      <w:r>
        <w:rPr>
          <w:rFonts w:ascii="Times New Roman" w:hAnsi="Times New Roman"/>
          <w:szCs w:val="21"/>
        </w:rPr>
        <w:t xml:space="preserve"> </w:t>
      </w:r>
      <w:r>
        <w:rPr>
          <w:rFonts w:hint="eastAsia" w:ascii="Times New Roman" w:hAnsi="Times New Roman"/>
          <w:szCs w:val="21"/>
        </w:rPr>
        <w:t>固体培养基</w:t>
      </w:r>
    </w:p>
    <w:p w14:paraId="21721CD5">
      <w:pPr>
        <w:spacing w:line="300" w:lineRule="auto"/>
        <w:ind w:firstLine="420" w:firstLineChars="200"/>
        <w:rPr>
          <w:rFonts w:ascii="Times New Roman" w:hAnsi="Times New Roman"/>
          <w:szCs w:val="21"/>
        </w:rPr>
      </w:pPr>
      <w:bookmarkStart w:id="183" w:name="OLE_LINK505"/>
      <w:bookmarkStart w:id="184" w:name="OLE_LINK506"/>
      <w:r>
        <w:rPr>
          <w:rFonts w:ascii="Times New Roman" w:hAnsi="Times New Roman"/>
          <w:szCs w:val="21"/>
        </w:rPr>
        <w:t>将表</w:t>
      </w:r>
      <w:r>
        <w:rPr>
          <w:rFonts w:hint="eastAsia" w:ascii="Times New Roman" w:hAnsi="Times New Roman"/>
          <w:szCs w:val="21"/>
        </w:rPr>
        <w:t>D.2</w:t>
      </w:r>
      <w:r>
        <w:rPr>
          <w:rFonts w:ascii="Times New Roman" w:hAnsi="Times New Roman"/>
          <w:szCs w:val="21"/>
        </w:rPr>
        <w:t>中推荐的试验菌株接种到非选择性肉汤（如TSB）培养基中培养过夜</w:t>
      </w:r>
      <w:r>
        <w:rPr>
          <w:rFonts w:hint="eastAsia" w:ascii="Times New Roman" w:hAnsi="Times New Roman"/>
          <w:szCs w:val="21"/>
        </w:rPr>
        <w:t>，</w:t>
      </w:r>
      <w:r>
        <w:rPr>
          <w:rFonts w:ascii="Times New Roman" w:hAnsi="Times New Roman"/>
          <w:szCs w:val="21"/>
        </w:rPr>
        <w:t>或采用其他</w:t>
      </w:r>
      <w:r>
        <w:rPr>
          <w:rFonts w:hint="eastAsia" w:ascii="Times New Roman" w:hAnsi="Times New Roman"/>
          <w:szCs w:val="21"/>
        </w:rPr>
        <w:t>制备</w:t>
      </w:r>
      <w:r>
        <w:rPr>
          <w:rFonts w:ascii="Times New Roman" w:hAnsi="Times New Roman"/>
          <w:szCs w:val="21"/>
        </w:rPr>
        <w:t>方法，制备10倍系列稀释的菌悬液。进行生长率测试时，细菌和酵母菌每平板的接种水平为</w:t>
      </w:r>
      <w:r>
        <w:rPr>
          <w:rFonts w:hint="eastAsia" w:ascii="Times New Roman" w:hAnsi="Times New Roman"/>
          <w:szCs w:val="21"/>
        </w:rPr>
        <w:t>25</w:t>
      </w:r>
      <w:r>
        <w:rPr>
          <w:rFonts w:ascii="Times New Roman" w:hAnsi="Times New Roman"/>
          <w:szCs w:val="21"/>
        </w:rPr>
        <w:t>~250 CFU，霉菌每平板的接种水平为</w:t>
      </w:r>
      <w:r>
        <w:rPr>
          <w:rFonts w:hint="eastAsia" w:ascii="Times New Roman" w:hAnsi="Times New Roman"/>
          <w:szCs w:val="21"/>
        </w:rPr>
        <w:t>15</w:t>
      </w:r>
      <w:r>
        <w:rPr>
          <w:rFonts w:ascii="Times New Roman" w:hAnsi="Times New Roman"/>
          <w:szCs w:val="21"/>
        </w:rPr>
        <w:t xml:space="preserve">~150 </w:t>
      </w:r>
      <w:bookmarkStart w:id="185" w:name="OLE_LINK246"/>
      <w:bookmarkStart w:id="186" w:name="OLE_LINK247"/>
      <w:r>
        <w:rPr>
          <w:rFonts w:ascii="Times New Roman" w:hAnsi="Times New Roman"/>
          <w:szCs w:val="21"/>
        </w:rPr>
        <w:t>CFU</w:t>
      </w:r>
      <w:bookmarkEnd w:id="185"/>
      <w:bookmarkEnd w:id="186"/>
      <w:r>
        <w:rPr>
          <w:rFonts w:ascii="Times New Roman" w:hAnsi="Times New Roman"/>
          <w:szCs w:val="21"/>
        </w:rPr>
        <w:t>。</w:t>
      </w:r>
    </w:p>
    <w:p w14:paraId="3D0E6F04">
      <w:pPr>
        <w:spacing w:line="300" w:lineRule="auto"/>
        <w:ind w:firstLine="420" w:firstLineChars="200"/>
        <w:rPr>
          <w:rFonts w:ascii="Times New Roman" w:hAnsi="Times New Roman"/>
          <w:szCs w:val="21"/>
        </w:rPr>
      </w:pPr>
      <w:bookmarkStart w:id="187" w:name="OLE_LINK186"/>
      <w:bookmarkStart w:id="188" w:name="OLE_LINK187"/>
      <w:r>
        <w:rPr>
          <w:rFonts w:ascii="Times New Roman" w:hAnsi="Times New Roman"/>
          <w:szCs w:val="21"/>
        </w:rPr>
        <w:t>选择适宜稀释度的工作菌悬液0.1 mL，均匀涂布接种于待测培养基平板和参比培养基平板，也可使用螺旋涂布法或倾注法进行接种。每一稀释度接种两个平板，按表</w:t>
      </w:r>
      <w:r>
        <w:rPr>
          <w:rFonts w:hint="eastAsia" w:ascii="Times New Roman" w:hAnsi="Times New Roman"/>
          <w:szCs w:val="21"/>
        </w:rPr>
        <w:t>D.</w:t>
      </w:r>
      <w:r>
        <w:rPr>
          <w:rFonts w:ascii="Times New Roman" w:hAnsi="Times New Roman"/>
          <w:szCs w:val="21"/>
        </w:rPr>
        <w:t>2规定的条件培养。</w:t>
      </w:r>
    </w:p>
    <w:bookmarkEnd w:id="187"/>
    <w:bookmarkEnd w:id="188"/>
    <w:p w14:paraId="3406BC88">
      <w:pPr>
        <w:spacing w:line="300" w:lineRule="auto"/>
        <w:ind w:firstLine="420" w:firstLineChars="200"/>
        <w:rPr>
          <w:rFonts w:ascii="Times New Roman" w:hAnsi="Times New Roman"/>
          <w:szCs w:val="21"/>
        </w:rPr>
      </w:pPr>
      <w:bookmarkStart w:id="189" w:name="OLE_LINK507"/>
      <w:bookmarkStart w:id="190" w:name="OLE_LINK508"/>
      <w:r>
        <w:rPr>
          <w:rFonts w:ascii="Times New Roman" w:hAnsi="Times New Roman"/>
          <w:szCs w:val="21"/>
        </w:rPr>
        <w:t>参考菌落总数的要求，选择菌落数适中的平板进行计数，将两块平板的平均值按下列式（1）计算生长率。每种培养基的生长率</w:t>
      </w:r>
      <w:r>
        <w:rPr>
          <w:rFonts w:hint="eastAsia" w:ascii="Times New Roman" w:hAnsi="Times New Roman"/>
          <w:szCs w:val="21"/>
        </w:rPr>
        <w:t>要求参考表D.2</w:t>
      </w:r>
      <w:r>
        <w:rPr>
          <w:rFonts w:ascii="Times New Roman" w:hAnsi="Times New Roman"/>
          <w:szCs w:val="21"/>
        </w:rPr>
        <w:t>。</w:t>
      </w:r>
    </w:p>
    <w:bookmarkEnd w:id="183"/>
    <w:bookmarkEnd w:id="184"/>
    <w:bookmarkEnd w:id="189"/>
    <w:bookmarkEnd w:id="190"/>
    <w:p w14:paraId="2C5CFB0B">
      <w:pPr>
        <w:autoSpaceDE w:val="0"/>
        <w:autoSpaceDN w:val="0"/>
        <w:spacing w:after="160" w:line="300" w:lineRule="auto"/>
        <w:jc w:val="right"/>
        <w:rPr>
          <w:rFonts w:ascii="Times New Roman" w:hAnsi="Times New Roman" w:eastAsia="Times New Roman"/>
          <w:iCs/>
          <w:color w:val="000000"/>
        </w:rPr>
      </w:pPr>
      <w:r>
        <w:rPr>
          <w:rFonts w:ascii="Times New Roman" w:hAnsi="Times New Roman" w:eastAsia="Times New Roman"/>
          <w:i/>
          <w:iCs/>
          <w:color w:val="000000"/>
        </w:rPr>
        <w:t>P</w:t>
      </w:r>
      <w:r>
        <w:rPr>
          <w:rFonts w:ascii="Times New Roman" w:hAnsi="Times New Roman" w:eastAsia="Times New Roman"/>
          <w:color w:val="000000"/>
          <w:vertAlign w:val="subscript"/>
        </w:rPr>
        <w:t>R</w:t>
      </w:r>
      <w:r>
        <w:rPr>
          <w:rFonts w:ascii="Times New Roman" w:hAnsi="Times New Roman" w:eastAsia="Times New Roman"/>
          <w:color w:val="000000"/>
        </w:rPr>
        <w:t>=</w:t>
      </w:r>
      <w:r>
        <w:rPr>
          <w:rFonts w:hint="eastAsia" w:ascii="Times New Roman" w:hAnsi="Times New Roman" w:eastAsia="Times New Roman"/>
          <w:color w:val="000000"/>
          <w:position w:val="-24"/>
        </w:rPr>
        <w:object>
          <v:shape id="_x0000_i1025" o:spt="75" type="#_x0000_t75" style="height:34.4pt;width:22.55pt;" o:ole="t" filled="f" o:preferrelative="t" stroked="f" coordsize="21600,21600">
            <v:path/>
            <v:fill on="f" focussize="0,0"/>
            <v:stroke on="f"/>
            <v:imagedata r:id="rId6" o:title=""/>
            <o:lock v:ext="edit" aspectratio="t"/>
            <w10:wrap type="none"/>
            <w10:anchorlock/>
          </v:shape>
          <o:OLEObject Type="Embed" ProgID="Equation.3" ShapeID="_x0000_i1025" DrawAspect="Content" ObjectID="_1468075725" r:id="rId5">
            <o:LockedField>false</o:LockedField>
          </o:OLEObject>
        </w:object>
      </w:r>
      <w:r>
        <w:rPr>
          <w:rFonts w:hint="eastAsia" w:ascii="Times New Roman" w:hAnsi="Times New Roman" w:eastAsia="Times New Roman"/>
          <w:color w:val="000000"/>
        </w:rPr>
        <w:t>………………………………………（1）</w:t>
      </w:r>
    </w:p>
    <w:p w14:paraId="3C439F87">
      <w:pPr>
        <w:autoSpaceDE w:val="0"/>
        <w:autoSpaceDN w:val="0"/>
        <w:spacing w:line="300" w:lineRule="auto"/>
        <w:ind w:firstLine="420" w:firstLineChars="200"/>
        <w:rPr>
          <w:rFonts w:ascii="Times New Roman" w:hAnsi="Times New Roman"/>
          <w:color w:val="000000"/>
        </w:rPr>
      </w:pPr>
      <w:r>
        <w:rPr>
          <w:rFonts w:hint="eastAsia" w:ascii="宋体" w:hAnsi="宋体"/>
          <w:iCs/>
          <w:color w:val="000000"/>
        </w:rPr>
        <w:t>式中：</w:t>
      </w:r>
      <w:bookmarkStart w:id="191" w:name="OLE_LINK543"/>
      <w:r>
        <w:rPr>
          <w:rFonts w:ascii="Times New Roman" w:hAnsi="Times New Roman"/>
          <w:i/>
          <w:iCs/>
          <w:color w:val="000000"/>
        </w:rPr>
        <w:t>P</w:t>
      </w:r>
      <w:r>
        <w:rPr>
          <w:rFonts w:ascii="Times New Roman" w:hAnsi="Times New Roman"/>
          <w:color w:val="000000"/>
          <w:vertAlign w:val="subscript"/>
        </w:rPr>
        <w:t>R</w:t>
      </w:r>
      <w:r>
        <w:rPr>
          <w:rFonts w:ascii="Times New Roman" w:hAnsi="Times New Roman"/>
          <w:color w:val="000000"/>
        </w:rPr>
        <w:t>——生长率；</w:t>
      </w:r>
    </w:p>
    <w:p w14:paraId="2A630CD0">
      <w:pPr>
        <w:autoSpaceDE w:val="0"/>
        <w:autoSpaceDN w:val="0"/>
        <w:spacing w:line="300" w:lineRule="auto"/>
        <w:ind w:firstLine="1050" w:firstLineChars="500"/>
        <w:rPr>
          <w:rFonts w:ascii="Times New Roman" w:hAnsi="Times New Roman"/>
          <w:color w:val="000000"/>
        </w:rPr>
      </w:pPr>
      <w:r>
        <w:rPr>
          <w:rFonts w:ascii="Times New Roman" w:hAnsi="Times New Roman"/>
          <w:i/>
          <w:iCs/>
          <w:color w:val="000000"/>
        </w:rPr>
        <w:t>N</w:t>
      </w:r>
      <w:r>
        <w:rPr>
          <w:rFonts w:ascii="Times New Roman" w:hAnsi="Times New Roman"/>
          <w:color w:val="000000"/>
          <w:vertAlign w:val="subscript"/>
        </w:rPr>
        <w:t>S</w:t>
      </w:r>
      <w:r>
        <w:rPr>
          <w:rFonts w:ascii="Times New Roman" w:hAnsi="Times New Roman"/>
          <w:color w:val="000000"/>
        </w:rPr>
        <w:t>——待测培养基平板上的菌落总数平均值；</w:t>
      </w:r>
    </w:p>
    <w:p w14:paraId="156D2883">
      <w:pPr>
        <w:autoSpaceDE w:val="0"/>
        <w:autoSpaceDN w:val="0"/>
        <w:spacing w:line="300" w:lineRule="auto"/>
        <w:ind w:firstLine="1050" w:firstLineChars="500"/>
        <w:rPr>
          <w:rFonts w:ascii="Times New Roman" w:hAnsi="Times New Roman"/>
          <w:color w:val="000000"/>
        </w:rPr>
      </w:pPr>
      <w:r>
        <w:rPr>
          <w:rFonts w:ascii="Times New Roman" w:hAnsi="Times New Roman"/>
          <w:i/>
          <w:iCs/>
          <w:color w:val="000000"/>
        </w:rPr>
        <w:t>N</w:t>
      </w:r>
      <w:r>
        <w:rPr>
          <w:rFonts w:ascii="Times New Roman" w:hAnsi="Times New Roman"/>
          <w:color w:val="000000"/>
          <w:vertAlign w:val="subscript"/>
        </w:rPr>
        <w:t>O</w:t>
      </w:r>
      <w:r>
        <w:rPr>
          <w:rFonts w:ascii="Times New Roman" w:hAnsi="Times New Roman"/>
          <w:color w:val="000000"/>
        </w:rPr>
        <w:t>——参比培养基平板上的菌落总数平均值。</w:t>
      </w:r>
    </w:p>
    <w:bookmarkEnd w:id="191"/>
    <w:p w14:paraId="52691FF0">
      <w:pPr>
        <w:pStyle w:val="3"/>
        <w:spacing w:after="0" w:line="300" w:lineRule="auto"/>
        <w:ind w:left="0" w:leftChars="0" w:firstLine="0" w:firstLineChars="0"/>
      </w:pPr>
      <w:r>
        <w:rPr>
          <w:rFonts w:hint="eastAsia"/>
        </w:rPr>
        <w:t>D.2.2 液体培养基</w:t>
      </w:r>
    </w:p>
    <w:p w14:paraId="4C3994C2">
      <w:pPr>
        <w:pStyle w:val="3"/>
        <w:spacing w:after="0" w:line="300" w:lineRule="auto"/>
        <w:ind w:left="0" w:leftChars="0" w:firstLine="437"/>
      </w:pPr>
      <w:r>
        <w:rPr>
          <w:rFonts w:hint="eastAsia"/>
        </w:rPr>
        <w:t>将</w:t>
      </w:r>
      <w:r>
        <w:t>表D</w:t>
      </w:r>
      <w:r>
        <w:rPr>
          <w:rFonts w:hint="eastAsia"/>
        </w:rPr>
        <w:t>.3</w:t>
      </w:r>
      <w:r>
        <w:t>中的试验菌株接种到非选择性肉汤（如TSB）培养基中培养过夜</w:t>
      </w:r>
      <w:r>
        <w:rPr>
          <w:rFonts w:hint="eastAsia"/>
        </w:rPr>
        <w:t>，</w:t>
      </w:r>
      <w:r>
        <w:t>或采用其他</w:t>
      </w:r>
      <w:r>
        <w:rPr>
          <w:rFonts w:hint="eastAsia"/>
        </w:rPr>
        <w:t>制备</w:t>
      </w:r>
      <w:r>
        <w:t>方法，制备10倍系列稀释的菌悬液。</w:t>
      </w:r>
    </w:p>
    <w:p w14:paraId="3401F3AA">
      <w:pPr>
        <w:pStyle w:val="3"/>
        <w:spacing w:after="0" w:line="300" w:lineRule="auto"/>
        <w:ind w:left="0" w:leftChars="0" w:firstLine="437"/>
      </w:pPr>
      <w:r>
        <w:rPr>
          <w:color w:val="000000"/>
        </w:rPr>
        <w:t>在装有</w:t>
      </w:r>
      <w:r>
        <w:rPr>
          <w:rFonts w:hint="eastAsia"/>
          <w:color w:val="000000"/>
        </w:rPr>
        <w:t>10 mL</w:t>
      </w:r>
      <w:r>
        <w:rPr>
          <w:color w:val="000000"/>
        </w:rPr>
        <w:t>待测培养基的试管中接种10</w:t>
      </w:r>
      <w:r>
        <w:rPr>
          <w:rFonts w:hint="eastAsia"/>
          <w:color w:val="000000"/>
        </w:rPr>
        <w:t>~</w:t>
      </w:r>
      <w:r>
        <w:rPr>
          <w:color w:val="000000"/>
        </w:rPr>
        <w:t>100 CFU的目标菌，</w:t>
      </w:r>
      <w:r>
        <w:rPr>
          <w:rFonts w:hint="eastAsia"/>
          <w:color w:val="000000"/>
        </w:rPr>
        <w:t>接种体积不超过1mL</w:t>
      </w:r>
      <w:r>
        <w:rPr>
          <w:color w:val="000000"/>
        </w:rPr>
        <w:t>，同时接种两个平行管，混匀。按标准规定的培养时间和温度进行培养。将</w:t>
      </w:r>
      <w:r>
        <w:rPr>
          <w:rFonts w:hint="eastAsia"/>
          <w:color w:val="000000"/>
        </w:rPr>
        <w:t>相同体积的目标菌悬液（</w:t>
      </w:r>
      <w:r>
        <w:rPr>
          <w:color w:val="000000"/>
        </w:rPr>
        <w:t>与试管接种同一稀释度</w:t>
      </w:r>
      <w:r>
        <w:rPr>
          <w:rFonts w:hint="eastAsia"/>
          <w:color w:val="000000"/>
        </w:rPr>
        <w:t>）</w:t>
      </w:r>
      <w:r>
        <w:rPr>
          <w:color w:val="000000"/>
        </w:rPr>
        <w:t>倾注平板</w:t>
      </w:r>
      <w:r>
        <w:rPr>
          <w:rFonts w:hint="eastAsia"/>
          <w:color w:val="000000"/>
        </w:rPr>
        <w:t>（或适宜</w:t>
      </w:r>
      <w:r>
        <w:rPr>
          <w:color w:val="000000"/>
        </w:rPr>
        <w:t>稀释度</w:t>
      </w:r>
      <w:r>
        <w:rPr>
          <w:rFonts w:hint="eastAsia"/>
          <w:color w:val="000000"/>
        </w:rPr>
        <w:t>0.1 mL涂布平板）</w:t>
      </w:r>
      <w:r>
        <w:rPr>
          <w:color w:val="000000"/>
        </w:rPr>
        <w:t>，接种两个平板，作接种量计数用。</w:t>
      </w:r>
      <w:r>
        <w:rPr>
          <w:rFonts w:hint="eastAsia"/>
        </w:rPr>
        <w:t>待测培养基经增菌培养，稀释10倍后，取0.1 mL涂布或倾注TSA平板，平板上的菌落数应不少于100 CFU。</w:t>
      </w:r>
    </w:p>
    <w:p w14:paraId="54DA269E">
      <w:pPr>
        <w:spacing w:before="159" w:beforeLines="50" w:after="159" w:afterLines="50" w:line="300" w:lineRule="auto"/>
        <w:rPr>
          <w:rFonts w:ascii="Times New Roman" w:hAnsi="Times New Roman"/>
          <w:szCs w:val="21"/>
        </w:rPr>
      </w:pPr>
      <w:bookmarkStart w:id="192" w:name="OLE_LINK544"/>
      <w:bookmarkStart w:id="193" w:name="OLE_LINK541"/>
      <w:bookmarkStart w:id="194" w:name="OLE_LINK542"/>
      <w:bookmarkStart w:id="195" w:name="OLE_LINK184"/>
      <w:bookmarkStart w:id="196" w:name="OLE_LINK181"/>
      <w:r>
        <w:rPr>
          <w:rFonts w:hint="eastAsia" w:ascii="Times New Roman" w:hAnsi="Times New Roman"/>
          <w:szCs w:val="21"/>
        </w:rPr>
        <w:t xml:space="preserve">D.3  </w:t>
      </w:r>
      <w:r>
        <w:rPr>
          <w:rFonts w:ascii="Times New Roman" w:hAnsi="Times New Roman"/>
          <w:szCs w:val="21"/>
        </w:rPr>
        <w:t>培养基的抑制能力</w:t>
      </w:r>
    </w:p>
    <w:bookmarkEnd w:id="192"/>
    <w:bookmarkEnd w:id="193"/>
    <w:bookmarkEnd w:id="194"/>
    <w:p w14:paraId="25585288">
      <w:pPr>
        <w:spacing w:line="300" w:lineRule="auto"/>
        <w:rPr>
          <w:rFonts w:ascii="Times New Roman" w:hAnsi="Times New Roman"/>
          <w:szCs w:val="21"/>
        </w:rPr>
      </w:pPr>
      <w:bookmarkStart w:id="197" w:name="OLE_LINK175"/>
      <w:bookmarkStart w:id="198" w:name="OLE_LINK176"/>
      <w:r>
        <w:rPr>
          <w:rFonts w:hint="eastAsia" w:ascii="Times New Roman" w:hAnsi="Times New Roman"/>
          <w:szCs w:val="21"/>
        </w:rPr>
        <w:t>D.3</w:t>
      </w:r>
      <w:r>
        <w:rPr>
          <w:rFonts w:ascii="Times New Roman" w:hAnsi="Times New Roman"/>
          <w:szCs w:val="21"/>
        </w:rPr>
        <w:t xml:space="preserve">.1 </w:t>
      </w:r>
      <w:r>
        <w:rPr>
          <w:rFonts w:hint="eastAsia" w:ascii="Times New Roman" w:hAnsi="Times New Roman"/>
          <w:szCs w:val="21"/>
        </w:rPr>
        <w:t>选择性固体培养基</w:t>
      </w:r>
    </w:p>
    <w:bookmarkEnd w:id="195"/>
    <w:bookmarkEnd w:id="196"/>
    <w:bookmarkEnd w:id="197"/>
    <w:bookmarkEnd w:id="198"/>
    <w:p w14:paraId="30896BC4">
      <w:pPr>
        <w:pStyle w:val="3"/>
        <w:spacing w:line="300" w:lineRule="auto"/>
        <w:ind w:left="0" w:leftChars="0" w:firstLine="437"/>
        <w:rPr>
          <w:color w:val="000000"/>
        </w:rPr>
      </w:pPr>
      <w:r>
        <w:rPr>
          <w:rFonts w:hint="eastAsia"/>
        </w:rPr>
        <w:t>将表D.2</w:t>
      </w:r>
      <w:r>
        <w:t>中推荐的试验菌株接种到非选择性肉汤（如TSB）培养基中培养过夜</w:t>
      </w:r>
      <w:r>
        <w:rPr>
          <w:rFonts w:hint="eastAsia"/>
        </w:rPr>
        <w:t>，</w:t>
      </w:r>
      <w:r>
        <w:t>或采用其他</w:t>
      </w:r>
      <w:r>
        <w:rPr>
          <w:rFonts w:hint="eastAsia"/>
        </w:rPr>
        <w:t>制备</w:t>
      </w:r>
      <w:r>
        <w:t>方法。</w:t>
      </w:r>
      <w:r>
        <w:rPr>
          <w:color w:val="000000"/>
        </w:rPr>
        <w:t>用1</w:t>
      </w:r>
      <w:r>
        <w:rPr>
          <w:rFonts w:hint="eastAsia"/>
          <w:color w:val="000000"/>
        </w:rPr>
        <w:t xml:space="preserve"> </w:t>
      </w:r>
      <w:r>
        <w:rPr>
          <w:color w:val="000000"/>
        </w:rPr>
        <w:t>μ</w:t>
      </w:r>
      <w:r>
        <w:rPr>
          <w:rFonts w:hint="eastAsia"/>
          <w:color w:val="000000"/>
        </w:rPr>
        <w:t>L</w:t>
      </w:r>
      <w:r>
        <w:rPr>
          <w:color w:val="000000"/>
        </w:rPr>
        <w:t>接种环取工作菌悬液1环，在待测培养基表面划六条平行直线</w:t>
      </w:r>
      <w:r>
        <w:rPr>
          <w:rFonts w:hint="eastAsia"/>
          <w:color w:val="000000"/>
        </w:rPr>
        <w:t>（</w:t>
      </w:r>
      <w:r>
        <w:rPr>
          <w:color w:val="000000"/>
        </w:rPr>
        <w:t>如图</w:t>
      </w:r>
      <w:r>
        <w:rPr>
          <w:rFonts w:hint="eastAsia"/>
          <w:color w:val="000000"/>
        </w:rPr>
        <w:t>D.1）</w:t>
      </w:r>
      <w:r>
        <w:rPr>
          <w:rFonts w:hint="eastAsia"/>
        </w:rPr>
        <w:t>，同时接种两个计数平板，按表D.2指定的条件培养。</w:t>
      </w:r>
      <w:r>
        <w:rPr>
          <w:rFonts w:hint="eastAsia"/>
          <w:color w:val="000000"/>
        </w:rPr>
        <w:t>培养后</w:t>
      </w:r>
      <w:r>
        <w:rPr>
          <w:color w:val="000000"/>
        </w:rPr>
        <w:t>计算</w:t>
      </w:r>
      <w:r>
        <w:rPr>
          <w:rFonts w:hint="eastAsia"/>
          <w:color w:val="000000"/>
        </w:rPr>
        <w:t>培养基</w:t>
      </w:r>
      <w:r>
        <w:rPr>
          <w:color w:val="000000"/>
        </w:rPr>
        <w:t>生长指数G</w:t>
      </w:r>
      <w:r>
        <w:rPr>
          <w:rFonts w:hint="eastAsia"/>
          <w:color w:val="000000"/>
        </w:rPr>
        <w:t>。</w:t>
      </w:r>
      <w:r>
        <w:rPr>
          <w:rFonts w:hint="eastAsia"/>
        </w:rPr>
        <w:t>选择性固体培养基的</w:t>
      </w:r>
      <w:r>
        <w:rPr>
          <w:rFonts w:hint="eastAsia"/>
          <w:color w:val="000000"/>
        </w:rPr>
        <w:t>生长指数G一般小于或等于1，至少应小于5。</w:t>
      </w:r>
    </w:p>
    <w:p w14:paraId="53139554">
      <w:pPr>
        <w:widowControl/>
        <w:autoSpaceDE w:val="0"/>
        <w:autoSpaceDN w:val="0"/>
        <w:spacing w:after="160" w:line="300" w:lineRule="auto"/>
        <w:ind w:firstLine="420"/>
        <w:jc w:val="center"/>
        <w:rPr>
          <w:rFonts w:ascii="Times New Roman" w:hAnsi="Times New Roman"/>
          <w:kern w:val="0"/>
        </w:rPr>
      </w:pPr>
      <w:r>
        <w:rPr>
          <w:rFonts w:ascii="Times New Roman" w:hAnsi="Times New Roman"/>
          <w:kern w:val="0"/>
        </w:rPr>
        <w:drawing>
          <wp:inline distT="0" distB="0" distL="114300" distR="114300">
            <wp:extent cx="1570990" cy="1570990"/>
            <wp:effectExtent l="0" t="0" r="10160" b="10160"/>
            <wp:docPr id="1" name="图片 2" descr="说明: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说明: 123"/>
                    <pic:cNvPicPr>
                      <a:picLocks noChangeAspect="1"/>
                    </pic:cNvPicPr>
                  </pic:nvPicPr>
                  <pic:blipFill>
                    <a:blip r:embed="rId7"/>
                    <a:stretch>
                      <a:fillRect/>
                    </a:stretch>
                  </pic:blipFill>
                  <pic:spPr>
                    <a:xfrm>
                      <a:off x="0" y="0"/>
                      <a:ext cx="1570990" cy="1570990"/>
                    </a:xfrm>
                    <a:prstGeom prst="rect">
                      <a:avLst/>
                    </a:prstGeom>
                    <a:noFill/>
                    <a:ln>
                      <a:noFill/>
                    </a:ln>
                  </pic:spPr>
                </pic:pic>
              </a:graphicData>
            </a:graphic>
          </wp:inline>
        </w:drawing>
      </w:r>
    </w:p>
    <w:p w14:paraId="34316E8F">
      <w:pPr>
        <w:widowControl/>
        <w:autoSpaceDE w:val="0"/>
        <w:autoSpaceDN w:val="0"/>
        <w:spacing w:before="159" w:beforeLines="50" w:after="159" w:afterLines="50" w:line="300" w:lineRule="auto"/>
        <w:ind w:firstLine="420"/>
        <w:jc w:val="center"/>
        <w:rPr>
          <w:rFonts w:ascii="Times New Roman" w:hAnsi="Times New Roman" w:eastAsia="黑体"/>
          <w:kern w:val="0"/>
        </w:rPr>
      </w:pPr>
      <w:r>
        <w:rPr>
          <w:rFonts w:ascii="Times New Roman" w:hAnsi="Times New Roman" w:eastAsia="黑体"/>
          <w:kern w:val="0"/>
        </w:rPr>
        <w:t>图</w:t>
      </w:r>
      <w:r>
        <w:rPr>
          <w:rFonts w:hint="eastAsia" w:ascii="Times New Roman" w:hAnsi="Times New Roman" w:eastAsia="黑体"/>
          <w:kern w:val="0"/>
        </w:rPr>
        <w:t>D.</w:t>
      </w:r>
      <w:r>
        <w:rPr>
          <w:rFonts w:ascii="Times New Roman" w:hAnsi="Times New Roman" w:eastAsia="黑体"/>
          <w:kern w:val="0"/>
        </w:rPr>
        <w:t>1 非目标菌半定量划线法接种模式图</w:t>
      </w:r>
    </w:p>
    <w:p w14:paraId="7B4B9C72">
      <w:pPr>
        <w:pStyle w:val="3"/>
        <w:spacing w:after="0" w:line="300" w:lineRule="auto"/>
        <w:ind w:left="0" w:leftChars="0" w:firstLine="437"/>
      </w:pPr>
      <w:r>
        <w:rPr>
          <w:rFonts w:hint="eastAsia"/>
        </w:rPr>
        <w:t>每条有比较稠密菌落连续生长的划线计为</w:t>
      </w:r>
      <w:r>
        <w:t>1</w:t>
      </w:r>
      <w:r>
        <w:rPr>
          <w:rFonts w:hint="eastAsia"/>
        </w:rPr>
        <w:t>分，每个培养皿上最多为</w:t>
      </w:r>
      <w:r>
        <w:t>6</w:t>
      </w:r>
      <w:r>
        <w:rPr>
          <w:rFonts w:hint="eastAsia"/>
        </w:rPr>
        <w:t>分。如果仅一半的线有稠密菌落生长，则计为</w:t>
      </w:r>
      <w:r>
        <w:t>0.5</w:t>
      </w:r>
      <w:r>
        <w:rPr>
          <w:rFonts w:hint="eastAsia"/>
        </w:rPr>
        <w:t>分。如果划线上没有菌落生长、生长量少于划线的一半或菌落生长微弱，则计为</w:t>
      </w:r>
      <w:r>
        <w:t>0</w:t>
      </w:r>
      <w:r>
        <w:rPr>
          <w:rFonts w:hint="eastAsia"/>
        </w:rPr>
        <w:t>分。记录每个平板的得分总和即为</w:t>
      </w:r>
      <w:r>
        <w:t>G值</w:t>
      </w:r>
      <w:r>
        <w:rPr>
          <w:rFonts w:hint="eastAsia"/>
        </w:rPr>
        <w:t>。</w:t>
      </w:r>
    </w:p>
    <w:p w14:paraId="031BE841">
      <w:pPr>
        <w:spacing w:line="278" w:lineRule="auto"/>
      </w:pPr>
      <w:bookmarkStart w:id="199" w:name="OLE_LINK174"/>
      <w:bookmarkStart w:id="200" w:name="OLE_LINK173"/>
      <w:r>
        <w:rPr>
          <w:rFonts w:ascii="Times New Roman" w:hAnsi="Times New Roman"/>
        </w:rPr>
        <w:t>D.3.2</w:t>
      </w:r>
      <w:r>
        <w:t xml:space="preserve"> </w:t>
      </w:r>
      <w:r>
        <w:rPr>
          <w:rFonts w:hint="eastAsia"/>
        </w:rPr>
        <w:t>选择性液体培养基</w:t>
      </w:r>
    </w:p>
    <w:bookmarkEnd w:id="199"/>
    <w:bookmarkEnd w:id="200"/>
    <w:p w14:paraId="1F73464F">
      <w:pPr>
        <w:pStyle w:val="3"/>
        <w:spacing w:after="0" w:line="300" w:lineRule="auto"/>
        <w:ind w:left="0" w:leftChars="0" w:firstLine="437"/>
      </w:pPr>
      <w:r>
        <w:rPr>
          <w:rFonts w:hint="eastAsia"/>
        </w:rPr>
        <w:t>在装有10 ml待测培养基的试管中接种</w:t>
      </w:r>
      <w:r>
        <w:t>1000</w:t>
      </w:r>
      <w:r>
        <w:rPr>
          <w:rFonts w:hint="eastAsia"/>
        </w:rPr>
        <w:t>~</w:t>
      </w:r>
      <w:r>
        <w:t>5000 CFU的</w:t>
      </w:r>
      <w:r>
        <w:rPr>
          <w:rFonts w:hint="eastAsia"/>
        </w:rPr>
        <w:t>非目标试验</w:t>
      </w:r>
      <w:r>
        <w:t>菌</w:t>
      </w:r>
      <w:r>
        <w:rPr>
          <w:rFonts w:hint="eastAsia"/>
        </w:rPr>
        <w:t>，接种体积不超过1 mL，</w:t>
      </w:r>
      <w:r>
        <w:rPr>
          <w:color w:val="000000"/>
        </w:rPr>
        <w:t>同时接种两个平行管，混匀。</w:t>
      </w:r>
      <w:r>
        <w:t>按标准规定的培养条件培养</w:t>
      </w:r>
      <w:r>
        <w:rPr>
          <w:rFonts w:hint="eastAsia"/>
        </w:rPr>
        <w:t>。将</w:t>
      </w:r>
      <w:r>
        <w:t>培养物稀释10倍后，取0.1</w:t>
      </w:r>
      <w:r>
        <w:rPr>
          <w:rFonts w:hint="eastAsia"/>
        </w:rPr>
        <w:t xml:space="preserve"> </w:t>
      </w:r>
      <w:r>
        <w:t>mL均匀涂布或螺旋涂布接种到TSA</w:t>
      </w:r>
      <w:r>
        <w:rPr>
          <w:rFonts w:hint="eastAsia"/>
        </w:rPr>
        <w:t>平板。培养后，TSA</w:t>
      </w:r>
      <w:r>
        <w:t>平板上的菌落总数应小于100 CFU。</w:t>
      </w:r>
    </w:p>
    <w:p w14:paraId="22A46A61">
      <w:pPr>
        <w:rPr>
          <w:rFonts w:ascii="Times New Roman" w:hAnsi="Times New Roman"/>
          <w:szCs w:val="21"/>
        </w:rPr>
      </w:pPr>
      <w:bookmarkStart w:id="201" w:name="OLE_LINK547"/>
      <w:r>
        <w:rPr>
          <w:rFonts w:hint="eastAsia" w:ascii="Times New Roman" w:hAnsi="Times New Roman"/>
          <w:szCs w:val="21"/>
        </w:rPr>
        <w:t>D.3</w:t>
      </w:r>
      <w:r>
        <w:rPr>
          <w:rFonts w:ascii="Times New Roman" w:hAnsi="Times New Roman"/>
          <w:szCs w:val="21"/>
        </w:rPr>
        <w:t>.3</w:t>
      </w:r>
      <w:r>
        <w:rPr>
          <w:rFonts w:hint="eastAsia" w:ascii="Times New Roman" w:hAnsi="Times New Roman"/>
          <w:szCs w:val="21"/>
        </w:rPr>
        <w:t xml:space="preserve"> </w:t>
      </w:r>
      <w:r>
        <w:rPr>
          <w:rFonts w:ascii="Times New Roman" w:hAnsi="Times New Roman"/>
          <w:szCs w:val="21"/>
        </w:rPr>
        <w:t>鉴定培养基</w:t>
      </w:r>
    </w:p>
    <w:bookmarkEnd w:id="201"/>
    <w:p w14:paraId="0CF3D044">
      <w:pPr>
        <w:pStyle w:val="3"/>
        <w:spacing w:after="0" w:line="300" w:lineRule="auto"/>
        <w:ind w:left="0" w:leftChars="0" w:firstLine="437"/>
      </w:pPr>
      <w:r>
        <w:t>将表</w:t>
      </w:r>
      <w:r>
        <w:rPr>
          <w:rFonts w:hint="eastAsia"/>
        </w:rPr>
        <w:t>D.4</w:t>
      </w:r>
      <w:r>
        <w:t>中推荐的试验菌株接种到非选择性肉汤（如TSB）培养基中培养过夜</w:t>
      </w:r>
      <w:r>
        <w:rPr>
          <w:rFonts w:hint="eastAsia"/>
        </w:rPr>
        <w:t>，</w:t>
      </w:r>
      <w:r>
        <w:t>或采用其他</w:t>
      </w:r>
      <w:r>
        <w:rPr>
          <w:rFonts w:hint="eastAsia"/>
        </w:rPr>
        <w:t>制备</w:t>
      </w:r>
      <w:r>
        <w:t>方法，制备</w:t>
      </w:r>
      <w:r>
        <w:rPr>
          <w:rFonts w:hint="eastAsia"/>
        </w:rPr>
        <w:t>成</w:t>
      </w:r>
      <w:r>
        <w:t>约10</w:t>
      </w:r>
      <w:r>
        <w:rPr>
          <w:rFonts w:hint="eastAsia"/>
          <w:vertAlign w:val="superscript"/>
        </w:rPr>
        <w:t xml:space="preserve">7 </w:t>
      </w:r>
      <w:r>
        <w:t>CFU/mL的菌悬液。吸取0.05 mL</w:t>
      </w:r>
      <w:r>
        <w:rPr>
          <w:rFonts w:hint="eastAsia"/>
        </w:rPr>
        <w:t>（或1滴）</w:t>
      </w:r>
      <w:r>
        <w:t>菌悬液加入待测培养基</w:t>
      </w:r>
      <w:r>
        <w:rPr>
          <w:rFonts w:hint="eastAsia"/>
        </w:rPr>
        <w:t>中</w:t>
      </w:r>
      <w:r>
        <w:t>，按</w:t>
      </w:r>
      <w:r>
        <w:rPr>
          <w:rFonts w:hint="eastAsia"/>
        </w:rPr>
        <w:t>表D.4指</w:t>
      </w:r>
      <w:r>
        <w:t>定的培养时间和温度进行培养。需加指示剂的试验在微生物生长良好的情况下，按顺序加入指示剂，再观察结果，结果解释参照表</w:t>
      </w:r>
      <w:r>
        <w:rPr>
          <w:rFonts w:hint="eastAsia"/>
        </w:rPr>
        <w:t>D.4</w:t>
      </w:r>
      <w:r>
        <w:t>。</w:t>
      </w:r>
    </w:p>
    <w:p w14:paraId="077AD9C4">
      <w:pPr>
        <w:spacing w:before="159" w:beforeLines="50" w:after="159" w:afterLines="50" w:line="300" w:lineRule="auto"/>
        <w:jc w:val="center"/>
        <w:rPr>
          <w:rFonts w:ascii="黑体" w:hAnsi="黑体" w:eastAsia="黑体" w:cs="黑体"/>
          <w:szCs w:val="21"/>
        </w:rPr>
      </w:pPr>
      <w:bookmarkStart w:id="202" w:name="OLE_LINK548"/>
      <w:bookmarkStart w:id="203" w:name="OLE_LINK549"/>
      <w:r>
        <w:rPr>
          <w:rFonts w:ascii="黑体" w:hAnsi="黑体" w:eastAsia="黑体" w:cs="黑体"/>
          <w:szCs w:val="21"/>
        </w:rPr>
        <w:t>表</w:t>
      </w:r>
      <w:r>
        <w:rPr>
          <w:rFonts w:ascii="Times New Roman" w:hAnsi="Times New Roman" w:eastAsia="黑体"/>
          <w:szCs w:val="21"/>
        </w:rPr>
        <w:t>D</w:t>
      </w:r>
      <w:r>
        <w:rPr>
          <w:rFonts w:hint="eastAsia" w:ascii="Times New Roman" w:hAnsi="Times New Roman" w:eastAsia="黑体"/>
          <w:b/>
          <w:bCs/>
          <w:szCs w:val="21"/>
        </w:rPr>
        <w:t>.</w:t>
      </w:r>
      <w:r>
        <w:rPr>
          <w:rFonts w:ascii="Times New Roman" w:hAnsi="Times New Roman" w:eastAsia="黑体"/>
          <w:szCs w:val="21"/>
        </w:rPr>
        <w:t>1</w:t>
      </w:r>
      <w:r>
        <w:rPr>
          <w:rFonts w:ascii="黑体" w:hAnsi="黑体" w:eastAsia="黑体" w:cs="黑体"/>
          <w:szCs w:val="21"/>
        </w:rPr>
        <w:t xml:space="preserve"> 胰酪大豆胨琼脂（</w:t>
      </w:r>
      <w:r>
        <w:rPr>
          <w:rFonts w:ascii="Times New Roman" w:hAnsi="Times New Roman" w:eastAsia="黑体"/>
          <w:szCs w:val="21"/>
        </w:rPr>
        <w:t>TSA</w:t>
      </w:r>
      <w:r>
        <w:rPr>
          <w:rFonts w:ascii="黑体" w:hAnsi="黑体" w:eastAsia="黑体" w:cs="黑体"/>
          <w:szCs w:val="21"/>
        </w:rPr>
        <w:t>）培养基与沙氏葡萄糖琼脂（</w:t>
      </w:r>
      <w:r>
        <w:rPr>
          <w:rFonts w:ascii="Times New Roman" w:hAnsi="Times New Roman" w:eastAsia="黑体"/>
          <w:szCs w:val="21"/>
        </w:rPr>
        <w:t>SDA</w:t>
      </w:r>
      <w:r>
        <w:rPr>
          <w:rFonts w:hint="eastAsia" w:ascii="黑体" w:hAnsi="黑体" w:eastAsia="黑体" w:cs="黑体"/>
          <w:szCs w:val="21"/>
        </w:rPr>
        <w:t>）培养基</w:t>
      </w:r>
    </w:p>
    <w:p w14:paraId="42FCED5D">
      <w:pPr>
        <w:spacing w:before="159" w:beforeLines="50" w:after="159" w:afterLines="50" w:line="300" w:lineRule="auto"/>
        <w:jc w:val="center"/>
        <w:rPr>
          <w:rFonts w:ascii="黑体" w:hAnsi="黑体" w:eastAsia="黑体" w:cs="黑体"/>
          <w:szCs w:val="21"/>
        </w:rPr>
      </w:pPr>
      <w:r>
        <w:rPr>
          <w:rFonts w:ascii="黑体" w:hAnsi="黑体" w:eastAsia="黑体" w:cs="黑体"/>
          <w:szCs w:val="21"/>
        </w:rPr>
        <w:t>参比培养基的质控要求</w:t>
      </w:r>
    </w:p>
    <w:bookmarkEnd w:id="202"/>
    <w:bookmarkEnd w:id="203"/>
    <w:tbl>
      <w:tblPr>
        <w:tblStyle w:val="4"/>
        <w:tblW w:w="8654"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37"/>
        <w:gridCol w:w="2481"/>
        <w:gridCol w:w="2005"/>
        <w:gridCol w:w="2531"/>
      </w:tblGrid>
      <w:tr w14:paraId="41ECA7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blHeader/>
          <w:jc w:val="center"/>
        </w:trPr>
        <w:tc>
          <w:tcPr>
            <w:tcW w:w="1637" w:type="dxa"/>
            <w:tcBorders>
              <w:top w:val="single" w:color="auto" w:sz="4" w:space="0"/>
              <w:bottom w:val="single" w:color="auto" w:sz="4" w:space="0"/>
            </w:tcBorders>
            <w:noWrap w:val="0"/>
            <w:vAlign w:val="center"/>
          </w:tcPr>
          <w:p w14:paraId="580C6A22">
            <w:pPr>
              <w:spacing w:line="300" w:lineRule="auto"/>
              <w:jc w:val="center"/>
              <w:rPr>
                <w:rFonts w:ascii="Times New Roman" w:hAnsi="Times New Roman"/>
                <w:color w:val="000000"/>
                <w:szCs w:val="21"/>
              </w:rPr>
            </w:pPr>
            <w:r>
              <w:rPr>
                <w:rFonts w:ascii="Times New Roman" w:hAnsi="Times New Roman"/>
                <w:color w:val="000000"/>
                <w:szCs w:val="21"/>
              </w:rPr>
              <w:t>培养基名称</w:t>
            </w:r>
          </w:p>
        </w:tc>
        <w:tc>
          <w:tcPr>
            <w:tcW w:w="2481" w:type="dxa"/>
            <w:tcBorders>
              <w:top w:val="single" w:color="auto" w:sz="4" w:space="0"/>
              <w:bottom w:val="single" w:color="auto" w:sz="4" w:space="0"/>
            </w:tcBorders>
            <w:noWrap w:val="0"/>
            <w:vAlign w:val="center"/>
          </w:tcPr>
          <w:p w14:paraId="576513CF">
            <w:pPr>
              <w:spacing w:line="300" w:lineRule="auto"/>
              <w:jc w:val="center"/>
              <w:rPr>
                <w:rFonts w:ascii="Times New Roman" w:hAnsi="Times New Roman"/>
                <w:color w:val="000000"/>
                <w:szCs w:val="21"/>
              </w:rPr>
            </w:pPr>
            <w:bookmarkStart w:id="204" w:name="OLE_LINK212"/>
            <w:bookmarkStart w:id="205" w:name="OLE_LINK214"/>
            <w:bookmarkStart w:id="206" w:name="OLE_LINK213"/>
            <w:r>
              <w:rPr>
                <w:rFonts w:ascii="Times New Roman" w:hAnsi="Times New Roman"/>
                <w:color w:val="000000"/>
                <w:szCs w:val="21"/>
              </w:rPr>
              <w:t>菌株名称</w:t>
            </w:r>
            <w:bookmarkEnd w:id="204"/>
            <w:bookmarkEnd w:id="205"/>
            <w:bookmarkEnd w:id="206"/>
          </w:p>
        </w:tc>
        <w:tc>
          <w:tcPr>
            <w:tcW w:w="2005" w:type="dxa"/>
            <w:tcBorders>
              <w:top w:val="single" w:color="auto" w:sz="4" w:space="0"/>
              <w:bottom w:val="single" w:color="auto" w:sz="4" w:space="0"/>
            </w:tcBorders>
            <w:noWrap w:val="0"/>
            <w:vAlign w:val="center"/>
          </w:tcPr>
          <w:p w14:paraId="0DA1E564">
            <w:pPr>
              <w:spacing w:line="300" w:lineRule="auto"/>
              <w:jc w:val="center"/>
              <w:rPr>
                <w:rFonts w:ascii="Times New Roman" w:hAnsi="Times New Roman"/>
                <w:color w:val="000000"/>
                <w:szCs w:val="21"/>
              </w:rPr>
            </w:pPr>
            <w:r>
              <w:rPr>
                <w:rFonts w:ascii="Times New Roman" w:hAnsi="Times New Roman"/>
                <w:color w:val="000000"/>
                <w:szCs w:val="21"/>
              </w:rPr>
              <w:t>培养温度与培养</w:t>
            </w:r>
          </w:p>
          <w:p w14:paraId="495172F1">
            <w:pPr>
              <w:spacing w:line="300" w:lineRule="auto"/>
              <w:jc w:val="center"/>
              <w:rPr>
                <w:rFonts w:ascii="Times New Roman" w:hAnsi="Times New Roman"/>
                <w:color w:val="000000"/>
                <w:szCs w:val="21"/>
              </w:rPr>
            </w:pPr>
            <w:r>
              <w:rPr>
                <w:rFonts w:ascii="Times New Roman" w:hAnsi="Times New Roman"/>
                <w:color w:val="000000"/>
                <w:szCs w:val="21"/>
              </w:rPr>
              <w:t>时间</w:t>
            </w:r>
          </w:p>
        </w:tc>
        <w:tc>
          <w:tcPr>
            <w:tcW w:w="2531" w:type="dxa"/>
            <w:tcBorders>
              <w:top w:val="single" w:color="auto" w:sz="4" w:space="0"/>
              <w:bottom w:val="single" w:color="auto" w:sz="4" w:space="0"/>
            </w:tcBorders>
            <w:noWrap w:val="0"/>
            <w:vAlign w:val="center"/>
          </w:tcPr>
          <w:p w14:paraId="647430C4">
            <w:pPr>
              <w:spacing w:line="300" w:lineRule="auto"/>
              <w:jc w:val="center"/>
              <w:rPr>
                <w:rFonts w:ascii="Times New Roman" w:hAnsi="Times New Roman"/>
                <w:color w:val="000000"/>
                <w:szCs w:val="21"/>
              </w:rPr>
            </w:pPr>
            <w:r>
              <w:rPr>
                <w:rFonts w:ascii="Times New Roman" w:hAnsi="Times New Roman"/>
                <w:color w:val="000000"/>
                <w:szCs w:val="21"/>
              </w:rPr>
              <w:t>质控评定标准</w:t>
            </w:r>
          </w:p>
        </w:tc>
      </w:tr>
      <w:tr w14:paraId="5796D4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7" w:type="dxa"/>
            <w:vMerge w:val="restart"/>
            <w:tcBorders>
              <w:top w:val="single" w:color="auto" w:sz="4" w:space="0"/>
            </w:tcBorders>
            <w:noWrap w:val="0"/>
            <w:vAlign w:val="center"/>
          </w:tcPr>
          <w:p w14:paraId="0C1C2872">
            <w:pPr>
              <w:spacing w:line="300" w:lineRule="auto"/>
              <w:jc w:val="center"/>
              <w:rPr>
                <w:rFonts w:ascii="Times New Roman" w:hAnsi="Times New Roman"/>
                <w:szCs w:val="21"/>
              </w:rPr>
            </w:pPr>
            <w:r>
              <w:rPr>
                <w:rFonts w:hint="eastAsia" w:ascii="Times New Roman" w:hAnsi="Times New Roman"/>
                <w:szCs w:val="21"/>
              </w:rPr>
              <w:t>胰酪大豆胨琼脂</w:t>
            </w:r>
            <w:r>
              <w:rPr>
                <w:rFonts w:ascii="Times New Roman" w:hAnsi="Times New Roman"/>
                <w:szCs w:val="21"/>
              </w:rPr>
              <w:t>（TSA）</w:t>
            </w:r>
            <w:r>
              <w:rPr>
                <w:rFonts w:hint="eastAsia" w:ascii="Times New Roman" w:hAnsi="Times New Roman"/>
                <w:szCs w:val="21"/>
              </w:rPr>
              <w:t>培养基</w:t>
            </w:r>
          </w:p>
        </w:tc>
        <w:tc>
          <w:tcPr>
            <w:tcW w:w="2481" w:type="dxa"/>
            <w:tcBorders>
              <w:top w:val="single" w:color="auto" w:sz="4" w:space="0"/>
            </w:tcBorders>
            <w:noWrap w:val="0"/>
            <w:vAlign w:val="center"/>
          </w:tcPr>
          <w:p w14:paraId="6D352BCD">
            <w:pPr>
              <w:spacing w:line="300" w:lineRule="auto"/>
              <w:jc w:val="center"/>
              <w:rPr>
                <w:rFonts w:ascii="Times New Roman" w:hAnsi="Times New Roman"/>
                <w:szCs w:val="21"/>
              </w:rPr>
            </w:pPr>
            <w:r>
              <w:rPr>
                <w:rFonts w:ascii="Times New Roman" w:hAnsi="Times New Roman"/>
                <w:szCs w:val="21"/>
              </w:rPr>
              <w:t>大肠埃希氏菌</w:t>
            </w:r>
          </w:p>
          <w:p w14:paraId="018F68AF">
            <w:pPr>
              <w:spacing w:line="300" w:lineRule="auto"/>
              <w:jc w:val="center"/>
              <w:rPr>
                <w:rFonts w:ascii="Times New Roman" w:hAnsi="Times New Roman"/>
                <w:szCs w:val="21"/>
              </w:rPr>
            </w:pPr>
            <w:r>
              <w:rPr>
                <w:rFonts w:ascii="Times New Roman" w:hAnsi="Times New Roman"/>
                <w:szCs w:val="21"/>
              </w:rPr>
              <w:t>CMCC(B)44102</w:t>
            </w:r>
          </w:p>
        </w:tc>
        <w:tc>
          <w:tcPr>
            <w:tcW w:w="2005" w:type="dxa"/>
            <w:tcBorders>
              <w:top w:val="single" w:color="auto" w:sz="4" w:space="0"/>
            </w:tcBorders>
            <w:noWrap w:val="0"/>
            <w:vAlign w:val="center"/>
          </w:tcPr>
          <w:p w14:paraId="2078B0F2">
            <w:pPr>
              <w:spacing w:line="300" w:lineRule="auto"/>
              <w:jc w:val="center"/>
              <w:rPr>
                <w:rFonts w:ascii="Times New Roman" w:hAnsi="Times New Roman"/>
                <w:szCs w:val="21"/>
              </w:rPr>
            </w:pPr>
            <w:r>
              <w:rPr>
                <w:rFonts w:ascii="Times New Roman" w:hAnsi="Times New Roman"/>
                <w:szCs w:val="21"/>
              </w:rPr>
              <w:t>36±1 ℃，24±2 h</w:t>
            </w:r>
          </w:p>
        </w:tc>
        <w:tc>
          <w:tcPr>
            <w:tcW w:w="2531" w:type="dxa"/>
            <w:tcBorders>
              <w:top w:val="single" w:color="auto" w:sz="4" w:space="0"/>
            </w:tcBorders>
            <w:noWrap w:val="0"/>
            <w:vAlign w:val="center"/>
          </w:tcPr>
          <w:p w14:paraId="5EE5B712">
            <w:pPr>
              <w:spacing w:line="300" w:lineRule="auto"/>
              <w:jc w:val="center"/>
              <w:rPr>
                <w:rFonts w:ascii="Times New Roman" w:hAnsi="Times New Roman"/>
                <w:szCs w:val="21"/>
              </w:rPr>
            </w:pPr>
            <w:r>
              <w:rPr>
                <w:rFonts w:ascii="Times New Roman" w:hAnsi="Times New Roman"/>
                <w:szCs w:val="21"/>
              </w:rPr>
              <w:t>生长良好，菌落灰白色，圆形，表面光滑，湿润</w:t>
            </w:r>
          </w:p>
        </w:tc>
      </w:tr>
      <w:tr w14:paraId="066B5B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7" w:type="dxa"/>
            <w:vMerge w:val="continue"/>
            <w:noWrap w:val="0"/>
            <w:vAlign w:val="center"/>
          </w:tcPr>
          <w:p w14:paraId="3234F43F">
            <w:pPr>
              <w:spacing w:line="300" w:lineRule="auto"/>
              <w:jc w:val="center"/>
              <w:rPr>
                <w:rFonts w:ascii="Times New Roman" w:hAnsi="Times New Roman"/>
                <w:szCs w:val="21"/>
              </w:rPr>
            </w:pPr>
          </w:p>
        </w:tc>
        <w:tc>
          <w:tcPr>
            <w:tcW w:w="2481" w:type="dxa"/>
            <w:noWrap w:val="0"/>
            <w:vAlign w:val="center"/>
          </w:tcPr>
          <w:p w14:paraId="77BC9EF1">
            <w:pPr>
              <w:spacing w:line="300" w:lineRule="auto"/>
              <w:jc w:val="center"/>
              <w:rPr>
                <w:rFonts w:ascii="Times New Roman" w:hAnsi="Times New Roman"/>
                <w:szCs w:val="21"/>
              </w:rPr>
            </w:pPr>
            <w:r>
              <w:rPr>
                <w:rFonts w:ascii="Times New Roman" w:hAnsi="Times New Roman"/>
                <w:szCs w:val="21"/>
              </w:rPr>
              <w:t>金黄色葡萄球菌</w:t>
            </w:r>
          </w:p>
          <w:p w14:paraId="423CA89A">
            <w:pPr>
              <w:spacing w:line="300" w:lineRule="auto"/>
              <w:jc w:val="center"/>
              <w:rPr>
                <w:rFonts w:ascii="Times New Roman" w:hAnsi="Times New Roman"/>
                <w:szCs w:val="21"/>
              </w:rPr>
            </w:pPr>
            <w:r>
              <w:rPr>
                <w:rFonts w:ascii="Times New Roman" w:hAnsi="Times New Roman"/>
                <w:szCs w:val="21"/>
              </w:rPr>
              <w:t>CMCC(B)26003</w:t>
            </w:r>
          </w:p>
        </w:tc>
        <w:tc>
          <w:tcPr>
            <w:tcW w:w="2005" w:type="dxa"/>
            <w:noWrap w:val="0"/>
            <w:vAlign w:val="center"/>
          </w:tcPr>
          <w:p w14:paraId="736F2FC6">
            <w:pPr>
              <w:spacing w:line="300" w:lineRule="auto"/>
              <w:jc w:val="center"/>
              <w:rPr>
                <w:rFonts w:ascii="Times New Roman" w:hAnsi="Times New Roman"/>
                <w:szCs w:val="21"/>
              </w:rPr>
            </w:pPr>
            <w:r>
              <w:rPr>
                <w:rFonts w:ascii="Times New Roman" w:hAnsi="Times New Roman"/>
                <w:szCs w:val="21"/>
              </w:rPr>
              <w:t>36±1 ℃，24±2 h</w:t>
            </w:r>
          </w:p>
        </w:tc>
        <w:tc>
          <w:tcPr>
            <w:tcW w:w="2531" w:type="dxa"/>
            <w:noWrap w:val="0"/>
            <w:vAlign w:val="center"/>
          </w:tcPr>
          <w:p w14:paraId="35F51151">
            <w:pPr>
              <w:spacing w:line="300" w:lineRule="auto"/>
              <w:jc w:val="center"/>
              <w:rPr>
                <w:rFonts w:ascii="Times New Roman" w:hAnsi="Times New Roman"/>
                <w:szCs w:val="21"/>
              </w:rPr>
            </w:pPr>
            <w:r>
              <w:rPr>
                <w:rFonts w:ascii="Times New Roman" w:hAnsi="Times New Roman"/>
                <w:szCs w:val="21"/>
              </w:rPr>
              <w:t>生长良好，菌落淡黄色，圆形</w:t>
            </w:r>
          </w:p>
        </w:tc>
      </w:tr>
      <w:tr w14:paraId="180234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7" w:type="dxa"/>
            <w:vMerge w:val="continue"/>
            <w:noWrap w:val="0"/>
            <w:vAlign w:val="center"/>
          </w:tcPr>
          <w:p w14:paraId="2106ED2F">
            <w:pPr>
              <w:spacing w:line="300" w:lineRule="auto"/>
              <w:jc w:val="center"/>
              <w:rPr>
                <w:rFonts w:ascii="Times New Roman" w:hAnsi="Times New Roman"/>
                <w:szCs w:val="21"/>
              </w:rPr>
            </w:pPr>
          </w:p>
        </w:tc>
        <w:tc>
          <w:tcPr>
            <w:tcW w:w="2481" w:type="dxa"/>
            <w:noWrap w:val="0"/>
            <w:vAlign w:val="center"/>
          </w:tcPr>
          <w:p w14:paraId="02C030F3">
            <w:pPr>
              <w:spacing w:line="300" w:lineRule="auto"/>
              <w:jc w:val="center"/>
              <w:rPr>
                <w:rFonts w:ascii="Times New Roman" w:hAnsi="Times New Roman"/>
                <w:szCs w:val="21"/>
              </w:rPr>
            </w:pPr>
            <w:r>
              <w:rPr>
                <w:rFonts w:ascii="Times New Roman" w:hAnsi="Times New Roman"/>
                <w:szCs w:val="21"/>
              </w:rPr>
              <w:t>枯草芽孢杆菌</w:t>
            </w:r>
          </w:p>
          <w:p w14:paraId="7040D744">
            <w:pPr>
              <w:spacing w:line="300" w:lineRule="auto"/>
              <w:jc w:val="center"/>
              <w:rPr>
                <w:rFonts w:ascii="Times New Roman" w:hAnsi="Times New Roman"/>
                <w:szCs w:val="21"/>
              </w:rPr>
            </w:pPr>
            <w:r>
              <w:rPr>
                <w:rFonts w:ascii="Times New Roman" w:hAnsi="Times New Roman"/>
                <w:szCs w:val="21"/>
              </w:rPr>
              <w:t>CMCC(B)63501</w:t>
            </w:r>
          </w:p>
        </w:tc>
        <w:tc>
          <w:tcPr>
            <w:tcW w:w="2005" w:type="dxa"/>
            <w:noWrap w:val="0"/>
            <w:vAlign w:val="center"/>
          </w:tcPr>
          <w:p w14:paraId="223A0458">
            <w:pPr>
              <w:spacing w:line="300" w:lineRule="auto"/>
              <w:jc w:val="center"/>
              <w:rPr>
                <w:rFonts w:ascii="Times New Roman" w:hAnsi="Times New Roman"/>
                <w:szCs w:val="21"/>
              </w:rPr>
            </w:pPr>
            <w:r>
              <w:rPr>
                <w:rFonts w:ascii="Times New Roman" w:hAnsi="Times New Roman"/>
                <w:szCs w:val="21"/>
              </w:rPr>
              <w:t>36±1 ℃，24±2 h</w:t>
            </w:r>
          </w:p>
        </w:tc>
        <w:tc>
          <w:tcPr>
            <w:tcW w:w="2531" w:type="dxa"/>
            <w:noWrap w:val="0"/>
            <w:vAlign w:val="center"/>
          </w:tcPr>
          <w:p w14:paraId="3CC69C70">
            <w:pPr>
              <w:spacing w:line="300" w:lineRule="auto"/>
              <w:jc w:val="center"/>
              <w:rPr>
                <w:rFonts w:ascii="Times New Roman" w:hAnsi="Times New Roman"/>
                <w:szCs w:val="21"/>
              </w:rPr>
            </w:pPr>
            <w:r>
              <w:rPr>
                <w:rFonts w:ascii="Times New Roman" w:hAnsi="Times New Roman"/>
                <w:szCs w:val="21"/>
              </w:rPr>
              <w:t>生长良好，菌落灰白色，圆形，干燥</w:t>
            </w:r>
          </w:p>
        </w:tc>
      </w:tr>
      <w:tr w14:paraId="560A2D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7" w:type="dxa"/>
            <w:vMerge w:val="continue"/>
            <w:noWrap w:val="0"/>
            <w:vAlign w:val="center"/>
          </w:tcPr>
          <w:p w14:paraId="1228841A">
            <w:pPr>
              <w:spacing w:line="300" w:lineRule="auto"/>
              <w:jc w:val="center"/>
              <w:rPr>
                <w:rFonts w:ascii="Times New Roman" w:hAnsi="Times New Roman"/>
                <w:szCs w:val="21"/>
              </w:rPr>
            </w:pPr>
          </w:p>
        </w:tc>
        <w:tc>
          <w:tcPr>
            <w:tcW w:w="2481" w:type="dxa"/>
            <w:noWrap w:val="0"/>
            <w:vAlign w:val="center"/>
          </w:tcPr>
          <w:p w14:paraId="636BD811">
            <w:pPr>
              <w:spacing w:line="300" w:lineRule="auto"/>
              <w:jc w:val="center"/>
              <w:rPr>
                <w:rFonts w:ascii="Times New Roman" w:hAnsi="Times New Roman"/>
                <w:szCs w:val="21"/>
              </w:rPr>
            </w:pPr>
            <w:r>
              <w:rPr>
                <w:rFonts w:ascii="Times New Roman" w:hAnsi="Times New Roman"/>
                <w:szCs w:val="21"/>
              </w:rPr>
              <w:t>白色念珠菌</w:t>
            </w:r>
          </w:p>
          <w:p w14:paraId="30F8B57F">
            <w:pPr>
              <w:spacing w:line="300" w:lineRule="auto"/>
              <w:jc w:val="center"/>
              <w:rPr>
                <w:rFonts w:ascii="Times New Roman" w:hAnsi="Times New Roman"/>
                <w:szCs w:val="21"/>
              </w:rPr>
            </w:pPr>
            <w:r>
              <w:rPr>
                <w:rFonts w:ascii="Times New Roman" w:hAnsi="Times New Roman"/>
                <w:szCs w:val="21"/>
              </w:rPr>
              <w:t>CMCC(F)98001</w:t>
            </w:r>
          </w:p>
        </w:tc>
        <w:tc>
          <w:tcPr>
            <w:tcW w:w="2005" w:type="dxa"/>
            <w:noWrap w:val="0"/>
            <w:vAlign w:val="center"/>
          </w:tcPr>
          <w:p w14:paraId="1D11E638">
            <w:pPr>
              <w:spacing w:line="300" w:lineRule="auto"/>
              <w:jc w:val="center"/>
              <w:rPr>
                <w:rFonts w:ascii="Times New Roman" w:hAnsi="Times New Roman"/>
                <w:szCs w:val="21"/>
              </w:rPr>
            </w:pPr>
            <w:r>
              <w:rPr>
                <w:rFonts w:ascii="Times New Roman" w:hAnsi="Times New Roman"/>
                <w:szCs w:val="21"/>
              </w:rPr>
              <w:t>25±1 ℃，3~5 d</w:t>
            </w:r>
          </w:p>
        </w:tc>
        <w:tc>
          <w:tcPr>
            <w:tcW w:w="2531" w:type="dxa"/>
            <w:noWrap w:val="0"/>
            <w:vAlign w:val="center"/>
          </w:tcPr>
          <w:p w14:paraId="291B6881">
            <w:pPr>
              <w:spacing w:line="300" w:lineRule="auto"/>
              <w:jc w:val="center"/>
              <w:rPr>
                <w:rFonts w:ascii="Times New Roman" w:hAnsi="Times New Roman"/>
                <w:szCs w:val="21"/>
              </w:rPr>
            </w:pPr>
            <w:r>
              <w:rPr>
                <w:rFonts w:ascii="Times New Roman" w:hAnsi="Times New Roman"/>
                <w:szCs w:val="21"/>
              </w:rPr>
              <w:t>生长良好，菌落白色，圆形，表面光滑，湿润</w:t>
            </w:r>
          </w:p>
        </w:tc>
      </w:tr>
      <w:tr w14:paraId="6A060A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7" w:type="dxa"/>
            <w:vMerge w:val="continue"/>
            <w:noWrap w:val="0"/>
            <w:vAlign w:val="center"/>
          </w:tcPr>
          <w:p w14:paraId="00A0FB4B">
            <w:pPr>
              <w:spacing w:line="300" w:lineRule="auto"/>
              <w:jc w:val="center"/>
              <w:rPr>
                <w:rFonts w:ascii="Times New Roman" w:hAnsi="Times New Roman"/>
                <w:szCs w:val="21"/>
              </w:rPr>
            </w:pPr>
          </w:p>
        </w:tc>
        <w:tc>
          <w:tcPr>
            <w:tcW w:w="2481" w:type="dxa"/>
            <w:noWrap w:val="0"/>
            <w:vAlign w:val="center"/>
          </w:tcPr>
          <w:p w14:paraId="2D616F9E">
            <w:pPr>
              <w:spacing w:line="300" w:lineRule="auto"/>
              <w:jc w:val="center"/>
              <w:rPr>
                <w:rFonts w:ascii="Times New Roman" w:hAnsi="Times New Roman"/>
                <w:szCs w:val="21"/>
              </w:rPr>
            </w:pPr>
            <w:r>
              <w:rPr>
                <w:rFonts w:ascii="Times New Roman" w:hAnsi="Times New Roman"/>
                <w:szCs w:val="21"/>
              </w:rPr>
              <w:t>黑曲霉</w:t>
            </w:r>
          </w:p>
          <w:p w14:paraId="071A9840">
            <w:pPr>
              <w:spacing w:line="300" w:lineRule="auto"/>
              <w:jc w:val="center"/>
              <w:rPr>
                <w:rFonts w:ascii="Times New Roman" w:hAnsi="Times New Roman"/>
                <w:szCs w:val="21"/>
              </w:rPr>
            </w:pPr>
            <w:r>
              <w:rPr>
                <w:rFonts w:ascii="Times New Roman" w:hAnsi="Times New Roman"/>
                <w:szCs w:val="21"/>
              </w:rPr>
              <w:t>CMCC(F)98003</w:t>
            </w:r>
          </w:p>
        </w:tc>
        <w:tc>
          <w:tcPr>
            <w:tcW w:w="2005" w:type="dxa"/>
            <w:noWrap w:val="0"/>
            <w:vAlign w:val="center"/>
          </w:tcPr>
          <w:p w14:paraId="7741E306">
            <w:pPr>
              <w:spacing w:line="300" w:lineRule="auto"/>
              <w:jc w:val="center"/>
              <w:rPr>
                <w:rFonts w:ascii="Times New Roman" w:hAnsi="Times New Roman"/>
                <w:szCs w:val="21"/>
              </w:rPr>
            </w:pPr>
            <w:r>
              <w:rPr>
                <w:rFonts w:ascii="Times New Roman" w:hAnsi="Times New Roman"/>
                <w:szCs w:val="21"/>
              </w:rPr>
              <w:t>25±1 ℃，3~5 d</w:t>
            </w:r>
          </w:p>
        </w:tc>
        <w:tc>
          <w:tcPr>
            <w:tcW w:w="2531" w:type="dxa"/>
            <w:noWrap w:val="0"/>
            <w:vAlign w:val="center"/>
          </w:tcPr>
          <w:p w14:paraId="36C7C094">
            <w:pPr>
              <w:spacing w:line="300" w:lineRule="auto"/>
              <w:jc w:val="center"/>
              <w:rPr>
                <w:rFonts w:ascii="Times New Roman" w:hAnsi="Times New Roman"/>
                <w:szCs w:val="21"/>
              </w:rPr>
            </w:pPr>
            <w:r>
              <w:rPr>
                <w:rFonts w:ascii="Times New Roman" w:hAnsi="Times New Roman"/>
                <w:szCs w:val="21"/>
              </w:rPr>
              <w:t>生长良好，产黑色孢子</w:t>
            </w:r>
          </w:p>
        </w:tc>
      </w:tr>
      <w:tr w14:paraId="740D2A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7" w:type="dxa"/>
            <w:vMerge w:val="continue"/>
            <w:noWrap w:val="0"/>
            <w:vAlign w:val="center"/>
          </w:tcPr>
          <w:p w14:paraId="3895E12B">
            <w:pPr>
              <w:spacing w:line="300" w:lineRule="auto"/>
              <w:jc w:val="center"/>
              <w:rPr>
                <w:rFonts w:ascii="Times New Roman" w:hAnsi="Times New Roman"/>
                <w:szCs w:val="21"/>
              </w:rPr>
            </w:pPr>
          </w:p>
        </w:tc>
        <w:tc>
          <w:tcPr>
            <w:tcW w:w="2481" w:type="dxa"/>
            <w:noWrap w:val="0"/>
            <w:vAlign w:val="center"/>
          </w:tcPr>
          <w:p w14:paraId="66775D51">
            <w:pPr>
              <w:spacing w:line="300" w:lineRule="auto"/>
              <w:jc w:val="center"/>
              <w:rPr>
                <w:rFonts w:ascii="Times New Roman" w:hAnsi="Times New Roman"/>
                <w:szCs w:val="21"/>
              </w:rPr>
            </w:pPr>
            <w:r>
              <w:rPr>
                <w:rFonts w:hint="eastAsia" w:ascii="Times New Roman" w:hAnsi="Times New Roman"/>
                <w:szCs w:val="21"/>
              </w:rPr>
              <w:t>粪肠球菌</w:t>
            </w:r>
          </w:p>
          <w:p w14:paraId="282703AF">
            <w:pPr>
              <w:spacing w:line="300" w:lineRule="auto"/>
              <w:jc w:val="center"/>
              <w:rPr>
                <w:rFonts w:ascii="Times New Roman" w:hAnsi="Times New Roman"/>
                <w:szCs w:val="21"/>
              </w:rPr>
            </w:pPr>
            <w:r>
              <w:rPr>
                <w:rFonts w:ascii="Times New Roman" w:hAnsi="Times New Roman"/>
                <w:szCs w:val="21"/>
              </w:rPr>
              <w:t>CMCC(B)32480</w:t>
            </w:r>
          </w:p>
        </w:tc>
        <w:tc>
          <w:tcPr>
            <w:tcW w:w="2005" w:type="dxa"/>
            <w:noWrap w:val="0"/>
            <w:vAlign w:val="center"/>
          </w:tcPr>
          <w:p w14:paraId="15B78F73">
            <w:pPr>
              <w:spacing w:line="300" w:lineRule="auto"/>
              <w:jc w:val="center"/>
              <w:rPr>
                <w:rFonts w:ascii="Times New Roman" w:hAnsi="Times New Roman"/>
                <w:szCs w:val="21"/>
              </w:rPr>
            </w:pPr>
            <w:r>
              <w:rPr>
                <w:rFonts w:ascii="Times New Roman" w:hAnsi="Times New Roman"/>
                <w:szCs w:val="21"/>
              </w:rPr>
              <w:t>36±1 ℃，24±2 h</w:t>
            </w:r>
          </w:p>
        </w:tc>
        <w:tc>
          <w:tcPr>
            <w:tcW w:w="2531" w:type="dxa"/>
            <w:noWrap w:val="0"/>
            <w:vAlign w:val="center"/>
          </w:tcPr>
          <w:p w14:paraId="1CEC6241">
            <w:pPr>
              <w:spacing w:line="300" w:lineRule="auto"/>
              <w:jc w:val="center"/>
              <w:rPr>
                <w:rFonts w:ascii="Times New Roman" w:hAnsi="Times New Roman"/>
                <w:szCs w:val="21"/>
              </w:rPr>
            </w:pPr>
            <w:r>
              <w:rPr>
                <w:rFonts w:hint="eastAsia" w:ascii="Times New Roman" w:hAnsi="Times New Roman"/>
                <w:szCs w:val="21"/>
              </w:rPr>
              <w:t>生长良好，菌落白色，圆形</w:t>
            </w:r>
          </w:p>
        </w:tc>
      </w:tr>
      <w:tr w14:paraId="41EF92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7" w:type="dxa"/>
            <w:vMerge w:val="continue"/>
            <w:noWrap w:val="0"/>
            <w:vAlign w:val="center"/>
          </w:tcPr>
          <w:p w14:paraId="415CAE17">
            <w:pPr>
              <w:spacing w:line="300" w:lineRule="auto"/>
              <w:jc w:val="center"/>
              <w:rPr>
                <w:rFonts w:ascii="Times New Roman" w:hAnsi="Times New Roman"/>
                <w:szCs w:val="21"/>
              </w:rPr>
            </w:pPr>
          </w:p>
        </w:tc>
        <w:tc>
          <w:tcPr>
            <w:tcW w:w="2481" w:type="dxa"/>
            <w:noWrap w:val="0"/>
            <w:vAlign w:val="center"/>
          </w:tcPr>
          <w:p w14:paraId="46C8CC68">
            <w:pPr>
              <w:spacing w:line="300" w:lineRule="auto"/>
              <w:jc w:val="center"/>
              <w:rPr>
                <w:rFonts w:ascii="Times New Roman" w:hAnsi="Times New Roman"/>
                <w:szCs w:val="21"/>
              </w:rPr>
            </w:pPr>
            <w:r>
              <w:rPr>
                <w:rFonts w:hint="eastAsia" w:ascii="Times New Roman" w:hAnsi="Times New Roman"/>
                <w:szCs w:val="21"/>
              </w:rPr>
              <w:t>人参土芽孢杆菌</w:t>
            </w:r>
          </w:p>
          <w:p w14:paraId="4AAFEB59">
            <w:pPr>
              <w:spacing w:line="300" w:lineRule="auto"/>
              <w:jc w:val="center"/>
              <w:rPr>
                <w:rFonts w:ascii="Times New Roman" w:hAnsi="Times New Roman"/>
                <w:szCs w:val="21"/>
              </w:rPr>
            </w:pPr>
            <w:r>
              <w:rPr>
                <w:rFonts w:ascii="Times New Roman" w:hAnsi="Times New Roman"/>
                <w:szCs w:val="21"/>
              </w:rPr>
              <w:t>CMCC(B)63612</w:t>
            </w:r>
          </w:p>
        </w:tc>
        <w:tc>
          <w:tcPr>
            <w:tcW w:w="2005" w:type="dxa"/>
            <w:noWrap w:val="0"/>
            <w:vAlign w:val="center"/>
          </w:tcPr>
          <w:p w14:paraId="58D62D2B">
            <w:pPr>
              <w:spacing w:line="300" w:lineRule="auto"/>
              <w:jc w:val="center"/>
              <w:rPr>
                <w:rFonts w:ascii="Times New Roman" w:hAnsi="Times New Roman"/>
                <w:szCs w:val="21"/>
              </w:rPr>
            </w:pPr>
            <w:r>
              <w:rPr>
                <w:rFonts w:ascii="Times New Roman" w:hAnsi="Times New Roman"/>
                <w:szCs w:val="21"/>
              </w:rPr>
              <w:t>36±1 ℃，48±2 h</w:t>
            </w:r>
          </w:p>
        </w:tc>
        <w:tc>
          <w:tcPr>
            <w:tcW w:w="2531" w:type="dxa"/>
            <w:noWrap w:val="0"/>
            <w:vAlign w:val="center"/>
          </w:tcPr>
          <w:p w14:paraId="49FDA36B">
            <w:pPr>
              <w:spacing w:line="300" w:lineRule="auto"/>
              <w:jc w:val="center"/>
              <w:rPr>
                <w:rFonts w:ascii="Times New Roman" w:hAnsi="Times New Roman"/>
                <w:szCs w:val="21"/>
              </w:rPr>
            </w:pPr>
            <w:r>
              <w:rPr>
                <w:rFonts w:hint="eastAsia" w:ascii="Times New Roman" w:hAnsi="Times New Roman"/>
                <w:szCs w:val="21"/>
              </w:rPr>
              <w:t>生长良好，菌落灰白色，圆形</w:t>
            </w:r>
          </w:p>
        </w:tc>
      </w:tr>
      <w:tr w14:paraId="784825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7" w:type="dxa"/>
            <w:vMerge w:val="continue"/>
            <w:noWrap w:val="0"/>
            <w:vAlign w:val="center"/>
          </w:tcPr>
          <w:p w14:paraId="150B8E85">
            <w:pPr>
              <w:spacing w:line="300" w:lineRule="auto"/>
              <w:jc w:val="center"/>
              <w:rPr>
                <w:rFonts w:ascii="Times New Roman" w:hAnsi="Times New Roman"/>
                <w:szCs w:val="21"/>
              </w:rPr>
            </w:pPr>
          </w:p>
        </w:tc>
        <w:tc>
          <w:tcPr>
            <w:tcW w:w="2481" w:type="dxa"/>
            <w:noWrap w:val="0"/>
            <w:vAlign w:val="center"/>
          </w:tcPr>
          <w:p w14:paraId="019FF6F0">
            <w:pPr>
              <w:spacing w:line="300" w:lineRule="auto"/>
              <w:jc w:val="center"/>
              <w:rPr>
                <w:rFonts w:ascii="Times New Roman" w:hAnsi="Times New Roman"/>
                <w:szCs w:val="21"/>
              </w:rPr>
            </w:pPr>
            <w:r>
              <w:rPr>
                <w:rFonts w:hint="eastAsia" w:ascii="Times New Roman" w:hAnsi="Times New Roman"/>
                <w:szCs w:val="21"/>
              </w:rPr>
              <w:t>藤黄微球菌</w:t>
            </w:r>
          </w:p>
          <w:p w14:paraId="36A0D928">
            <w:pPr>
              <w:spacing w:line="300" w:lineRule="auto"/>
              <w:jc w:val="center"/>
              <w:rPr>
                <w:rFonts w:ascii="Times New Roman" w:hAnsi="Times New Roman"/>
                <w:szCs w:val="21"/>
              </w:rPr>
            </w:pPr>
            <w:r>
              <w:rPr>
                <w:rFonts w:ascii="Times New Roman" w:hAnsi="Times New Roman"/>
                <w:szCs w:val="21"/>
              </w:rPr>
              <w:t>CMCC(B)28001</w:t>
            </w:r>
          </w:p>
        </w:tc>
        <w:tc>
          <w:tcPr>
            <w:tcW w:w="2005" w:type="dxa"/>
            <w:noWrap w:val="0"/>
            <w:vAlign w:val="center"/>
          </w:tcPr>
          <w:p w14:paraId="36F4BCEE">
            <w:pPr>
              <w:spacing w:line="300" w:lineRule="auto"/>
              <w:jc w:val="center"/>
              <w:rPr>
                <w:rFonts w:ascii="Times New Roman" w:hAnsi="Times New Roman"/>
                <w:szCs w:val="21"/>
              </w:rPr>
            </w:pPr>
            <w:r>
              <w:rPr>
                <w:rFonts w:ascii="Times New Roman" w:hAnsi="Times New Roman"/>
                <w:szCs w:val="21"/>
              </w:rPr>
              <w:t>36±1 ℃，48±2 h</w:t>
            </w:r>
          </w:p>
        </w:tc>
        <w:tc>
          <w:tcPr>
            <w:tcW w:w="2531" w:type="dxa"/>
            <w:noWrap w:val="0"/>
            <w:vAlign w:val="center"/>
          </w:tcPr>
          <w:p w14:paraId="19FDEEFC">
            <w:pPr>
              <w:spacing w:line="300" w:lineRule="auto"/>
              <w:jc w:val="center"/>
              <w:rPr>
                <w:rFonts w:ascii="Times New Roman" w:hAnsi="Times New Roman"/>
                <w:szCs w:val="21"/>
              </w:rPr>
            </w:pPr>
            <w:r>
              <w:rPr>
                <w:rFonts w:hint="eastAsia" w:ascii="Times New Roman" w:hAnsi="Times New Roman"/>
                <w:szCs w:val="21"/>
              </w:rPr>
              <w:t>生长良好，菌落浅黄色，圆形</w:t>
            </w:r>
          </w:p>
        </w:tc>
      </w:tr>
      <w:tr w14:paraId="657868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7" w:type="dxa"/>
            <w:vMerge w:val="continue"/>
            <w:tcBorders>
              <w:bottom w:val="single" w:color="auto" w:sz="4" w:space="0"/>
            </w:tcBorders>
            <w:noWrap w:val="0"/>
            <w:vAlign w:val="center"/>
          </w:tcPr>
          <w:p w14:paraId="462C2F31">
            <w:pPr>
              <w:spacing w:line="300" w:lineRule="auto"/>
              <w:jc w:val="center"/>
              <w:rPr>
                <w:rFonts w:ascii="Times New Roman" w:hAnsi="Times New Roman"/>
                <w:szCs w:val="21"/>
              </w:rPr>
            </w:pPr>
          </w:p>
        </w:tc>
        <w:tc>
          <w:tcPr>
            <w:tcW w:w="2481" w:type="dxa"/>
            <w:tcBorders>
              <w:bottom w:val="single" w:color="auto" w:sz="4" w:space="0"/>
            </w:tcBorders>
            <w:noWrap w:val="0"/>
            <w:vAlign w:val="center"/>
          </w:tcPr>
          <w:p w14:paraId="1D1C2BD0">
            <w:pPr>
              <w:spacing w:line="300" w:lineRule="auto"/>
              <w:jc w:val="center"/>
              <w:rPr>
                <w:rFonts w:ascii="Times New Roman" w:hAnsi="Times New Roman"/>
                <w:szCs w:val="21"/>
              </w:rPr>
            </w:pPr>
            <w:bookmarkStart w:id="207" w:name="OLE_LINK4"/>
            <w:bookmarkStart w:id="208" w:name="OLE_LINK3"/>
            <w:r>
              <w:rPr>
                <w:rFonts w:hint="eastAsia" w:ascii="Times New Roman" w:hAnsi="Times New Roman"/>
                <w:szCs w:val="21"/>
              </w:rPr>
              <w:t>嗜热嗜脂肪地芽孢杆菌</w:t>
            </w:r>
          </w:p>
          <w:bookmarkEnd w:id="207"/>
          <w:bookmarkEnd w:id="208"/>
          <w:p w14:paraId="1882E0B8">
            <w:pPr>
              <w:spacing w:line="300" w:lineRule="auto"/>
              <w:jc w:val="center"/>
              <w:rPr>
                <w:rFonts w:ascii="Times New Roman" w:hAnsi="Times New Roman"/>
                <w:szCs w:val="21"/>
              </w:rPr>
            </w:pPr>
            <w:r>
              <w:rPr>
                <w:rFonts w:ascii="Times New Roman" w:hAnsi="Times New Roman"/>
                <w:szCs w:val="21"/>
              </w:rPr>
              <w:t>CMCC(B)63509</w:t>
            </w:r>
          </w:p>
        </w:tc>
        <w:tc>
          <w:tcPr>
            <w:tcW w:w="2005" w:type="dxa"/>
            <w:tcBorders>
              <w:bottom w:val="single" w:color="auto" w:sz="4" w:space="0"/>
            </w:tcBorders>
            <w:noWrap w:val="0"/>
            <w:vAlign w:val="center"/>
          </w:tcPr>
          <w:p w14:paraId="04B5F7BC">
            <w:pPr>
              <w:spacing w:line="300" w:lineRule="auto"/>
              <w:jc w:val="center"/>
              <w:rPr>
                <w:rFonts w:ascii="Times New Roman" w:hAnsi="Times New Roman"/>
                <w:szCs w:val="21"/>
              </w:rPr>
            </w:pPr>
            <w:r>
              <w:rPr>
                <w:rFonts w:ascii="Times New Roman" w:hAnsi="Times New Roman"/>
                <w:szCs w:val="21"/>
              </w:rPr>
              <w:t>56±1 ℃，24±2 h</w:t>
            </w:r>
          </w:p>
        </w:tc>
        <w:tc>
          <w:tcPr>
            <w:tcW w:w="2531" w:type="dxa"/>
            <w:tcBorders>
              <w:bottom w:val="single" w:color="auto" w:sz="4" w:space="0"/>
            </w:tcBorders>
            <w:noWrap w:val="0"/>
            <w:vAlign w:val="center"/>
          </w:tcPr>
          <w:p w14:paraId="2B07AAC1">
            <w:pPr>
              <w:spacing w:line="300" w:lineRule="auto"/>
              <w:jc w:val="center"/>
              <w:rPr>
                <w:rFonts w:ascii="Times New Roman" w:hAnsi="Times New Roman"/>
                <w:szCs w:val="21"/>
              </w:rPr>
            </w:pPr>
            <w:r>
              <w:rPr>
                <w:rFonts w:hint="eastAsia" w:ascii="Times New Roman" w:hAnsi="Times New Roman"/>
                <w:szCs w:val="21"/>
              </w:rPr>
              <w:t>生长良好，菌落灰白色，圆形，表面光滑，湿润</w:t>
            </w:r>
          </w:p>
        </w:tc>
      </w:tr>
      <w:tr w14:paraId="186DC8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7" w:type="dxa"/>
            <w:vMerge w:val="restart"/>
            <w:tcBorders>
              <w:top w:val="single" w:color="auto" w:sz="4" w:space="0"/>
              <w:bottom w:val="nil"/>
            </w:tcBorders>
            <w:noWrap w:val="0"/>
            <w:vAlign w:val="center"/>
          </w:tcPr>
          <w:p w14:paraId="78F698C1">
            <w:pPr>
              <w:spacing w:line="300" w:lineRule="auto"/>
              <w:jc w:val="center"/>
              <w:rPr>
                <w:rFonts w:ascii="Times New Roman" w:hAnsi="Times New Roman"/>
                <w:szCs w:val="21"/>
              </w:rPr>
            </w:pPr>
            <w:r>
              <w:rPr>
                <w:rFonts w:ascii="Times New Roman" w:hAnsi="Times New Roman"/>
                <w:szCs w:val="21"/>
              </w:rPr>
              <w:t>沙氏葡萄糖琼脂</w:t>
            </w:r>
            <w:r>
              <w:rPr>
                <w:rFonts w:hint="eastAsia" w:ascii="Times New Roman" w:hAnsi="Times New Roman"/>
                <w:szCs w:val="21"/>
              </w:rPr>
              <w:t>（</w:t>
            </w:r>
            <w:r>
              <w:rPr>
                <w:rFonts w:ascii="Times New Roman" w:hAnsi="Times New Roman"/>
                <w:szCs w:val="21"/>
              </w:rPr>
              <w:t>SDA</w:t>
            </w:r>
            <w:r>
              <w:rPr>
                <w:rFonts w:hint="eastAsia" w:ascii="Times New Roman" w:hAnsi="Times New Roman"/>
                <w:szCs w:val="21"/>
              </w:rPr>
              <w:t>）培养基</w:t>
            </w:r>
          </w:p>
        </w:tc>
        <w:tc>
          <w:tcPr>
            <w:tcW w:w="2481" w:type="dxa"/>
            <w:tcBorders>
              <w:top w:val="single" w:color="auto" w:sz="4" w:space="0"/>
              <w:bottom w:val="nil"/>
            </w:tcBorders>
            <w:noWrap w:val="0"/>
            <w:vAlign w:val="center"/>
          </w:tcPr>
          <w:p w14:paraId="1AEDCDA1">
            <w:pPr>
              <w:spacing w:line="300" w:lineRule="auto"/>
              <w:jc w:val="center"/>
              <w:rPr>
                <w:rFonts w:ascii="Times New Roman" w:hAnsi="Times New Roman"/>
                <w:szCs w:val="21"/>
              </w:rPr>
            </w:pPr>
            <w:r>
              <w:rPr>
                <w:rFonts w:hint="eastAsia" w:ascii="Times New Roman" w:hAnsi="Times New Roman"/>
                <w:szCs w:val="21"/>
              </w:rPr>
              <w:t>黑曲霉</w:t>
            </w:r>
          </w:p>
          <w:p w14:paraId="03046BF8">
            <w:pPr>
              <w:spacing w:line="300" w:lineRule="auto"/>
              <w:jc w:val="center"/>
              <w:rPr>
                <w:rFonts w:ascii="Times New Roman" w:hAnsi="Times New Roman"/>
                <w:szCs w:val="21"/>
              </w:rPr>
            </w:pPr>
            <w:r>
              <w:rPr>
                <w:rFonts w:ascii="Times New Roman" w:hAnsi="Times New Roman"/>
                <w:szCs w:val="21"/>
              </w:rPr>
              <w:t>CMCC(F)98003</w:t>
            </w:r>
          </w:p>
        </w:tc>
        <w:tc>
          <w:tcPr>
            <w:tcW w:w="2005" w:type="dxa"/>
            <w:tcBorders>
              <w:top w:val="single" w:color="auto" w:sz="4" w:space="0"/>
              <w:bottom w:val="nil"/>
            </w:tcBorders>
            <w:noWrap w:val="0"/>
            <w:vAlign w:val="center"/>
          </w:tcPr>
          <w:p w14:paraId="2AA98614">
            <w:pPr>
              <w:spacing w:line="300" w:lineRule="auto"/>
              <w:jc w:val="center"/>
              <w:rPr>
                <w:rFonts w:ascii="Times New Roman" w:hAnsi="Times New Roman"/>
                <w:szCs w:val="21"/>
              </w:rPr>
            </w:pPr>
            <w:r>
              <w:rPr>
                <w:rFonts w:ascii="Times New Roman" w:hAnsi="Times New Roman"/>
                <w:szCs w:val="21"/>
              </w:rPr>
              <w:t>25±1 ℃，3~5 d</w:t>
            </w:r>
          </w:p>
        </w:tc>
        <w:tc>
          <w:tcPr>
            <w:tcW w:w="2531" w:type="dxa"/>
            <w:tcBorders>
              <w:top w:val="single" w:color="auto" w:sz="4" w:space="0"/>
              <w:bottom w:val="nil"/>
            </w:tcBorders>
            <w:noWrap w:val="0"/>
            <w:vAlign w:val="center"/>
          </w:tcPr>
          <w:p w14:paraId="30D2973C">
            <w:pPr>
              <w:spacing w:line="300" w:lineRule="auto"/>
              <w:jc w:val="center"/>
              <w:rPr>
                <w:rFonts w:ascii="Times New Roman" w:hAnsi="Times New Roman"/>
                <w:szCs w:val="21"/>
              </w:rPr>
            </w:pPr>
            <w:r>
              <w:rPr>
                <w:rFonts w:hint="eastAsia" w:ascii="Times New Roman" w:hAnsi="Times New Roman"/>
                <w:szCs w:val="21"/>
              </w:rPr>
              <w:t>生长良好，白色菌丝，黑色孢子</w:t>
            </w:r>
          </w:p>
        </w:tc>
      </w:tr>
      <w:tr w14:paraId="6E4E84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7" w:type="dxa"/>
            <w:vMerge w:val="continue"/>
            <w:tcBorders>
              <w:top w:val="nil"/>
            </w:tcBorders>
            <w:noWrap w:val="0"/>
            <w:vAlign w:val="center"/>
          </w:tcPr>
          <w:p w14:paraId="55C46D4D">
            <w:pPr>
              <w:spacing w:line="300" w:lineRule="auto"/>
              <w:jc w:val="center"/>
              <w:rPr>
                <w:rFonts w:ascii="Times New Roman" w:hAnsi="Times New Roman"/>
                <w:szCs w:val="21"/>
              </w:rPr>
            </w:pPr>
          </w:p>
        </w:tc>
        <w:tc>
          <w:tcPr>
            <w:tcW w:w="2481" w:type="dxa"/>
            <w:tcBorders>
              <w:top w:val="nil"/>
            </w:tcBorders>
            <w:noWrap w:val="0"/>
            <w:vAlign w:val="center"/>
          </w:tcPr>
          <w:p w14:paraId="35B5CCFC">
            <w:pPr>
              <w:spacing w:line="300" w:lineRule="auto"/>
              <w:jc w:val="center"/>
              <w:rPr>
                <w:rFonts w:ascii="Times New Roman" w:hAnsi="Times New Roman"/>
                <w:szCs w:val="21"/>
              </w:rPr>
            </w:pPr>
            <w:r>
              <w:rPr>
                <w:rFonts w:hint="eastAsia" w:ascii="Times New Roman" w:hAnsi="Times New Roman"/>
                <w:szCs w:val="21"/>
              </w:rPr>
              <w:t>白色念珠菌</w:t>
            </w:r>
          </w:p>
          <w:p w14:paraId="2728C46B">
            <w:pPr>
              <w:spacing w:line="300" w:lineRule="auto"/>
              <w:jc w:val="center"/>
              <w:rPr>
                <w:rFonts w:ascii="Times New Roman" w:hAnsi="Times New Roman"/>
                <w:szCs w:val="21"/>
              </w:rPr>
            </w:pPr>
            <w:r>
              <w:rPr>
                <w:rFonts w:ascii="Times New Roman" w:hAnsi="Times New Roman"/>
                <w:szCs w:val="21"/>
              </w:rPr>
              <w:t>CMCC(F)98001</w:t>
            </w:r>
          </w:p>
        </w:tc>
        <w:tc>
          <w:tcPr>
            <w:tcW w:w="2005" w:type="dxa"/>
            <w:tcBorders>
              <w:top w:val="nil"/>
            </w:tcBorders>
            <w:noWrap w:val="0"/>
            <w:vAlign w:val="center"/>
          </w:tcPr>
          <w:p w14:paraId="09A9ACCF">
            <w:pPr>
              <w:spacing w:line="300" w:lineRule="auto"/>
              <w:jc w:val="center"/>
              <w:rPr>
                <w:rFonts w:ascii="Times New Roman" w:hAnsi="Times New Roman"/>
                <w:szCs w:val="21"/>
              </w:rPr>
            </w:pPr>
            <w:r>
              <w:rPr>
                <w:rFonts w:ascii="Times New Roman" w:hAnsi="Times New Roman"/>
                <w:szCs w:val="21"/>
              </w:rPr>
              <w:t>25±1 ℃，3~5 d</w:t>
            </w:r>
          </w:p>
        </w:tc>
        <w:tc>
          <w:tcPr>
            <w:tcW w:w="2531" w:type="dxa"/>
            <w:tcBorders>
              <w:top w:val="nil"/>
            </w:tcBorders>
            <w:noWrap w:val="0"/>
            <w:vAlign w:val="center"/>
          </w:tcPr>
          <w:p w14:paraId="0BA99F48">
            <w:pPr>
              <w:spacing w:line="300" w:lineRule="auto"/>
              <w:jc w:val="center"/>
              <w:rPr>
                <w:rFonts w:ascii="Times New Roman" w:hAnsi="Times New Roman"/>
                <w:szCs w:val="21"/>
              </w:rPr>
            </w:pPr>
            <w:r>
              <w:rPr>
                <w:rFonts w:hint="eastAsia" w:ascii="Times New Roman" w:hAnsi="Times New Roman"/>
                <w:szCs w:val="21"/>
              </w:rPr>
              <w:t>生长良好，白色圆形菌落</w:t>
            </w:r>
          </w:p>
        </w:tc>
      </w:tr>
      <w:tr w14:paraId="28C8F2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7" w:type="dxa"/>
            <w:vMerge w:val="continue"/>
            <w:noWrap w:val="0"/>
            <w:vAlign w:val="center"/>
          </w:tcPr>
          <w:p w14:paraId="209A059E">
            <w:pPr>
              <w:spacing w:line="300" w:lineRule="auto"/>
              <w:jc w:val="center"/>
              <w:rPr>
                <w:rFonts w:ascii="Times New Roman" w:hAnsi="Times New Roman"/>
                <w:szCs w:val="21"/>
              </w:rPr>
            </w:pPr>
          </w:p>
        </w:tc>
        <w:tc>
          <w:tcPr>
            <w:tcW w:w="2481" w:type="dxa"/>
            <w:noWrap w:val="0"/>
            <w:vAlign w:val="center"/>
          </w:tcPr>
          <w:p w14:paraId="7F5829EC">
            <w:pPr>
              <w:spacing w:line="300" w:lineRule="auto"/>
              <w:jc w:val="center"/>
              <w:rPr>
                <w:rFonts w:ascii="Times New Roman" w:hAnsi="Times New Roman"/>
                <w:szCs w:val="21"/>
              </w:rPr>
            </w:pPr>
            <w:r>
              <w:rPr>
                <w:rFonts w:hint="eastAsia" w:ascii="Times New Roman" w:hAnsi="Times New Roman"/>
                <w:szCs w:val="21"/>
              </w:rPr>
              <w:t>酿酒酵母</w:t>
            </w:r>
          </w:p>
          <w:p w14:paraId="3022A570">
            <w:pPr>
              <w:spacing w:line="300" w:lineRule="auto"/>
              <w:jc w:val="center"/>
              <w:rPr>
                <w:rFonts w:ascii="Times New Roman" w:hAnsi="Times New Roman"/>
                <w:szCs w:val="21"/>
              </w:rPr>
            </w:pPr>
            <w:r>
              <w:rPr>
                <w:rFonts w:ascii="Times New Roman" w:hAnsi="Times New Roman"/>
                <w:szCs w:val="21"/>
              </w:rPr>
              <w:t>CMCC(F)98018</w:t>
            </w:r>
          </w:p>
        </w:tc>
        <w:tc>
          <w:tcPr>
            <w:tcW w:w="2005" w:type="dxa"/>
            <w:noWrap w:val="0"/>
            <w:vAlign w:val="center"/>
          </w:tcPr>
          <w:p w14:paraId="5EA7892E">
            <w:pPr>
              <w:spacing w:line="300" w:lineRule="auto"/>
              <w:jc w:val="center"/>
              <w:rPr>
                <w:rFonts w:ascii="Times New Roman" w:hAnsi="Times New Roman"/>
                <w:szCs w:val="21"/>
              </w:rPr>
            </w:pPr>
            <w:r>
              <w:rPr>
                <w:rFonts w:ascii="Times New Roman" w:hAnsi="Times New Roman"/>
                <w:szCs w:val="21"/>
              </w:rPr>
              <w:t>25±1 ℃，3~5 d</w:t>
            </w:r>
          </w:p>
        </w:tc>
        <w:tc>
          <w:tcPr>
            <w:tcW w:w="2531" w:type="dxa"/>
            <w:noWrap w:val="0"/>
            <w:vAlign w:val="center"/>
          </w:tcPr>
          <w:p w14:paraId="4E831E1D">
            <w:pPr>
              <w:spacing w:line="300" w:lineRule="auto"/>
              <w:jc w:val="center"/>
              <w:rPr>
                <w:rFonts w:ascii="Times New Roman" w:hAnsi="Times New Roman"/>
                <w:szCs w:val="21"/>
              </w:rPr>
            </w:pPr>
            <w:r>
              <w:rPr>
                <w:rFonts w:hint="eastAsia" w:ascii="Times New Roman" w:hAnsi="Times New Roman"/>
                <w:szCs w:val="21"/>
              </w:rPr>
              <w:t>生长良好，奶油色圆形菌落</w:t>
            </w:r>
          </w:p>
        </w:tc>
      </w:tr>
      <w:tr w14:paraId="08D4B8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7" w:type="dxa"/>
            <w:vMerge w:val="continue"/>
            <w:noWrap w:val="0"/>
            <w:vAlign w:val="center"/>
          </w:tcPr>
          <w:p w14:paraId="3BB1B2D6">
            <w:pPr>
              <w:spacing w:line="300" w:lineRule="auto"/>
              <w:jc w:val="center"/>
              <w:rPr>
                <w:rFonts w:ascii="Times New Roman" w:hAnsi="Times New Roman"/>
                <w:szCs w:val="21"/>
              </w:rPr>
            </w:pPr>
          </w:p>
        </w:tc>
        <w:tc>
          <w:tcPr>
            <w:tcW w:w="2481" w:type="dxa"/>
            <w:noWrap w:val="0"/>
            <w:vAlign w:val="center"/>
          </w:tcPr>
          <w:p w14:paraId="747F74C4">
            <w:pPr>
              <w:spacing w:line="300" w:lineRule="auto"/>
              <w:jc w:val="center"/>
              <w:rPr>
                <w:rFonts w:ascii="Times New Roman" w:hAnsi="Times New Roman"/>
                <w:szCs w:val="21"/>
              </w:rPr>
            </w:pPr>
            <w:r>
              <w:rPr>
                <w:rFonts w:hint="eastAsia" w:ascii="Times New Roman" w:hAnsi="Times New Roman"/>
                <w:szCs w:val="21"/>
              </w:rPr>
              <w:t>桔青霉</w:t>
            </w:r>
          </w:p>
          <w:p w14:paraId="10C60E9A">
            <w:pPr>
              <w:spacing w:line="300" w:lineRule="auto"/>
              <w:jc w:val="center"/>
              <w:rPr>
                <w:rFonts w:ascii="Times New Roman" w:hAnsi="Times New Roman"/>
                <w:szCs w:val="21"/>
              </w:rPr>
            </w:pPr>
            <w:r>
              <w:rPr>
                <w:rFonts w:ascii="Times New Roman" w:hAnsi="Times New Roman"/>
                <w:szCs w:val="21"/>
              </w:rPr>
              <w:t>CMCC(F)98028</w:t>
            </w:r>
          </w:p>
        </w:tc>
        <w:tc>
          <w:tcPr>
            <w:tcW w:w="2005" w:type="dxa"/>
            <w:noWrap w:val="0"/>
            <w:vAlign w:val="center"/>
          </w:tcPr>
          <w:p w14:paraId="70ADD8A1">
            <w:pPr>
              <w:spacing w:line="300" w:lineRule="auto"/>
              <w:jc w:val="center"/>
              <w:rPr>
                <w:rFonts w:ascii="Times New Roman" w:hAnsi="Times New Roman"/>
                <w:szCs w:val="21"/>
              </w:rPr>
            </w:pPr>
            <w:r>
              <w:rPr>
                <w:rFonts w:ascii="Times New Roman" w:hAnsi="Times New Roman"/>
                <w:szCs w:val="21"/>
              </w:rPr>
              <w:t>25±1 ℃，</w:t>
            </w:r>
            <w:bookmarkStart w:id="209" w:name="OLE_LINK207"/>
            <w:bookmarkStart w:id="210" w:name="OLE_LINK208"/>
            <w:r>
              <w:rPr>
                <w:rFonts w:ascii="Times New Roman" w:hAnsi="Times New Roman"/>
                <w:szCs w:val="21"/>
              </w:rPr>
              <w:t>3~5 d</w:t>
            </w:r>
            <w:bookmarkEnd w:id="209"/>
            <w:bookmarkEnd w:id="210"/>
          </w:p>
        </w:tc>
        <w:tc>
          <w:tcPr>
            <w:tcW w:w="2531" w:type="dxa"/>
            <w:noWrap w:val="0"/>
            <w:vAlign w:val="center"/>
          </w:tcPr>
          <w:p w14:paraId="73A2119E">
            <w:pPr>
              <w:spacing w:line="300" w:lineRule="auto"/>
              <w:jc w:val="center"/>
              <w:rPr>
                <w:rFonts w:ascii="Times New Roman" w:hAnsi="Times New Roman"/>
                <w:szCs w:val="21"/>
              </w:rPr>
            </w:pPr>
            <w:r>
              <w:rPr>
                <w:rFonts w:hint="eastAsia" w:ascii="Times New Roman" w:hAnsi="Times New Roman"/>
                <w:szCs w:val="21"/>
              </w:rPr>
              <w:t>生长良好，白色菌丝，绿色孢子</w:t>
            </w:r>
          </w:p>
        </w:tc>
      </w:tr>
      <w:tr w14:paraId="2B47AB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7" w:type="dxa"/>
            <w:vMerge w:val="continue"/>
            <w:noWrap w:val="0"/>
            <w:vAlign w:val="center"/>
          </w:tcPr>
          <w:p w14:paraId="156D668F">
            <w:pPr>
              <w:spacing w:line="300" w:lineRule="auto"/>
              <w:jc w:val="center"/>
              <w:rPr>
                <w:rFonts w:ascii="Times New Roman" w:hAnsi="Times New Roman"/>
                <w:szCs w:val="21"/>
              </w:rPr>
            </w:pPr>
          </w:p>
        </w:tc>
        <w:tc>
          <w:tcPr>
            <w:tcW w:w="2481" w:type="dxa"/>
            <w:noWrap w:val="0"/>
            <w:vAlign w:val="center"/>
          </w:tcPr>
          <w:p w14:paraId="4654F3FE">
            <w:pPr>
              <w:spacing w:line="300" w:lineRule="auto"/>
              <w:jc w:val="center"/>
              <w:rPr>
                <w:rFonts w:ascii="Times New Roman" w:hAnsi="Times New Roman"/>
                <w:szCs w:val="21"/>
              </w:rPr>
            </w:pPr>
            <w:r>
              <w:rPr>
                <w:rFonts w:hint="eastAsia" w:ascii="Times New Roman" w:hAnsi="Times New Roman"/>
                <w:szCs w:val="21"/>
              </w:rPr>
              <w:t>产黄青霉</w:t>
            </w:r>
          </w:p>
          <w:p w14:paraId="538B69E8">
            <w:pPr>
              <w:spacing w:line="300" w:lineRule="auto"/>
              <w:jc w:val="center"/>
              <w:rPr>
                <w:rFonts w:ascii="Times New Roman" w:hAnsi="Times New Roman"/>
                <w:szCs w:val="21"/>
              </w:rPr>
            </w:pPr>
            <w:r>
              <w:rPr>
                <w:rFonts w:ascii="Times New Roman" w:hAnsi="Times New Roman"/>
                <w:szCs w:val="21"/>
              </w:rPr>
              <w:t>CMCC(F)98801</w:t>
            </w:r>
          </w:p>
        </w:tc>
        <w:tc>
          <w:tcPr>
            <w:tcW w:w="2005" w:type="dxa"/>
            <w:noWrap w:val="0"/>
            <w:vAlign w:val="center"/>
          </w:tcPr>
          <w:p w14:paraId="304E7A48">
            <w:pPr>
              <w:spacing w:line="300" w:lineRule="auto"/>
              <w:jc w:val="center"/>
              <w:rPr>
                <w:rFonts w:ascii="Times New Roman" w:hAnsi="Times New Roman"/>
                <w:szCs w:val="21"/>
              </w:rPr>
            </w:pPr>
            <w:r>
              <w:rPr>
                <w:rFonts w:ascii="Times New Roman" w:hAnsi="Times New Roman"/>
                <w:szCs w:val="21"/>
              </w:rPr>
              <w:t>25±1</w:t>
            </w:r>
            <w:r>
              <w:rPr>
                <w:rFonts w:hint="eastAsia" w:ascii="Times New Roman" w:hAnsi="Times New Roman"/>
                <w:szCs w:val="21"/>
              </w:rPr>
              <w:t xml:space="preserve"> </w:t>
            </w:r>
            <w:r>
              <w:rPr>
                <w:rFonts w:ascii="Times New Roman" w:hAnsi="Times New Roman"/>
                <w:szCs w:val="21"/>
              </w:rPr>
              <w:t>℃</w:t>
            </w:r>
            <w:r>
              <w:rPr>
                <w:rFonts w:hint="eastAsia" w:ascii="Times New Roman" w:hAnsi="Times New Roman"/>
                <w:szCs w:val="21"/>
              </w:rPr>
              <w:t>，</w:t>
            </w:r>
            <w:r>
              <w:rPr>
                <w:rFonts w:ascii="Times New Roman" w:hAnsi="Times New Roman"/>
                <w:kern w:val="0"/>
                <w:szCs w:val="21"/>
              </w:rPr>
              <w:t>3~5</w:t>
            </w:r>
            <w:r>
              <w:rPr>
                <w:rFonts w:hint="eastAsia" w:ascii="Times New Roman" w:hAnsi="Times New Roman"/>
                <w:kern w:val="0"/>
                <w:szCs w:val="21"/>
              </w:rPr>
              <w:t xml:space="preserve"> </w:t>
            </w:r>
            <w:r>
              <w:rPr>
                <w:rFonts w:ascii="Times New Roman" w:hAnsi="Times New Roman"/>
                <w:kern w:val="0"/>
                <w:szCs w:val="21"/>
              </w:rPr>
              <w:t>d</w:t>
            </w:r>
          </w:p>
        </w:tc>
        <w:tc>
          <w:tcPr>
            <w:tcW w:w="2531" w:type="dxa"/>
            <w:noWrap w:val="0"/>
            <w:vAlign w:val="center"/>
          </w:tcPr>
          <w:p w14:paraId="3272B657">
            <w:pPr>
              <w:spacing w:line="300" w:lineRule="auto"/>
              <w:jc w:val="center"/>
              <w:rPr>
                <w:rFonts w:ascii="Times New Roman" w:hAnsi="Times New Roman"/>
                <w:szCs w:val="21"/>
              </w:rPr>
            </w:pPr>
            <w:r>
              <w:rPr>
                <w:rFonts w:hint="eastAsia" w:ascii="Times New Roman" w:hAnsi="Times New Roman"/>
                <w:szCs w:val="21"/>
              </w:rPr>
              <w:t>生长良好，白色菌丝，绿色孢子</w:t>
            </w:r>
          </w:p>
        </w:tc>
      </w:tr>
    </w:tbl>
    <w:p w14:paraId="5DC62766">
      <w:pPr>
        <w:pStyle w:val="3"/>
        <w:spacing w:before="159" w:beforeLines="50" w:after="159" w:afterLines="50" w:line="300" w:lineRule="auto"/>
        <w:ind w:left="0" w:leftChars="0" w:firstLine="0" w:firstLineChars="0"/>
        <w:jc w:val="center"/>
        <w:rPr>
          <w:rFonts w:eastAsia="黑体"/>
          <w:kern w:val="0"/>
          <w:szCs w:val="21"/>
        </w:rPr>
      </w:pPr>
      <w:r>
        <w:rPr>
          <w:rFonts w:eastAsia="黑体"/>
          <w:kern w:val="0"/>
          <w:szCs w:val="21"/>
        </w:rPr>
        <w:t>表D</w:t>
      </w:r>
      <w:r>
        <w:rPr>
          <w:rFonts w:hint="eastAsia" w:eastAsia="黑体"/>
          <w:kern w:val="0"/>
          <w:szCs w:val="21"/>
        </w:rPr>
        <w:t>.</w:t>
      </w:r>
      <w:r>
        <w:rPr>
          <w:rFonts w:eastAsia="黑体"/>
          <w:kern w:val="0"/>
          <w:szCs w:val="21"/>
        </w:rPr>
        <w:t>2 化妆品微生物检验用固体培养基的质量控制要求</w:t>
      </w:r>
    </w:p>
    <w:tbl>
      <w:tblPr>
        <w:tblStyle w:val="4"/>
        <w:tblW w:w="8892"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4"/>
        <w:gridCol w:w="1932"/>
        <w:gridCol w:w="1374"/>
        <w:gridCol w:w="1322"/>
        <w:gridCol w:w="1110"/>
        <w:gridCol w:w="1690"/>
      </w:tblGrid>
      <w:tr w14:paraId="63E442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464" w:type="dxa"/>
            <w:tcBorders>
              <w:top w:val="single" w:color="auto" w:sz="4" w:space="0"/>
              <w:bottom w:val="single" w:color="auto" w:sz="4" w:space="0"/>
            </w:tcBorders>
            <w:noWrap w:val="0"/>
            <w:vAlign w:val="center"/>
          </w:tcPr>
          <w:p w14:paraId="799F9CF3">
            <w:pPr>
              <w:spacing w:line="300" w:lineRule="auto"/>
              <w:jc w:val="center"/>
              <w:rPr>
                <w:rFonts w:ascii="Times New Roman" w:hAnsi="Times New Roman"/>
                <w:szCs w:val="21"/>
              </w:rPr>
            </w:pPr>
            <w:r>
              <w:rPr>
                <w:rFonts w:ascii="Times New Roman" w:hAnsi="Times New Roman"/>
                <w:szCs w:val="21"/>
              </w:rPr>
              <w:t>培养基名称</w:t>
            </w:r>
          </w:p>
        </w:tc>
        <w:tc>
          <w:tcPr>
            <w:tcW w:w="1932" w:type="dxa"/>
            <w:tcBorders>
              <w:top w:val="single" w:color="auto" w:sz="4" w:space="0"/>
              <w:bottom w:val="single" w:color="auto" w:sz="4" w:space="0"/>
            </w:tcBorders>
            <w:noWrap w:val="0"/>
            <w:vAlign w:val="center"/>
          </w:tcPr>
          <w:p w14:paraId="786935F1">
            <w:pPr>
              <w:spacing w:line="300" w:lineRule="auto"/>
              <w:jc w:val="center"/>
              <w:rPr>
                <w:rFonts w:ascii="Times New Roman" w:hAnsi="Times New Roman"/>
                <w:szCs w:val="21"/>
              </w:rPr>
            </w:pPr>
            <w:r>
              <w:rPr>
                <w:rFonts w:ascii="Times New Roman" w:hAnsi="Times New Roman"/>
                <w:color w:val="000000"/>
                <w:szCs w:val="21"/>
              </w:rPr>
              <w:t>菌株名称</w:t>
            </w:r>
          </w:p>
        </w:tc>
        <w:tc>
          <w:tcPr>
            <w:tcW w:w="1374" w:type="dxa"/>
            <w:tcBorders>
              <w:top w:val="single" w:color="auto" w:sz="4" w:space="0"/>
              <w:bottom w:val="single" w:color="auto" w:sz="4" w:space="0"/>
            </w:tcBorders>
            <w:noWrap w:val="0"/>
            <w:vAlign w:val="center"/>
          </w:tcPr>
          <w:p w14:paraId="084FA967">
            <w:pPr>
              <w:spacing w:line="300" w:lineRule="auto"/>
              <w:jc w:val="center"/>
              <w:rPr>
                <w:rFonts w:ascii="Times New Roman" w:hAnsi="Times New Roman"/>
                <w:szCs w:val="21"/>
              </w:rPr>
            </w:pPr>
            <w:r>
              <w:rPr>
                <w:rFonts w:ascii="Times New Roman" w:hAnsi="Times New Roman"/>
                <w:szCs w:val="21"/>
              </w:rPr>
              <w:t>培养基特性</w:t>
            </w:r>
          </w:p>
        </w:tc>
        <w:tc>
          <w:tcPr>
            <w:tcW w:w="1322" w:type="dxa"/>
            <w:tcBorders>
              <w:top w:val="single" w:color="auto" w:sz="4" w:space="0"/>
              <w:bottom w:val="single" w:color="auto" w:sz="4" w:space="0"/>
            </w:tcBorders>
            <w:noWrap w:val="0"/>
            <w:vAlign w:val="center"/>
          </w:tcPr>
          <w:p w14:paraId="6DC84894">
            <w:pPr>
              <w:spacing w:line="300" w:lineRule="auto"/>
              <w:jc w:val="center"/>
              <w:rPr>
                <w:rFonts w:ascii="Times New Roman" w:hAnsi="Times New Roman"/>
                <w:szCs w:val="21"/>
              </w:rPr>
            </w:pPr>
            <w:r>
              <w:rPr>
                <w:rFonts w:ascii="Times New Roman" w:hAnsi="Times New Roman"/>
                <w:szCs w:val="21"/>
              </w:rPr>
              <w:t>培养条件</w:t>
            </w:r>
          </w:p>
        </w:tc>
        <w:tc>
          <w:tcPr>
            <w:tcW w:w="1110" w:type="dxa"/>
            <w:tcBorders>
              <w:top w:val="single" w:color="auto" w:sz="4" w:space="0"/>
              <w:bottom w:val="single" w:color="auto" w:sz="4" w:space="0"/>
            </w:tcBorders>
            <w:noWrap w:val="0"/>
            <w:vAlign w:val="center"/>
          </w:tcPr>
          <w:p w14:paraId="04240C2A">
            <w:pPr>
              <w:spacing w:line="300" w:lineRule="auto"/>
              <w:jc w:val="center"/>
              <w:rPr>
                <w:rFonts w:ascii="Times New Roman" w:hAnsi="Times New Roman"/>
                <w:szCs w:val="21"/>
              </w:rPr>
            </w:pPr>
            <w:r>
              <w:rPr>
                <w:rFonts w:ascii="Times New Roman" w:hAnsi="Times New Roman"/>
                <w:szCs w:val="21"/>
              </w:rPr>
              <w:t>结果评价</w:t>
            </w:r>
          </w:p>
        </w:tc>
        <w:tc>
          <w:tcPr>
            <w:tcW w:w="1690" w:type="dxa"/>
            <w:tcBorders>
              <w:top w:val="single" w:color="auto" w:sz="4" w:space="0"/>
              <w:bottom w:val="single" w:color="auto" w:sz="4" w:space="0"/>
            </w:tcBorders>
            <w:noWrap w:val="0"/>
            <w:vAlign w:val="center"/>
          </w:tcPr>
          <w:p w14:paraId="5F0D956C">
            <w:pPr>
              <w:spacing w:line="300" w:lineRule="auto"/>
              <w:jc w:val="center"/>
              <w:rPr>
                <w:rFonts w:ascii="Times New Roman" w:hAnsi="Times New Roman"/>
                <w:szCs w:val="21"/>
              </w:rPr>
            </w:pPr>
            <w:r>
              <w:rPr>
                <w:rFonts w:ascii="Times New Roman" w:hAnsi="Times New Roman"/>
                <w:szCs w:val="21"/>
              </w:rPr>
              <w:t>特征性反应</w:t>
            </w:r>
          </w:p>
        </w:tc>
      </w:tr>
      <w:tr w14:paraId="70FC21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restart"/>
            <w:tcBorders>
              <w:top w:val="single" w:color="auto" w:sz="4" w:space="0"/>
              <w:bottom w:val="nil"/>
            </w:tcBorders>
            <w:noWrap w:val="0"/>
            <w:vAlign w:val="center"/>
          </w:tcPr>
          <w:p w14:paraId="361A4FAA">
            <w:pPr>
              <w:spacing w:line="300" w:lineRule="auto"/>
              <w:jc w:val="center"/>
              <w:rPr>
                <w:rFonts w:ascii="Times New Roman" w:hAnsi="Times New Roman"/>
                <w:szCs w:val="21"/>
              </w:rPr>
            </w:pPr>
            <w:r>
              <w:rPr>
                <w:rFonts w:ascii="Times New Roman" w:hAnsi="Times New Roman"/>
                <w:szCs w:val="21"/>
              </w:rPr>
              <w:t>卵磷脂吐温80营养琼脂培养基</w:t>
            </w:r>
          </w:p>
        </w:tc>
        <w:tc>
          <w:tcPr>
            <w:tcW w:w="1932" w:type="dxa"/>
            <w:tcBorders>
              <w:top w:val="single" w:color="auto" w:sz="4" w:space="0"/>
              <w:bottom w:val="nil"/>
            </w:tcBorders>
            <w:noWrap w:val="0"/>
            <w:vAlign w:val="center"/>
          </w:tcPr>
          <w:p w14:paraId="157C32F1">
            <w:pPr>
              <w:spacing w:line="300" w:lineRule="auto"/>
              <w:jc w:val="center"/>
              <w:rPr>
                <w:rFonts w:ascii="Times New Roman" w:hAnsi="Times New Roman"/>
                <w:szCs w:val="21"/>
              </w:rPr>
            </w:pPr>
            <w:r>
              <w:rPr>
                <w:rFonts w:ascii="Times New Roman" w:hAnsi="Times New Roman"/>
                <w:szCs w:val="21"/>
              </w:rPr>
              <w:t>大肠埃希氏菌</w:t>
            </w:r>
          </w:p>
          <w:p w14:paraId="4D0B2AC7">
            <w:pPr>
              <w:pStyle w:val="3"/>
              <w:spacing w:after="0" w:line="300" w:lineRule="auto"/>
              <w:ind w:left="0" w:leftChars="0" w:firstLine="0" w:firstLineChars="0"/>
              <w:jc w:val="center"/>
              <w:rPr>
                <w:szCs w:val="21"/>
              </w:rPr>
            </w:pPr>
            <w:r>
              <w:rPr>
                <w:szCs w:val="21"/>
              </w:rPr>
              <w:t>CMCC(B)44102</w:t>
            </w:r>
          </w:p>
        </w:tc>
        <w:tc>
          <w:tcPr>
            <w:tcW w:w="1374" w:type="dxa"/>
            <w:vMerge w:val="restart"/>
            <w:tcBorders>
              <w:top w:val="single" w:color="auto" w:sz="4" w:space="0"/>
              <w:bottom w:val="nil"/>
            </w:tcBorders>
            <w:noWrap w:val="0"/>
            <w:vAlign w:val="center"/>
          </w:tcPr>
          <w:p w14:paraId="3A9A2A2A">
            <w:pPr>
              <w:spacing w:line="300" w:lineRule="auto"/>
              <w:jc w:val="center"/>
              <w:rPr>
                <w:rFonts w:ascii="Times New Roman" w:hAnsi="Times New Roman"/>
                <w:szCs w:val="21"/>
              </w:rPr>
            </w:pPr>
            <w:r>
              <w:rPr>
                <w:rFonts w:ascii="Times New Roman" w:hAnsi="Times New Roman"/>
                <w:szCs w:val="21"/>
              </w:rPr>
              <w:t>促生长能力</w:t>
            </w:r>
          </w:p>
        </w:tc>
        <w:tc>
          <w:tcPr>
            <w:tcW w:w="1322" w:type="dxa"/>
            <w:vMerge w:val="restart"/>
            <w:tcBorders>
              <w:top w:val="single" w:color="auto" w:sz="4" w:space="0"/>
              <w:bottom w:val="nil"/>
            </w:tcBorders>
            <w:noWrap w:val="0"/>
            <w:vAlign w:val="center"/>
          </w:tcPr>
          <w:p w14:paraId="2A48575D">
            <w:pPr>
              <w:spacing w:line="300" w:lineRule="auto"/>
              <w:jc w:val="center"/>
              <w:rPr>
                <w:rFonts w:ascii="Times New Roman" w:hAnsi="Times New Roman"/>
                <w:szCs w:val="21"/>
              </w:rPr>
            </w:pPr>
            <w:r>
              <w:rPr>
                <w:rFonts w:ascii="Times New Roman" w:hAnsi="Times New Roman"/>
                <w:szCs w:val="21"/>
              </w:rPr>
              <w:t>36±1 ℃，48±2 h</w:t>
            </w:r>
          </w:p>
        </w:tc>
        <w:tc>
          <w:tcPr>
            <w:tcW w:w="1110" w:type="dxa"/>
            <w:tcBorders>
              <w:top w:val="single" w:color="auto" w:sz="4" w:space="0"/>
              <w:bottom w:val="nil"/>
            </w:tcBorders>
            <w:noWrap w:val="0"/>
            <w:vAlign w:val="center"/>
          </w:tcPr>
          <w:p w14:paraId="1229DEBB">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≥0.7</w:t>
            </w:r>
          </w:p>
        </w:tc>
        <w:tc>
          <w:tcPr>
            <w:tcW w:w="1690" w:type="dxa"/>
            <w:tcBorders>
              <w:top w:val="single" w:color="auto" w:sz="4" w:space="0"/>
              <w:bottom w:val="nil"/>
            </w:tcBorders>
            <w:noWrap w:val="0"/>
            <w:vAlign w:val="center"/>
          </w:tcPr>
          <w:p w14:paraId="3FCA91C4">
            <w:pPr>
              <w:spacing w:line="300" w:lineRule="auto"/>
              <w:jc w:val="center"/>
              <w:rPr>
                <w:rFonts w:ascii="Times New Roman" w:hAnsi="Times New Roman"/>
                <w:szCs w:val="21"/>
              </w:rPr>
            </w:pPr>
            <w:r>
              <w:rPr>
                <w:rFonts w:ascii="Times New Roman" w:hAnsi="Times New Roman"/>
                <w:szCs w:val="21"/>
              </w:rPr>
              <w:t>/</w:t>
            </w:r>
          </w:p>
        </w:tc>
      </w:tr>
      <w:tr w14:paraId="4CB092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tcBorders>
              <w:top w:val="nil"/>
              <w:bottom w:val="nil"/>
            </w:tcBorders>
            <w:noWrap w:val="0"/>
            <w:vAlign w:val="center"/>
          </w:tcPr>
          <w:p w14:paraId="2CA2F42D">
            <w:pPr>
              <w:spacing w:line="300" w:lineRule="auto"/>
              <w:jc w:val="center"/>
              <w:rPr>
                <w:rFonts w:ascii="Times New Roman" w:hAnsi="Times New Roman"/>
                <w:szCs w:val="21"/>
              </w:rPr>
            </w:pPr>
          </w:p>
        </w:tc>
        <w:tc>
          <w:tcPr>
            <w:tcW w:w="1932" w:type="dxa"/>
            <w:tcBorders>
              <w:top w:val="nil"/>
              <w:bottom w:val="nil"/>
            </w:tcBorders>
            <w:noWrap w:val="0"/>
            <w:vAlign w:val="center"/>
          </w:tcPr>
          <w:p w14:paraId="201F8C1B">
            <w:pPr>
              <w:spacing w:line="300" w:lineRule="auto"/>
              <w:jc w:val="center"/>
              <w:rPr>
                <w:rFonts w:ascii="Times New Roman" w:hAnsi="Times New Roman"/>
                <w:szCs w:val="21"/>
              </w:rPr>
            </w:pPr>
            <w:r>
              <w:rPr>
                <w:rFonts w:ascii="Times New Roman" w:hAnsi="Times New Roman"/>
                <w:szCs w:val="21"/>
              </w:rPr>
              <w:t>金黄色葡萄球菌</w:t>
            </w:r>
          </w:p>
          <w:p w14:paraId="51FFE01F">
            <w:pPr>
              <w:pStyle w:val="3"/>
              <w:spacing w:after="0" w:line="300" w:lineRule="auto"/>
              <w:ind w:left="0" w:leftChars="0" w:firstLine="0" w:firstLineChars="0"/>
              <w:jc w:val="center"/>
              <w:rPr>
                <w:szCs w:val="21"/>
              </w:rPr>
            </w:pPr>
            <w:r>
              <w:rPr>
                <w:szCs w:val="21"/>
              </w:rPr>
              <w:t>CMCC(B)26003</w:t>
            </w:r>
          </w:p>
        </w:tc>
        <w:tc>
          <w:tcPr>
            <w:tcW w:w="1374" w:type="dxa"/>
            <w:vMerge w:val="continue"/>
            <w:tcBorders>
              <w:top w:val="nil"/>
              <w:bottom w:val="nil"/>
            </w:tcBorders>
            <w:noWrap w:val="0"/>
            <w:vAlign w:val="center"/>
          </w:tcPr>
          <w:p w14:paraId="145408A8">
            <w:pPr>
              <w:spacing w:line="300" w:lineRule="auto"/>
              <w:jc w:val="center"/>
              <w:rPr>
                <w:rFonts w:ascii="Times New Roman" w:hAnsi="Times New Roman"/>
                <w:szCs w:val="21"/>
              </w:rPr>
            </w:pPr>
          </w:p>
        </w:tc>
        <w:tc>
          <w:tcPr>
            <w:tcW w:w="1322" w:type="dxa"/>
            <w:vMerge w:val="continue"/>
            <w:tcBorders>
              <w:top w:val="nil"/>
              <w:bottom w:val="nil"/>
            </w:tcBorders>
            <w:noWrap w:val="0"/>
            <w:vAlign w:val="center"/>
          </w:tcPr>
          <w:p w14:paraId="198E3369">
            <w:pPr>
              <w:spacing w:line="300" w:lineRule="auto"/>
              <w:jc w:val="center"/>
              <w:rPr>
                <w:rFonts w:ascii="Times New Roman" w:hAnsi="Times New Roman"/>
                <w:szCs w:val="21"/>
              </w:rPr>
            </w:pPr>
          </w:p>
        </w:tc>
        <w:tc>
          <w:tcPr>
            <w:tcW w:w="1110" w:type="dxa"/>
            <w:tcBorders>
              <w:top w:val="nil"/>
              <w:bottom w:val="nil"/>
            </w:tcBorders>
            <w:noWrap w:val="0"/>
            <w:vAlign w:val="center"/>
          </w:tcPr>
          <w:p w14:paraId="1A0F645D">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≥0.7</w:t>
            </w:r>
          </w:p>
        </w:tc>
        <w:tc>
          <w:tcPr>
            <w:tcW w:w="1690" w:type="dxa"/>
            <w:tcBorders>
              <w:top w:val="nil"/>
              <w:bottom w:val="nil"/>
            </w:tcBorders>
            <w:noWrap w:val="0"/>
            <w:vAlign w:val="center"/>
          </w:tcPr>
          <w:p w14:paraId="134D3425">
            <w:pPr>
              <w:spacing w:line="300" w:lineRule="auto"/>
              <w:jc w:val="center"/>
              <w:rPr>
                <w:rFonts w:ascii="Times New Roman" w:hAnsi="Times New Roman"/>
                <w:szCs w:val="21"/>
              </w:rPr>
            </w:pPr>
            <w:r>
              <w:rPr>
                <w:rFonts w:ascii="Times New Roman" w:hAnsi="Times New Roman"/>
                <w:szCs w:val="21"/>
              </w:rPr>
              <w:t>/</w:t>
            </w:r>
          </w:p>
        </w:tc>
      </w:tr>
      <w:tr w14:paraId="70058E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tcBorders>
              <w:top w:val="nil"/>
              <w:bottom w:val="nil"/>
            </w:tcBorders>
            <w:noWrap w:val="0"/>
            <w:vAlign w:val="center"/>
          </w:tcPr>
          <w:p w14:paraId="02B9F5FC">
            <w:pPr>
              <w:spacing w:line="300" w:lineRule="auto"/>
              <w:jc w:val="center"/>
              <w:rPr>
                <w:rFonts w:ascii="Times New Roman" w:hAnsi="Times New Roman"/>
                <w:szCs w:val="21"/>
              </w:rPr>
            </w:pPr>
          </w:p>
        </w:tc>
        <w:tc>
          <w:tcPr>
            <w:tcW w:w="1932" w:type="dxa"/>
            <w:tcBorders>
              <w:top w:val="nil"/>
              <w:bottom w:val="nil"/>
            </w:tcBorders>
            <w:noWrap w:val="0"/>
            <w:vAlign w:val="center"/>
          </w:tcPr>
          <w:p w14:paraId="736FD5DC">
            <w:pPr>
              <w:spacing w:line="300" w:lineRule="auto"/>
              <w:jc w:val="center"/>
              <w:rPr>
                <w:rFonts w:ascii="Times New Roman" w:hAnsi="Times New Roman"/>
                <w:szCs w:val="21"/>
              </w:rPr>
            </w:pPr>
            <w:r>
              <w:rPr>
                <w:rFonts w:ascii="Times New Roman" w:hAnsi="Times New Roman"/>
                <w:szCs w:val="21"/>
              </w:rPr>
              <w:t>枯草芽孢杆菌</w:t>
            </w:r>
          </w:p>
          <w:p w14:paraId="093AA33B">
            <w:pPr>
              <w:pStyle w:val="3"/>
              <w:spacing w:after="0" w:line="300" w:lineRule="auto"/>
              <w:ind w:left="0" w:leftChars="0" w:firstLine="0" w:firstLineChars="0"/>
              <w:jc w:val="center"/>
              <w:rPr>
                <w:szCs w:val="21"/>
              </w:rPr>
            </w:pPr>
            <w:r>
              <w:rPr>
                <w:szCs w:val="21"/>
              </w:rPr>
              <w:t>CMCC(B)63501</w:t>
            </w:r>
          </w:p>
        </w:tc>
        <w:tc>
          <w:tcPr>
            <w:tcW w:w="1374" w:type="dxa"/>
            <w:vMerge w:val="continue"/>
            <w:tcBorders>
              <w:top w:val="nil"/>
              <w:bottom w:val="nil"/>
            </w:tcBorders>
            <w:noWrap w:val="0"/>
            <w:vAlign w:val="center"/>
          </w:tcPr>
          <w:p w14:paraId="72730ECB">
            <w:pPr>
              <w:spacing w:line="300" w:lineRule="auto"/>
              <w:jc w:val="center"/>
              <w:rPr>
                <w:rFonts w:ascii="Times New Roman" w:hAnsi="Times New Roman"/>
                <w:szCs w:val="21"/>
              </w:rPr>
            </w:pPr>
          </w:p>
        </w:tc>
        <w:tc>
          <w:tcPr>
            <w:tcW w:w="1322" w:type="dxa"/>
            <w:vMerge w:val="continue"/>
            <w:tcBorders>
              <w:top w:val="nil"/>
              <w:bottom w:val="nil"/>
            </w:tcBorders>
            <w:noWrap w:val="0"/>
            <w:vAlign w:val="center"/>
          </w:tcPr>
          <w:p w14:paraId="39B01D84">
            <w:pPr>
              <w:spacing w:line="300" w:lineRule="auto"/>
              <w:jc w:val="center"/>
              <w:rPr>
                <w:rFonts w:ascii="Times New Roman" w:hAnsi="Times New Roman"/>
                <w:szCs w:val="21"/>
              </w:rPr>
            </w:pPr>
          </w:p>
        </w:tc>
        <w:tc>
          <w:tcPr>
            <w:tcW w:w="1110" w:type="dxa"/>
            <w:tcBorders>
              <w:top w:val="nil"/>
              <w:bottom w:val="nil"/>
            </w:tcBorders>
            <w:noWrap w:val="0"/>
            <w:vAlign w:val="center"/>
          </w:tcPr>
          <w:p w14:paraId="50449880">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≥0.7</w:t>
            </w:r>
          </w:p>
        </w:tc>
        <w:tc>
          <w:tcPr>
            <w:tcW w:w="1690" w:type="dxa"/>
            <w:tcBorders>
              <w:top w:val="nil"/>
              <w:bottom w:val="nil"/>
            </w:tcBorders>
            <w:noWrap w:val="0"/>
            <w:vAlign w:val="center"/>
          </w:tcPr>
          <w:p w14:paraId="7C041D28">
            <w:pPr>
              <w:spacing w:line="300" w:lineRule="auto"/>
              <w:jc w:val="center"/>
              <w:rPr>
                <w:rFonts w:ascii="Times New Roman" w:hAnsi="Times New Roman"/>
                <w:szCs w:val="21"/>
              </w:rPr>
            </w:pPr>
            <w:r>
              <w:rPr>
                <w:rFonts w:ascii="Times New Roman" w:hAnsi="Times New Roman"/>
                <w:szCs w:val="21"/>
              </w:rPr>
              <w:t>/</w:t>
            </w:r>
          </w:p>
        </w:tc>
      </w:tr>
      <w:tr w14:paraId="298B32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tcBorders>
              <w:top w:val="nil"/>
              <w:bottom w:val="single" w:color="auto" w:sz="4" w:space="0"/>
            </w:tcBorders>
            <w:noWrap w:val="0"/>
            <w:vAlign w:val="center"/>
          </w:tcPr>
          <w:p w14:paraId="1B34EB37">
            <w:pPr>
              <w:spacing w:line="300" w:lineRule="auto"/>
              <w:jc w:val="center"/>
              <w:rPr>
                <w:rFonts w:ascii="Times New Roman" w:hAnsi="Times New Roman"/>
                <w:szCs w:val="21"/>
              </w:rPr>
            </w:pPr>
          </w:p>
        </w:tc>
        <w:tc>
          <w:tcPr>
            <w:tcW w:w="1932" w:type="dxa"/>
            <w:tcBorders>
              <w:top w:val="nil"/>
              <w:bottom w:val="single" w:color="auto" w:sz="4" w:space="0"/>
            </w:tcBorders>
            <w:noWrap w:val="0"/>
            <w:vAlign w:val="center"/>
          </w:tcPr>
          <w:p w14:paraId="16927E61">
            <w:pPr>
              <w:spacing w:line="300" w:lineRule="auto"/>
              <w:jc w:val="center"/>
              <w:rPr>
                <w:rFonts w:ascii="Times New Roman" w:hAnsi="Times New Roman"/>
                <w:szCs w:val="21"/>
              </w:rPr>
            </w:pPr>
            <w:r>
              <w:rPr>
                <w:rFonts w:ascii="Times New Roman" w:hAnsi="Times New Roman"/>
                <w:szCs w:val="21"/>
              </w:rPr>
              <w:t>铜绿假单胞菌</w:t>
            </w:r>
          </w:p>
          <w:p w14:paraId="038B8538">
            <w:pPr>
              <w:spacing w:line="300" w:lineRule="auto"/>
              <w:jc w:val="center"/>
              <w:rPr>
                <w:rFonts w:ascii="Times New Roman" w:hAnsi="Times New Roman"/>
                <w:szCs w:val="21"/>
              </w:rPr>
            </w:pPr>
            <w:r>
              <w:rPr>
                <w:rFonts w:ascii="Times New Roman" w:hAnsi="Times New Roman"/>
                <w:szCs w:val="21"/>
              </w:rPr>
              <w:t>CMCC(B)10104</w:t>
            </w:r>
          </w:p>
        </w:tc>
        <w:tc>
          <w:tcPr>
            <w:tcW w:w="1374" w:type="dxa"/>
            <w:vMerge w:val="continue"/>
            <w:tcBorders>
              <w:top w:val="nil"/>
              <w:bottom w:val="single" w:color="auto" w:sz="4" w:space="0"/>
            </w:tcBorders>
            <w:noWrap w:val="0"/>
            <w:vAlign w:val="center"/>
          </w:tcPr>
          <w:p w14:paraId="30951381">
            <w:pPr>
              <w:spacing w:line="300" w:lineRule="auto"/>
              <w:jc w:val="center"/>
              <w:rPr>
                <w:rFonts w:ascii="Times New Roman" w:hAnsi="Times New Roman"/>
                <w:szCs w:val="21"/>
              </w:rPr>
            </w:pPr>
          </w:p>
        </w:tc>
        <w:tc>
          <w:tcPr>
            <w:tcW w:w="1322" w:type="dxa"/>
            <w:vMerge w:val="continue"/>
            <w:tcBorders>
              <w:top w:val="nil"/>
              <w:bottom w:val="single" w:color="auto" w:sz="4" w:space="0"/>
            </w:tcBorders>
            <w:noWrap w:val="0"/>
            <w:vAlign w:val="center"/>
          </w:tcPr>
          <w:p w14:paraId="5DD235F9">
            <w:pPr>
              <w:spacing w:line="300" w:lineRule="auto"/>
              <w:jc w:val="center"/>
              <w:rPr>
                <w:rFonts w:ascii="Times New Roman" w:hAnsi="Times New Roman"/>
                <w:szCs w:val="21"/>
              </w:rPr>
            </w:pPr>
          </w:p>
        </w:tc>
        <w:tc>
          <w:tcPr>
            <w:tcW w:w="1110" w:type="dxa"/>
            <w:tcBorders>
              <w:top w:val="nil"/>
              <w:bottom w:val="single" w:color="auto" w:sz="4" w:space="0"/>
            </w:tcBorders>
            <w:noWrap w:val="0"/>
            <w:vAlign w:val="center"/>
          </w:tcPr>
          <w:p w14:paraId="7EC89B5B">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≥0.7</w:t>
            </w:r>
          </w:p>
        </w:tc>
        <w:tc>
          <w:tcPr>
            <w:tcW w:w="1690" w:type="dxa"/>
            <w:tcBorders>
              <w:top w:val="nil"/>
              <w:bottom w:val="single" w:color="auto" w:sz="4" w:space="0"/>
            </w:tcBorders>
            <w:noWrap w:val="0"/>
            <w:vAlign w:val="center"/>
          </w:tcPr>
          <w:p w14:paraId="189AACC8">
            <w:pPr>
              <w:spacing w:line="300" w:lineRule="auto"/>
              <w:jc w:val="center"/>
              <w:rPr>
                <w:rFonts w:ascii="Times New Roman" w:hAnsi="Times New Roman"/>
                <w:szCs w:val="21"/>
              </w:rPr>
            </w:pPr>
            <w:r>
              <w:rPr>
                <w:rFonts w:ascii="Times New Roman" w:hAnsi="Times New Roman"/>
                <w:szCs w:val="21"/>
              </w:rPr>
              <w:t>/</w:t>
            </w:r>
          </w:p>
        </w:tc>
      </w:tr>
      <w:tr w14:paraId="1470F1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restart"/>
            <w:tcBorders>
              <w:top w:val="single" w:color="auto" w:sz="4" w:space="0"/>
            </w:tcBorders>
            <w:noWrap w:val="0"/>
            <w:vAlign w:val="center"/>
          </w:tcPr>
          <w:p w14:paraId="54B8B025">
            <w:pPr>
              <w:spacing w:line="300" w:lineRule="auto"/>
              <w:jc w:val="center"/>
              <w:rPr>
                <w:rFonts w:ascii="Times New Roman" w:hAnsi="Times New Roman"/>
                <w:szCs w:val="21"/>
              </w:rPr>
            </w:pPr>
            <w:r>
              <w:rPr>
                <w:rFonts w:ascii="Times New Roman" w:hAnsi="Times New Roman"/>
                <w:szCs w:val="21"/>
              </w:rPr>
              <w:t>卵磷脂吐温80孟加拉红培养基</w:t>
            </w:r>
          </w:p>
        </w:tc>
        <w:tc>
          <w:tcPr>
            <w:tcW w:w="1932" w:type="dxa"/>
            <w:tcBorders>
              <w:top w:val="single" w:color="auto" w:sz="4" w:space="0"/>
              <w:bottom w:val="nil"/>
            </w:tcBorders>
            <w:noWrap w:val="0"/>
            <w:vAlign w:val="center"/>
          </w:tcPr>
          <w:p w14:paraId="3B7A4BF6">
            <w:pPr>
              <w:spacing w:line="300" w:lineRule="auto"/>
              <w:jc w:val="center"/>
              <w:rPr>
                <w:rFonts w:ascii="Times New Roman" w:hAnsi="Times New Roman"/>
                <w:szCs w:val="21"/>
              </w:rPr>
            </w:pPr>
            <w:r>
              <w:rPr>
                <w:rFonts w:ascii="Times New Roman" w:hAnsi="Times New Roman"/>
                <w:szCs w:val="21"/>
              </w:rPr>
              <w:t>黑曲霉</w:t>
            </w:r>
          </w:p>
          <w:p w14:paraId="305FF18F">
            <w:pPr>
              <w:spacing w:line="300" w:lineRule="auto"/>
              <w:jc w:val="center"/>
              <w:rPr>
                <w:rFonts w:ascii="Times New Roman" w:hAnsi="Times New Roman"/>
                <w:szCs w:val="21"/>
              </w:rPr>
            </w:pPr>
            <w:r>
              <w:rPr>
                <w:rFonts w:ascii="Times New Roman" w:hAnsi="Times New Roman"/>
                <w:szCs w:val="21"/>
              </w:rPr>
              <w:t>CMCC(F)98003</w:t>
            </w:r>
          </w:p>
        </w:tc>
        <w:tc>
          <w:tcPr>
            <w:tcW w:w="1374" w:type="dxa"/>
            <w:vMerge w:val="restart"/>
            <w:tcBorders>
              <w:top w:val="single" w:color="auto" w:sz="4" w:space="0"/>
            </w:tcBorders>
            <w:noWrap w:val="0"/>
            <w:vAlign w:val="center"/>
          </w:tcPr>
          <w:p w14:paraId="2CB0F48D">
            <w:pPr>
              <w:spacing w:line="300" w:lineRule="auto"/>
              <w:jc w:val="center"/>
              <w:rPr>
                <w:rFonts w:ascii="Times New Roman" w:hAnsi="Times New Roman"/>
                <w:szCs w:val="21"/>
              </w:rPr>
            </w:pPr>
            <w:r>
              <w:rPr>
                <w:rFonts w:hint="eastAsia" w:ascii="Times New Roman" w:hAnsi="Times New Roman"/>
                <w:szCs w:val="21"/>
              </w:rPr>
              <w:t>促生长能力</w:t>
            </w:r>
          </w:p>
        </w:tc>
        <w:tc>
          <w:tcPr>
            <w:tcW w:w="1322" w:type="dxa"/>
            <w:vMerge w:val="restart"/>
            <w:tcBorders>
              <w:top w:val="single" w:color="auto" w:sz="4" w:space="0"/>
            </w:tcBorders>
            <w:noWrap w:val="0"/>
            <w:vAlign w:val="center"/>
          </w:tcPr>
          <w:p w14:paraId="6291A35A">
            <w:pPr>
              <w:spacing w:line="300" w:lineRule="auto"/>
              <w:jc w:val="center"/>
              <w:rPr>
                <w:rFonts w:ascii="Times New Roman" w:hAnsi="Times New Roman"/>
                <w:szCs w:val="21"/>
              </w:rPr>
            </w:pPr>
            <w:r>
              <w:rPr>
                <w:rFonts w:ascii="Times New Roman" w:hAnsi="Times New Roman"/>
                <w:szCs w:val="21"/>
              </w:rPr>
              <w:t>25±1 ℃，3~5d</w:t>
            </w:r>
          </w:p>
        </w:tc>
        <w:tc>
          <w:tcPr>
            <w:tcW w:w="1110" w:type="dxa"/>
            <w:vMerge w:val="restart"/>
            <w:tcBorders>
              <w:top w:val="single" w:color="auto" w:sz="4" w:space="0"/>
            </w:tcBorders>
            <w:noWrap w:val="0"/>
            <w:vAlign w:val="center"/>
          </w:tcPr>
          <w:p w14:paraId="724D1DBD">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≥0.7</w:t>
            </w:r>
          </w:p>
        </w:tc>
        <w:tc>
          <w:tcPr>
            <w:tcW w:w="1690" w:type="dxa"/>
            <w:tcBorders>
              <w:top w:val="single" w:color="auto" w:sz="4" w:space="0"/>
              <w:bottom w:val="nil"/>
            </w:tcBorders>
            <w:noWrap w:val="0"/>
            <w:vAlign w:val="center"/>
          </w:tcPr>
          <w:p w14:paraId="2929914D">
            <w:pPr>
              <w:spacing w:line="300" w:lineRule="auto"/>
              <w:jc w:val="center"/>
              <w:rPr>
                <w:rFonts w:ascii="Times New Roman" w:hAnsi="Times New Roman"/>
                <w:szCs w:val="21"/>
              </w:rPr>
            </w:pPr>
            <w:r>
              <w:rPr>
                <w:rFonts w:ascii="Times New Roman" w:hAnsi="Times New Roman"/>
                <w:szCs w:val="21"/>
              </w:rPr>
              <w:t>白色菌丝，黑色孢子</w:t>
            </w:r>
          </w:p>
        </w:tc>
      </w:tr>
      <w:tr w14:paraId="078DCC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noWrap w:val="0"/>
            <w:vAlign w:val="center"/>
          </w:tcPr>
          <w:p w14:paraId="40CEE669">
            <w:pPr>
              <w:spacing w:line="300" w:lineRule="auto"/>
              <w:jc w:val="center"/>
              <w:rPr>
                <w:rFonts w:ascii="Times New Roman" w:hAnsi="Times New Roman"/>
                <w:szCs w:val="21"/>
              </w:rPr>
            </w:pPr>
          </w:p>
        </w:tc>
        <w:tc>
          <w:tcPr>
            <w:tcW w:w="1932" w:type="dxa"/>
            <w:tcBorders>
              <w:top w:val="nil"/>
              <w:bottom w:val="nil"/>
            </w:tcBorders>
            <w:noWrap w:val="0"/>
            <w:vAlign w:val="center"/>
          </w:tcPr>
          <w:p w14:paraId="58D4D0EF">
            <w:pPr>
              <w:spacing w:line="300" w:lineRule="auto"/>
              <w:jc w:val="center"/>
              <w:rPr>
                <w:rFonts w:ascii="Times New Roman" w:hAnsi="Times New Roman"/>
                <w:szCs w:val="21"/>
              </w:rPr>
            </w:pPr>
            <w:r>
              <w:rPr>
                <w:rFonts w:ascii="Times New Roman" w:hAnsi="Times New Roman"/>
                <w:szCs w:val="21"/>
              </w:rPr>
              <w:t>酿酒酵母</w:t>
            </w:r>
          </w:p>
          <w:p w14:paraId="359B925E">
            <w:pPr>
              <w:spacing w:line="300" w:lineRule="auto"/>
              <w:jc w:val="center"/>
              <w:rPr>
                <w:rFonts w:ascii="Times New Roman" w:hAnsi="Times New Roman"/>
                <w:szCs w:val="21"/>
              </w:rPr>
            </w:pPr>
            <w:r>
              <w:rPr>
                <w:rFonts w:ascii="Times New Roman" w:hAnsi="Times New Roman"/>
                <w:szCs w:val="21"/>
              </w:rPr>
              <w:t>CMCC(F)98017</w:t>
            </w:r>
          </w:p>
        </w:tc>
        <w:tc>
          <w:tcPr>
            <w:tcW w:w="1374" w:type="dxa"/>
            <w:vMerge w:val="continue"/>
            <w:tcBorders>
              <w:bottom w:val="nil"/>
            </w:tcBorders>
            <w:noWrap w:val="0"/>
            <w:vAlign w:val="center"/>
          </w:tcPr>
          <w:p w14:paraId="002E3030">
            <w:pPr>
              <w:spacing w:line="300" w:lineRule="auto"/>
              <w:jc w:val="center"/>
              <w:rPr>
                <w:rFonts w:ascii="Times New Roman" w:hAnsi="Times New Roman"/>
                <w:szCs w:val="21"/>
              </w:rPr>
            </w:pPr>
          </w:p>
        </w:tc>
        <w:tc>
          <w:tcPr>
            <w:tcW w:w="1322" w:type="dxa"/>
            <w:vMerge w:val="continue"/>
            <w:noWrap w:val="0"/>
            <w:vAlign w:val="center"/>
          </w:tcPr>
          <w:p w14:paraId="75FD897D">
            <w:pPr>
              <w:spacing w:line="300" w:lineRule="auto"/>
              <w:jc w:val="center"/>
              <w:rPr>
                <w:rFonts w:ascii="Times New Roman" w:hAnsi="Times New Roman"/>
                <w:szCs w:val="21"/>
              </w:rPr>
            </w:pPr>
          </w:p>
        </w:tc>
        <w:tc>
          <w:tcPr>
            <w:tcW w:w="1110" w:type="dxa"/>
            <w:vMerge w:val="continue"/>
            <w:tcBorders>
              <w:bottom w:val="nil"/>
            </w:tcBorders>
            <w:noWrap w:val="0"/>
            <w:vAlign w:val="center"/>
          </w:tcPr>
          <w:p w14:paraId="76F8C6A6">
            <w:pPr>
              <w:spacing w:line="300" w:lineRule="auto"/>
              <w:jc w:val="center"/>
              <w:rPr>
                <w:rFonts w:ascii="Times New Roman" w:hAnsi="Times New Roman"/>
                <w:szCs w:val="21"/>
              </w:rPr>
            </w:pPr>
          </w:p>
        </w:tc>
        <w:tc>
          <w:tcPr>
            <w:tcW w:w="1690" w:type="dxa"/>
            <w:tcBorders>
              <w:top w:val="nil"/>
              <w:bottom w:val="nil"/>
            </w:tcBorders>
            <w:noWrap w:val="0"/>
            <w:vAlign w:val="center"/>
          </w:tcPr>
          <w:p w14:paraId="67EDD495">
            <w:pPr>
              <w:spacing w:line="300" w:lineRule="auto"/>
              <w:jc w:val="center"/>
              <w:rPr>
                <w:rFonts w:ascii="Times New Roman" w:hAnsi="Times New Roman"/>
                <w:szCs w:val="21"/>
              </w:rPr>
            </w:pPr>
            <w:r>
              <w:rPr>
                <w:rFonts w:ascii="Times New Roman" w:hAnsi="Times New Roman"/>
                <w:szCs w:val="21"/>
              </w:rPr>
              <w:t>奶油色菌落</w:t>
            </w:r>
          </w:p>
        </w:tc>
      </w:tr>
      <w:tr w14:paraId="30C597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noWrap w:val="0"/>
            <w:vAlign w:val="center"/>
          </w:tcPr>
          <w:p w14:paraId="1B0A114C">
            <w:pPr>
              <w:spacing w:line="300" w:lineRule="auto"/>
              <w:jc w:val="center"/>
              <w:rPr>
                <w:rFonts w:ascii="Times New Roman" w:hAnsi="Times New Roman"/>
                <w:szCs w:val="21"/>
              </w:rPr>
            </w:pPr>
          </w:p>
        </w:tc>
        <w:tc>
          <w:tcPr>
            <w:tcW w:w="1932" w:type="dxa"/>
            <w:tcBorders>
              <w:top w:val="nil"/>
              <w:bottom w:val="nil"/>
            </w:tcBorders>
            <w:noWrap w:val="0"/>
            <w:vAlign w:val="center"/>
          </w:tcPr>
          <w:p w14:paraId="48256399">
            <w:pPr>
              <w:spacing w:line="300" w:lineRule="auto"/>
              <w:jc w:val="center"/>
              <w:rPr>
                <w:rFonts w:ascii="Times New Roman" w:hAnsi="Times New Roman"/>
                <w:szCs w:val="21"/>
              </w:rPr>
            </w:pPr>
            <w:r>
              <w:rPr>
                <w:rFonts w:ascii="Times New Roman" w:hAnsi="Times New Roman"/>
                <w:szCs w:val="21"/>
              </w:rPr>
              <w:t>金黄色葡萄球菌</w:t>
            </w:r>
          </w:p>
          <w:p w14:paraId="6E5FDBAA">
            <w:pPr>
              <w:spacing w:line="300" w:lineRule="auto"/>
              <w:jc w:val="center"/>
              <w:rPr>
                <w:rFonts w:ascii="Times New Roman" w:hAnsi="Times New Roman"/>
                <w:szCs w:val="21"/>
              </w:rPr>
            </w:pPr>
            <w:r>
              <w:rPr>
                <w:rFonts w:ascii="Times New Roman" w:hAnsi="Times New Roman"/>
                <w:szCs w:val="21"/>
              </w:rPr>
              <w:t>CMCC(B)26003</w:t>
            </w:r>
          </w:p>
        </w:tc>
        <w:tc>
          <w:tcPr>
            <w:tcW w:w="1374" w:type="dxa"/>
            <w:vMerge w:val="restart"/>
            <w:tcBorders>
              <w:top w:val="nil"/>
            </w:tcBorders>
            <w:noWrap w:val="0"/>
            <w:vAlign w:val="center"/>
          </w:tcPr>
          <w:p w14:paraId="3339F64D">
            <w:pPr>
              <w:spacing w:line="300" w:lineRule="auto"/>
              <w:jc w:val="center"/>
              <w:rPr>
                <w:rFonts w:ascii="Times New Roman" w:hAnsi="Times New Roman"/>
                <w:szCs w:val="21"/>
              </w:rPr>
            </w:pPr>
            <w:r>
              <w:rPr>
                <w:rFonts w:ascii="Times New Roman" w:hAnsi="Times New Roman"/>
                <w:szCs w:val="21"/>
              </w:rPr>
              <w:t>抑制能力</w:t>
            </w:r>
          </w:p>
        </w:tc>
        <w:tc>
          <w:tcPr>
            <w:tcW w:w="1322" w:type="dxa"/>
            <w:vMerge w:val="continue"/>
            <w:noWrap w:val="0"/>
            <w:vAlign w:val="center"/>
          </w:tcPr>
          <w:p w14:paraId="5B1B39B7">
            <w:pPr>
              <w:spacing w:line="300" w:lineRule="auto"/>
              <w:jc w:val="center"/>
              <w:rPr>
                <w:rFonts w:ascii="Times New Roman" w:hAnsi="Times New Roman"/>
                <w:szCs w:val="21"/>
              </w:rPr>
            </w:pPr>
          </w:p>
        </w:tc>
        <w:tc>
          <w:tcPr>
            <w:tcW w:w="1110" w:type="dxa"/>
            <w:vMerge w:val="restart"/>
            <w:tcBorders>
              <w:top w:val="nil"/>
            </w:tcBorders>
            <w:noWrap w:val="0"/>
            <w:vAlign w:val="center"/>
          </w:tcPr>
          <w:p w14:paraId="50948139">
            <w:pPr>
              <w:spacing w:line="300" w:lineRule="auto"/>
              <w:jc w:val="center"/>
              <w:rPr>
                <w:rFonts w:ascii="Times New Roman" w:hAnsi="Times New Roman"/>
                <w:szCs w:val="21"/>
              </w:rPr>
            </w:pPr>
            <w:r>
              <w:rPr>
                <w:rFonts w:ascii="Times New Roman" w:hAnsi="Times New Roman"/>
                <w:szCs w:val="21"/>
              </w:rPr>
              <w:t>G≤1</w:t>
            </w:r>
          </w:p>
        </w:tc>
        <w:tc>
          <w:tcPr>
            <w:tcW w:w="1690" w:type="dxa"/>
            <w:vMerge w:val="restart"/>
            <w:tcBorders>
              <w:top w:val="nil"/>
            </w:tcBorders>
            <w:noWrap w:val="0"/>
            <w:vAlign w:val="center"/>
          </w:tcPr>
          <w:p w14:paraId="1916C5AF">
            <w:pPr>
              <w:spacing w:line="300" w:lineRule="auto"/>
              <w:jc w:val="center"/>
              <w:rPr>
                <w:rFonts w:ascii="Times New Roman" w:hAnsi="Times New Roman"/>
                <w:szCs w:val="21"/>
              </w:rPr>
            </w:pPr>
            <w:r>
              <w:rPr>
                <w:rFonts w:ascii="Times New Roman" w:hAnsi="Times New Roman"/>
                <w:szCs w:val="21"/>
              </w:rPr>
              <w:t>/</w:t>
            </w:r>
          </w:p>
        </w:tc>
      </w:tr>
      <w:tr w14:paraId="6A58FE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tcBorders>
              <w:bottom w:val="single" w:color="auto" w:sz="4" w:space="0"/>
            </w:tcBorders>
            <w:noWrap w:val="0"/>
            <w:vAlign w:val="center"/>
          </w:tcPr>
          <w:p w14:paraId="1431ADA3">
            <w:pPr>
              <w:spacing w:line="300" w:lineRule="auto"/>
              <w:jc w:val="center"/>
              <w:rPr>
                <w:rFonts w:ascii="Times New Roman" w:hAnsi="Times New Roman"/>
                <w:szCs w:val="21"/>
              </w:rPr>
            </w:pPr>
          </w:p>
        </w:tc>
        <w:tc>
          <w:tcPr>
            <w:tcW w:w="1932" w:type="dxa"/>
            <w:tcBorders>
              <w:top w:val="nil"/>
              <w:bottom w:val="single" w:color="auto" w:sz="4" w:space="0"/>
            </w:tcBorders>
            <w:noWrap w:val="0"/>
            <w:vAlign w:val="center"/>
          </w:tcPr>
          <w:p w14:paraId="347F6609">
            <w:pPr>
              <w:spacing w:line="300" w:lineRule="auto"/>
              <w:jc w:val="center"/>
              <w:rPr>
                <w:rFonts w:ascii="Times New Roman" w:hAnsi="Times New Roman"/>
                <w:szCs w:val="21"/>
              </w:rPr>
            </w:pPr>
            <w:r>
              <w:rPr>
                <w:rFonts w:ascii="Times New Roman" w:hAnsi="Times New Roman"/>
                <w:szCs w:val="21"/>
              </w:rPr>
              <w:t>大肠埃希氏菌</w:t>
            </w:r>
          </w:p>
          <w:p w14:paraId="4A455242">
            <w:pPr>
              <w:spacing w:line="300" w:lineRule="auto"/>
              <w:jc w:val="center"/>
              <w:rPr>
                <w:rFonts w:ascii="Times New Roman" w:hAnsi="Times New Roman"/>
                <w:szCs w:val="21"/>
              </w:rPr>
            </w:pPr>
            <w:r>
              <w:rPr>
                <w:rFonts w:ascii="Times New Roman" w:hAnsi="Times New Roman"/>
                <w:szCs w:val="21"/>
              </w:rPr>
              <w:t>CMCC(B)44102</w:t>
            </w:r>
          </w:p>
        </w:tc>
        <w:tc>
          <w:tcPr>
            <w:tcW w:w="1374" w:type="dxa"/>
            <w:vMerge w:val="continue"/>
            <w:tcBorders>
              <w:bottom w:val="single" w:color="auto" w:sz="4" w:space="0"/>
            </w:tcBorders>
            <w:noWrap w:val="0"/>
            <w:vAlign w:val="center"/>
          </w:tcPr>
          <w:p w14:paraId="6CBEC266">
            <w:pPr>
              <w:spacing w:line="300" w:lineRule="auto"/>
              <w:jc w:val="center"/>
              <w:rPr>
                <w:rFonts w:ascii="Times New Roman" w:hAnsi="Times New Roman"/>
                <w:szCs w:val="21"/>
              </w:rPr>
            </w:pPr>
          </w:p>
        </w:tc>
        <w:tc>
          <w:tcPr>
            <w:tcW w:w="1322" w:type="dxa"/>
            <w:vMerge w:val="continue"/>
            <w:tcBorders>
              <w:bottom w:val="single" w:color="auto" w:sz="4" w:space="0"/>
            </w:tcBorders>
            <w:noWrap w:val="0"/>
            <w:vAlign w:val="center"/>
          </w:tcPr>
          <w:p w14:paraId="428F8C31">
            <w:pPr>
              <w:spacing w:line="300" w:lineRule="auto"/>
              <w:jc w:val="center"/>
              <w:rPr>
                <w:rFonts w:ascii="Times New Roman" w:hAnsi="Times New Roman"/>
                <w:szCs w:val="21"/>
              </w:rPr>
            </w:pPr>
          </w:p>
        </w:tc>
        <w:tc>
          <w:tcPr>
            <w:tcW w:w="1110" w:type="dxa"/>
            <w:vMerge w:val="continue"/>
            <w:tcBorders>
              <w:bottom w:val="single" w:color="auto" w:sz="4" w:space="0"/>
            </w:tcBorders>
            <w:noWrap w:val="0"/>
            <w:vAlign w:val="center"/>
          </w:tcPr>
          <w:p w14:paraId="222FA187">
            <w:pPr>
              <w:spacing w:line="300" w:lineRule="auto"/>
              <w:jc w:val="center"/>
              <w:rPr>
                <w:rFonts w:ascii="Times New Roman" w:hAnsi="Times New Roman"/>
                <w:szCs w:val="21"/>
              </w:rPr>
            </w:pPr>
          </w:p>
        </w:tc>
        <w:tc>
          <w:tcPr>
            <w:tcW w:w="1690" w:type="dxa"/>
            <w:vMerge w:val="continue"/>
            <w:tcBorders>
              <w:bottom w:val="single" w:color="auto" w:sz="4" w:space="0"/>
            </w:tcBorders>
            <w:noWrap w:val="0"/>
            <w:vAlign w:val="center"/>
          </w:tcPr>
          <w:p w14:paraId="7E9851F5">
            <w:pPr>
              <w:spacing w:line="300" w:lineRule="auto"/>
              <w:jc w:val="center"/>
              <w:rPr>
                <w:rFonts w:ascii="Times New Roman" w:hAnsi="Times New Roman"/>
                <w:szCs w:val="21"/>
              </w:rPr>
            </w:pPr>
          </w:p>
        </w:tc>
      </w:tr>
      <w:tr w14:paraId="314BCD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restart"/>
            <w:noWrap w:val="0"/>
            <w:vAlign w:val="center"/>
          </w:tcPr>
          <w:p w14:paraId="1AAB0A64">
            <w:pPr>
              <w:spacing w:line="300" w:lineRule="auto"/>
              <w:jc w:val="center"/>
              <w:rPr>
                <w:rFonts w:ascii="Times New Roman" w:hAnsi="Times New Roman"/>
                <w:szCs w:val="21"/>
              </w:rPr>
            </w:pPr>
            <w:r>
              <w:rPr>
                <w:rFonts w:ascii="Times New Roman" w:hAnsi="Times New Roman"/>
                <w:szCs w:val="21"/>
              </w:rPr>
              <w:t>普通琼脂斜面培养基</w:t>
            </w:r>
          </w:p>
        </w:tc>
        <w:tc>
          <w:tcPr>
            <w:tcW w:w="1932" w:type="dxa"/>
            <w:tcBorders>
              <w:top w:val="nil"/>
            </w:tcBorders>
            <w:noWrap w:val="0"/>
            <w:vAlign w:val="center"/>
          </w:tcPr>
          <w:p w14:paraId="1DF47655">
            <w:pPr>
              <w:spacing w:line="300" w:lineRule="auto"/>
              <w:jc w:val="center"/>
              <w:rPr>
                <w:rFonts w:ascii="Times New Roman" w:hAnsi="Times New Roman"/>
                <w:szCs w:val="21"/>
              </w:rPr>
            </w:pPr>
            <w:r>
              <w:rPr>
                <w:rFonts w:ascii="Times New Roman" w:hAnsi="Times New Roman"/>
                <w:szCs w:val="21"/>
              </w:rPr>
              <w:t>铜绿假单胞菌</w:t>
            </w:r>
          </w:p>
          <w:p w14:paraId="46DDD88D">
            <w:pPr>
              <w:spacing w:line="300" w:lineRule="auto"/>
              <w:jc w:val="center"/>
              <w:rPr>
                <w:rFonts w:ascii="Times New Roman" w:hAnsi="Times New Roman"/>
                <w:szCs w:val="21"/>
              </w:rPr>
            </w:pPr>
            <w:r>
              <w:rPr>
                <w:rFonts w:ascii="Times New Roman" w:hAnsi="Times New Roman"/>
                <w:szCs w:val="21"/>
              </w:rPr>
              <w:t>CMCC(B)10104</w:t>
            </w:r>
          </w:p>
        </w:tc>
        <w:tc>
          <w:tcPr>
            <w:tcW w:w="1374" w:type="dxa"/>
            <w:vMerge w:val="restart"/>
            <w:tcBorders>
              <w:top w:val="nil"/>
            </w:tcBorders>
            <w:noWrap w:val="0"/>
            <w:vAlign w:val="center"/>
          </w:tcPr>
          <w:p w14:paraId="0B126D8B">
            <w:pPr>
              <w:spacing w:line="300" w:lineRule="auto"/>
              <w:jc w:val="center"/>
              <w:rPr>
                <w:rFonts w:ascii="Times New Roman" w:hAnsi="Times New Roman"/>
                <w:szCs w:val="21"/>
              </w:rPr>
            </w:pPr>
            <w:r>
              <w:rPr>
                <w:rFonts w:ascii="Times New Roman" w:hAnsi="Times New Roman"/>
                <w:szCs w:val="21"/>
              </w:rPr>
              <w:t>促生长能力</w:t>
            </w:r>
          </w:p>
        </w:tc>
        <w:tc>
          <w:tcPr>
            <w:tcW w:w="1322" w:type="dxa"/>
            <w:vMerge w:val="restart"/>
            <w:noWrap w:val="0"/>
            <w:vAlign w:val="center"/>
          </w:tcPr>
          <w:p w14:paraId="3B79AD55">
            <w:pPr>
              <w:spacing w:line="300" w:lineRule="auto"/>
              <w:jc w:val="center"/>
              <w:rPr>
                <w:rFonts w:ascii="Times New Roman" w:hAnsi="Times New Roman"/>
                <w:szCs w:val="21"/>
              </w:rPr>
            </w:pPr>
            <w:r>
              <w:rPr>
                <w:rFonts w:ascii="Times New Roman" w:hAnsi="Times New Roman"/>
                <w:szCs w:val="21"/>
              </w:rPr>
              <w:t>36±1 ℃，24±2 h</w:t>
            </w:r>
          </w:p>
        </w:tc>
        <w:tc>
          <w:tcPr>
            <w:tcW w:w="1110" w:type="dxa"/>
            <w:vMerge w:val="restart"/>
            <w:tcBorders>
              <w:top w:val="nil"/>
            </w:tcBorders>
            <w:noWrap w:val="0"/>
            <w:vAlign w:val="center"/>
          </w:tcPr>
          <w:p w14:paraId="77A1AA2D">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≥0.7</w:t>
            </w:r>
          </w:p>
        </w:tc>
        <w:tc>
          <w:tcPr>
            <w:tcW w:w="1690" w:type="dxa"/>
            <w:tcBorders>
              <w:top w:val="single" w:color="auto" w:sz="4" w:space="0"/>
              <w:bottom w:val="nil"/>
            </w:tcBorders>
            <w:noWrap w:val="0"/>
            <w:vAlign w:val="center"/>
          </w:tcPr>
          <w:p w14:paraId="1C6A7EBA">
            <w:pPr>
              <w:spacing w:line="300" w:lineRule="auto"/>
              <w:jc w:val="center"/>
              <w:rPr>
                <w:rFonts w:ascii="Times New Roman" w:hAnsi="Times New Roman"/>
                <w:szCs w:val="21"/>
              </w:rPr>
            </w:pPr>
            <w:r>
              <w:rPr>
                <w:rFonts w:ascii="Times New Roman" w:hAnsi="Times New Roman"/>
                <w:szCs w:val="21"/>
              </w:rPr>
              <w:t>/</w:t>
            </w:r>
          </w:p>
        </w:tc>
      </w:tr>
      <w:tr w14:paraId="31AF31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tcBorders>
              <w:bottom w:val="single" w:color="auto" w:sz="4" w:space="0"/>
            </w:tcBorders>
            <w:noWrap w:val="0"/>
            <w:vAlign w:val="center"/>
          </w:tcPr>
          <w:p w14:paraId="36C61F28">
            <w:pPr>
              <w:spacing w:line="300" w:lineRule="auto"/>
              <w:jc w:val="center"/>
              <w:rPr>
                <w:rFonts w:ascii="Times New Roman" w:hAnsi="Times New Roman"/>
                <w:szCs w:val="21"/>
              </w:rPr>
            </w:pPr>
          </w:p>
        </w:tc>
        <w:tc>
          <w:tcPr>
            <w:tcW w:w="1932" w:type="dxa"/>
            <w:tcBorders>
              <w:bottom w:val="single" w:color="auto" w:sz="4" w:space="0"/>
            </w:tcBorders>
            <w:noWrap w:val="0"/>
            <w:vAlign w:val="center"/>
          </w:tcPr>
          <w:p w14:paraId="0DD59349">
            <w:pPr>
              <w:spacing w:line="300" w:lineRule="auto"/>
              <w:jc w:val="center"/>
              <w:rPr>
                <w:rFonts w:ascii="Times New Roman" w:hAnsi="Times New Roman"/>
                <w:szCs w:val="21"/>
              </w:rPr>
            </w:pPr>
            <w:r>
              <w:rPr>
                <w:rFonts w:ascii="Times New Roman" w:hAnsi="Times New Roman"/>
                <w:szCs w:val="21"/>
              </w:rPr>
              <w:t>金黄色葡萄球菌</w:t>
            </w:r>
          </w:p>
          <w:p w14:paraId="1DECEEBA">
            <w:pPr>
              <w:spacing w:line="300" w:lineRule="auto"/>
              <w:jc w:val="center"/>
              <w:rPr>
                <w:rFonts w:ascii="Times New Roman" w:hAnsi="Times New Roman"/>
                <w:szCs w:val="21"/>
              </w:rPr>
            </w:pPr>
            <w:r>
              <w:rPr>
                <w:rFonts w:ascii="Times New Roman" w:hAnsi="Times New Roman"/>
                <w:szCs w:val="21"/>
              </w:rPr>
              <w:t>CMCC(B)26003</w:t>
            </w:r>
          </w:p>
        </w:tc>
        <w:tc>
          <w:tcPr>
            <w:tcW w:w="1374" w:type="dxa"/>
            <w:vMerge w:val="continue"/>
            <w:tcBorders>
              <w:bottom w:val="single" w:color="auto" w:sz="4" w:space="0"/>
            </w:tcBorders>
            <w:noWrap w:val="0"/>
            <w:vAlign w:val="center"/>
          </w:tcPr>
          <w:p w14:paraId="64307C36">
            <w:pPr>
              <w:spacing w:line="300" w:lineRule="auto"/>
              <w:jc w:val="center"/>
              <w:rPr>
                <w:rFonts w:ascii="Times New Roman" w:hAnsi="Times New Roman"/>
                <w:szCs w:val="21"/>
              </w:rPr>
            </w:pPr>
          </w:p>
        </w:tc>
        <w:tc>
          <w:tcPr>
            <w:tcW w:w="1322" w:type="dxa"/>
            <w:vMerge w:val="continue"/>
            <w:tcBorders>
              <w:bottom w:val="single" w:color="auto" w:sz="4" w:space="0"/>
            </w:tcBorders>
            <w:noWrap w:val="0"/>
            <w:vAlign w:val="center"/>
          </w:tcPr>
          <w:p w14:paraId="6A4AD2E1">
            <w:pPr>
              <w:spacing w:line="300" w:lineRule="auto"/>
              <w:jc w:val="center"/>
              <w:rPr>
                <w:rFonts w:ascii="Times New Roman" w:hAnsi="Times New Roman"/>
                <w:szCs w:val="21"/>
              </w:rPr>
            </w:pPr>
          </w:p>
        </w:tc>
        <w:tc>
          <w:tcPr>
            <w:tcW w:w="1110" w:type="dxa"/>
            <w:vMerge w:val="continue"/>
            <w:tcBorders>
              <w:bottom w:val="single" w:color="auto" w:sz="4" w:space="0"/>
            </w:tcBorders>
            <w:noWrap w:val="0"/>
            <w:vAlign w:val="center"/>
          </w:tcPr>
          <w:p w14:paraId="380967A1">
            <w:pPr>
              <w:spacing w:line="300" w:lineRule="auto"/>
              <w:jc w:val="center"/>
              <w:rPr>
                <w:rFonts w:ascii="Times New Roman" w:hAnsi="Times New Roman"/>
                <w:szCs w:val="21"/>
              </w:rPr>
            </w:pPr>
          </w:p>
        </w:tc>
        <w:tc>
          <w:tcPr>
            <w:tcW w:w="1690" w:type="dxa"/>
            <w:tcBorders>
              <w:top w:val="nil"/>
              <w:bottom w:val="single" w:color="auto" w:sz="4" w:space="0"/>
            </w:tcBorders>
            <w:noWrap w:val="0"/>
            <w:vAlign w:val="center"/>
          </w:tcPr>
          <w:p w14:paraId="21813DF6">
            <w:pPr>
              <w:spacing w:line="300" w:lineRule="auto"/>
              <w:jc w:val="center"/>
              <w:rPr>
                <w:rFonts w:ascii="Times New Roman" w:hAnsi="Times New Roman"/>
                <w:szCs w:val="21"/>
              </w:rPr>
            </w:pPr>
            <w:r>
              <w:rPr>
                <w:rFonts w:ascii="Times New Roman" w:hAnsi="Times New Roman"/>
                <w:szCs w:val="21"/>
              </w:rPr>
              <w:t>/</w:t>
            </w:r>
          </w:p>
        </w:tc>
      </w:tr>
      <w:tr w14:paraId="04D9F3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restart"/>
            <w:tcBorders>
              <w:top w:val="single" w:color="auto" w:sz="4" w:space="0"/>
              <w:bottom w:val="nil"/>
            </w:tcBorders>
            <w:noWrap w:val="0"/>
            <w:vAlign w:val="center"/>
          </w:tcPr>
          <w:p w14:paraId="60D30DD8">
            <w:pPr>
              <w:spacing w:line="300" w:lineRule="auto"/>
              <w:jc w:val="center"/>
              <w:rPr>
                <w:rFonts w:ascii="Times New Roman" w:hAnsi="Times New Roman"/>
                <w:szCs w:val="21"/>
              </w:rPr>
            </w:pPr>
            <w:r>
              <w:rPr>
                <w:rFonts w:ascii="Times New Roman" w:hAnsi="Times New Roman"/>
                <w:szCs w:val="21"/>
              </w:rPr>
              <w:t>胰酪大豆胨琼脂培养基</w:t>
            </w:r>
          </w:p>
        </w:tc>
        <w:tc>
          <w:tcPr>
            <w:tcW w:w="1932" w:type="dxa"/>
            <w:tcBorders>
              <w:top w:val="single" w:color="auto" w:sz="4" w:space="0"/>
              <w:bottom w:val="nil"/>
            </w:tcBorders>
            <w:noWrap w:val="0"/>
            <w:vAlign w:val="center"/>
          </w:tcPr>
          <w:p w14:paraId="190F08EF">
            <w:pPr>
              <w:spacing w:line="300" w:lineRule="auto"/>
              <w:jc w:val="center"/>
              <w:rPr>
                <w:rFonts w:ascii="Times New Roman" w:hAnsi="Times New Roman"/>
                <w:szCs w:val="21"/>
              </w:rPr>
            </w:pPr>
            <w:r>
              <w:rPr>
                <w:rFonts w:ascii="Times New Roman" w:hAnsi="Times New Roman"/>
                <w:szCs w:val="21"/>
              </w:rPr>
              <w:t>大肠埃希氏菌</w:t>
            </w:r>
          </w:p>
          <w:p w14:paraId="56F57046">
            <w:pPr>
              <w:spacing w:line="300" w:lineRule="auto"/>
              <w:jc w:val="center"/>
              <w:rPr>
                <w:rFonts w:ascii="Times New Roman" w:hAnsi="Times New Roman"/>
                <w:szCs w:val="21"/>
              </w:rPr>
            </w:pPr>
            <w:r>
              <w:rPr>
                <w:rFonts w:ascii="Times New Roman" w:hAnsi="Times New Roman"/>
                <w:szCs w:val="21"/>
              </w:rPr>
              <w:t>CMCC(B)44102</w:t>
            </w:r>
          </w:p>
        </w:tc>
        <w:tc>
          <w:tcPr>
            <w:tcW w:w="1374" w:type="dxa"/>
            <w:vMerge w:val="restart"/>
            <w:tcBorders>
              <w:top w:val="single" w:color="auto" w:sz="4" w:space="0"/>
              <w:bottom w:val="nil"/>
            </w:tcBorders>
            <w:noWrap w:val="0"/>
            <w:vAlign w:val="center"/>
          </w:tcPr>
          <w:p w14:paraId="4CC3A29A">
            <w:pPr>
              <w:spacing w:line="300" w:lineRule="auto"/>
              <w:jc w:val="center"/>
              <w:rPr>
                <w:rFonts w:ascii="Times New Roman" w:hAnsi="Times New Roman"/>
                <w:szCs w:val="21"/>
              </w:rPr>
            </w:pPr>
            <w:r>
              <w:rPr>
                <w:rFonts w:ascii="Times New Roman" w:hAnsi="Times New Roman"/>
                <w:szCs w:val="21"/>
              </w:rPr>
              <w:t>促生长能力</w:t>
            </w:r>
          </w:p>
        </w:tc>
        <w:tc>
          <w:tcPr>
            <w:tcW w:w="1322" w:type="dxa"/>
            <w:vMerge w:val="restart"/>
            <w:tcBorders>
              <w:top w:val="single" w:color="auto" w:sz="4" w:space="0"/>
              <w:bottom w:val="nil"/>
            </w:tcBorders>
            <w:noWrap w:val="0"/>
            <w:vAlign w:val="center"/>
          </w:tcPr>
          <w:p w14:paraId="6D765D34">
            <w:pPr>
              <w:spacing w:line="300" w:lineRule="auto"/>
              <w:jc w:val="center"/>
              <w:rPr>
                <w:rFonts w:ascii="Times New Roman" w:hAnsi="Times New Roman"/>
                <w:szCs w:val="21"/>
              </w:rPr>
            </w:pPr>
            <w:r>
              <w:rPr>
                <w:rFonts w:ascii="Times New Roman" w:hAnsi="Times New Roman"/>
                <w:szCs w:val="21"/>
              </w:rPr>
              <w:t>36±1 ℃，24±2 h</w:t>
            </w:r>
          </w:p>
        </w:tc>
        <w:tc>
          <w:tcPr>
            <w:tcW w:w="1110" w:type="dxa"/>
            <w:tcBorders>
              <w:top w:val="single" w:color="auto" w:sz="4" w:space="0"/>
              <w:bottom w:val="nil"/>
            </w:tcBorders>
            <w:noWrap w:val="0"/>
            <w:vAlign w:val="center"/>
          </w:tcPr>
          <w:p w14:paraId="7D9351B5">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≥0.7</w:t>
            </w:r>
          </w:p>
        </w:tc>
        <w:tc>
          <w:tcPr>
            <w:tcW w:w="1690" w:type="dxa"/>
            <w:tcBorders>
              <w:top w:val="single" w:color="auto" w:sz="4" w:space="0"/>
              <w:bottom w:val="nil"/>
            </w:tcBorders>
            <w:noWrap w:val="0"/>
            <w:vAlign w:val="center"/>
          </w:tcPr>
          <w:p w14:paraId="754FEB2E">
            <w:pPr>
              <w:spacing w:line="300" w:lineRule="auto"/>
              <w:jc w:val="center"/>
              <w:rPr>
                <w:rFonts w:ascii="Times New Roman" w:hAnsi="Times New Roman"/>
                <w:szCs w:val="21"/>
              </w:rPr>
            </w:pPr>
            <w:r>
              <w:rPr>
                <w:rFonts w:ascii="Times New Roman" w:hAnsi="Times New Roman"/>
                <w:szCs w:val="21"/>
              </w:rPr>
              <w:t>/</w:t>
            </w:r>
          </w:p>
        </w:tc>
      </w:tr>
      <w:tr w14:paraId="01820A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tcBorders>
              <w:top w:val="nil"/>
              <w:bottom w:val="nil"/>
            </w:tcBorders>
            <w:noWrap w:val="0"/>
            <w:vAlign w:val="center"/>
          </w:tcPr>
          <w:p w14:paraId="45781132">
            <w:pPr>
              <w:spacing w:line="300" w:lineRule="auto"/>
              <w:jc w:val="center"/>
              <w:rPr>
                <w:rFonts w:ascii="Times New Roman" w:hAnsi="Times New Roman"/>
                <w:szCs w:val="21"/>
              </w:rPr>
            </w:pPr>
          </w:p>
        </w:tc>
        <w:tc>
          <w:tcPr>
            <w:tcW w:w="1932" w:type="dxa"/>
            <w:tcBorders>
              <w:top w:val="nil"/>
              <w:bottom w:val="nil"/>
            </w:tcBorders>
            <w:noWrap w:val="0"/>
            <w:vAlign w:val="center"/>
          </w:tcPr>
          <w:p w14:paraId="7A489FE9">
            <w:pPr>
              <w:spacing w:line="300" w:lineRule="auto"/>
              <w:jc w:val="center"/>
              <w:rPr>
                <w:rFonts w:ascii="Times New Roman" w:hAnsi="Times New Roman"/>
                <w:szCs w:val="21"/>
              </w:rPr>
            </w:pPr>
            <w:r>
              <w:rPr>
                <w:rFonts w:ascii="Times New Roman" w:hAnsi="Times New Roman"/>
                <w:szCs w:val="21"/>
              </w:rPr>
              <w:t>金黄色葡萄球菌</w:t>
            </w:r>
          </w:p>
          <w:p w14:paraId="5C4A1F91">
            <w:pPr>
              <w:spacing w:line="300" w:lineRule="auto"/>
              <w:jc w:val="center"/>
              <w:rPr>
                <w:rFonts w:ascii="Times New Roman" w:hAnsi="Times New Roman"/>
                <w:szCs w:val="21"/>
              </w:rPr>
            </w:pPr>
            <w:r>
              <w:rPr>
                <w:rFonts w:ascii="Times New Roman" w:hAnsi="Times New Roman"/>
                <w:szCs w:val="21"/>
              </w:rPr>
              <w:t>CMCC(B)26003</w:t>
            </w:r>
          </w:p>
        </w:tc>
        <w:tc>
          <w:tcPr>
            <w:tcW w:w="1374" w:type="dxa"/>
            <w:vMerge w:val="continue"/>
            <w:tcBorders>
              <w:top w:val="nil"/>
              <w:bottom w:val="nil"/>
            </w:tcBorders>
            <w:noWrap w:val="0"/>
            <w:vAlign w:val="center"/>
          </w:tcPr>
          <w:p w14:paraId="463BA269">
            <w:pPr>
              <w:spacing w:line="300" w:lineRule="auto"/>
              <w:jc w:val="center"/>
              <w:rPr>
                <w:rFonts w:ascii="Times New Roman" w:hAnsi="Times New Roman"/>
                <w:szCs w:val="21"/>
              </w:rPr>
            </w:pPr>
          </w:p>
        </w:tc>
        <w:tc>
          <w:tcPr>
            <w:tcW w:w="1322" w:type="dxa"/>
            <w:vMerge w:val="continue"/>
            <w:tcBorders>
              <w:top w:val="nil"/>
              <w:bottom w:val="nil"/>
            </w:tcBorders>
            <w:noWrap w:val="0"/>
            <w:vAlign w:val="center"/>
          </w:tcPr>
          <w:p w14:paraId="2B23A979">
            <w:pPr>
              <w:spacing w:line="300" w:lineRule="auto"/>
              <w:jc w:val="center"/>
              <w:rPr>
                <w:rFonts w:ascii="Times New Roman" w:hAnsi="Times New Roman"/>
                <w:szCs w:val="21"/>
              </w:rPr>
            </w:pPr>
          </w:p>
        </w:tc>
        <w:tc>
          <w:tcPr>
            <w:tcW w:w="1110" w:type="dxa"/>
            <w:tcBorders>
              <w:top w:val="nil"/>
              <w:bottom w:val="nil"/>
            </w:tcBorders>
            <w:noWrap w:val="0"/>
            <w:vAlign w:val="center"/>
          </w:tcPr>
          <w:p w14:paraId="52D89086">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≥0.7</w:t>
            </w:r>
          </w:p>
        </w:tc>
        <w:tc>
          <w:tcPr>
            <w:tcW w:w="1690" w:type="dxa"/>
            <w:tcBorders>
              <w:top w:val="nil"/>
              <w:bottom w:val="nil"/>
            </w:tcBorders>
            <w:noWrap w:val="0"/>
            <w:vAlign w:val="center"/>
          </w:tcPr>
          <w:p w14:paraId="37CCE4D0">
            <w:pPr>
              <w:spacing w:line="300" w:lineRule="auto"/>
              <w:jc w:val="center"/>
              <w:rPr>
                <w:rFonts w:ascii="Times New Roman" w:hAnsi="Times New Roman"/>
                <w:szCs w:val="21"/>
              </w:rPr>
            </w:pPr>
            <w:r>
              <w:rPr>
                <w:rFonts w:ascii="Times New Roman" w:hAnsi="Times New Roman"/>
                <w:szCs w:val="21"/>
              </w:rPr>
              <w:t>/</w:t>
            </w:r>
          </w:p>
        </w:tc>
      </w:tr>
      <w:tr w14:paraId="56C459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tcBorders>
              <w:top w:val="nil"/>
              <w:bottom w:val="single" w:color="auto" w:sz="4" w:space="0"/>
            </w:tcBorders>
            <w:noWrap w:val="0"/>
            <w:vAlign w:val="center"/>
          </w:tcPr>
          <w:p w14:paraId="02EDDA6E">
            <w:pPr>
              <w:spacing w:line="300" w:lineRule="auto"/>
              <w:jc w:val="center"/>
              <w:rPr>
                <w:rFonts w:ascii="Times New Roman" w:hAnsi="Times New Roman"/>
                <w:szCs w:val="21"/>
              </w:rPr>
            </w:pPr>
          </w:p>
        </w:tc>
        <w:tc>
          <w:tcPr>
            <w:tcW w:w="1932" w:type="dxa"/>
            <w:tcBorders>
              <w:top w:val="nil"/>
              <w:bottom w:val="single" w:color="auto" w:sz="4" w:space="0"/>
            </w:tcBorders>
            <w:noWrap w:val="0"/>
            <w:vAlign w:val="center"/>
          </w:tcPr>
          <w:p w14:paraId="203082E6">
            <w:pPr>
              <w:spacing w:line="300" w:lineRule="auto"/>
              <w:jc w:val="center"/>
              <w:rPr>
                <w:rFonts w:ascii="Times New Roman" w:hAnsi="Times New Roman"/>
                <w:szCs w:val="21"/>
              </w:rPr>
            </w:pPr>
            <w:r>
              <w:rPr>
                <w:rFonts w:ascii="Times New Roman" w:hAnsi="Times New Roman"/>
                <w:szCs w:val="21"/>
              </w:rPr>
              <w:t>枯草芽孢杆菌</w:t>
            </w:r>
          </w:p>
          <w:p w14:paraId="0B2EA064">
            <w:pPr>
              <w:pStyle w:val="3"/>
              <w:spacing w:after="0" w:line="300" w:lineRule="auto"/>
              <w:ind w:left="0" w:leftChars="0" w:firstLine="0" w:firstLineChars="0"/>
              <w:jc w:val="center"/>
              <w:rPr>
                <w:szCs w:val="21"/>
              </w:rPr>
            </w:pPr>
            <w:r>
              <w:rPr>
                <w:szCs w:val="21"/>
              </w:rPr>
              <w:t>CMCC(B)63501</w:t>
            </w:r>
          </w:p>
        </w:tc>
        <w:tc>
          <w:tcPr>
            <w:tcW w:w="1374" w:type="dxa"/>
            <w:vMerge w:val="continue"/>
            <w:tcBorders>
              <w:top w:val="nil"/>
              <w:bottom w:val="single" w:color="auto" w:sz="4" w:space="0"/>
            </w:tcBorders>
            <w:noWrap w:val="0"/>
            <w:vAlign w:val="center"/>
          </w:tcPr>
          <w:p w14:paraId="6DA76654">
            <w:pPr>
              <w:spacing w:line="300" w:lineRule="auto"/>
              <w:jc w:val="center"/>
              <w:rPr>
                <w:rFonts w:ascii="Times New Roman" w:hAnsi="Times New Roman"/>
                <w:szCs w:val="21"/>
              </w:rPr>
            </w:pPr>
          </w:p>
        </w:tc>
        <w:tc>
          <w:tcPr>
            <w:tcW w:w="1322" w:type="dxa"/>
            <w:vMerge w:val="continue"/>
            <w:tcBorders>
              <w:top w:val="nil"/>
              <w:bottom w:val="single" w:color="auto" w:sz="4" w:space="0"/>
            </w:tcBorders>
            <w:noWrap w:val="0"/>
            <w:vAlign w:val="center"/>
          </w:tcPr>
          <w:p w14:paraId="63B58B46">
            <w:pPr>
              <w:spacing w:line="300" w:lineRule="auto"/>
              <w:jc w:val="center"/>
              <w:rPr>
                <w:rFonts w:ascii="Times New Roman" w:hAnsi="Times New Roman"/>
                <w:szCs w:val="21"/>
              </w:rPr>
            </w:pPr>
          </w:p>
        </w:tc>
        <w:tc>
          <w:tcPr>
            <w:tcW w:w="1110" w:type="dxa"/>
            <w:tcBorders>
              <w:top w:val="nil"/>
              <w:bottom w:val="single" w:color="auto" w:sz="4" w:space="0"/>
            </w:tcBorders>
            <w:noWrap w:val="0"/>
            <w:vAlign w:val="center"/>
          </w:tcPr>
          <w:p w14:paraId="742CB36B">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≥0.7</w:t>
            </w:r>
          </w:p>
        </w:tc>
        <w:tc>
          <w:tcPr>
            <w:tcW w:w="1690" w:type="dxa"/>
            <w:tcBorders>
              <w:top w:val="nil"/>
              <w:bottom w:val="single" w:color="auto" w:sz="4" w:space="0"/>
            </w:tcBorders>
            <w:noWrap w:val="0"/>
            <w:vAlign w:val="center"/>
          </w:tcPr>
          <w:p w14:paraId="42D94A51">
            <w:pPr>
              <w:spacing w:line="300" w:lineRule="auto"/>
              <w:jc w:val="center"/>
              <w:rPr>
                <w:rFonts w:ascii="Times New Roman" w:hAnsi="Times New Roman"/>
                <w:szCs w:val="21"/>
              </w:rPr>
            </w:pPr>
            <w:r>
              <w:rPr>
                <w:rFonts w:ascii="Times New Roman" w:hAnsi="Times New Roman"/>
                <w:szCs w:val="21"/>
              </w:rPr>
              <w:t>/</w:t>
            </w:r>
          </w:p>
        </w:tc>
      </w:tr>
      <w:tr w14:paraId="0CC614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tcBorders>
              <w:top w:val="single" w:color="auto" w:sz="4" w:space="0"/>
              <w:bottom w:val="single" w:color="auto" w:sz="4" w:space="0"/>
            </w:tcBorders>
            <w:noWrap w:val="0"/>
            <w:vAlign w:val="center"/>
          </w:tcPr>
          <w:p w14:paraId="60689AD3">
            <w:pPr>
              <w:spacing w:line="300" w:lineRule="auto"/>
              <w:jc w:val="center"/>
              <w:rPr>
                <w:rFonts w:ascii="Times New Roman" w:hAnsi="Times New Roman"/>
                <w:szCs w:val="21"/>
              </w:rPr>
            </w:pPr>
            <w:r>
              <w:rPr>
                <w:rFonts w:ascii="Times New Roman" w:hAnsi="Times New Roman"/>
                <w:szCs w:val="21"/>
              </w:rPr>
              <w:t>血琼脂培养基</w:t>
            </w:r>
          </w:p>
        </w:tc>
        <w:tc>
          <w:tcPr>
            <w:tcW w:w="1932" w:type="dxa"/>
            <w:tcBorders>
              <w:top w:val="single" w:color="auto" w:sz="4" w:space="0"/>
              <w:bottom w:val="single" w:color="auto" w:sz="4" w:space="0"/>
            </w:tcBorders>
            <w:noWrap w:val="0"/>
            <w:vAlign w:val="center"/>
          </w:tcPr>
          <w:p w14:paraId="661AD14B">
            <w:pPr>
              <w:spacing w:line="300" w:lineRule="auto"/>
              <w:jc w:val="center"/>
              <w:rPr>
                <w:rFonts w:ascii="Times New Roman" w:hAnsi="Times New Roman"/>
                <w:szCs w:val="21"/>
              </w:rPr>
            </w:pPr>
            <w:r>
              <w:rPr>
                <w:rFonts w:ascii="Times New Roman" w:hAnsi="Times New Roman"/>
                <w:szCs w:val="21"/>
              </w:rPr>
              <w:t>金黄色葡萄球菌</w:t>
            </w:r>
          </w:p>
          <w:p w14:paraId="21C98D78">
            <w:pPr>
              <w:spacing w:line="300" w:lineRule="auto"/>
              <w:jc w:val="center"/>
              <w:rPr>
                <w:rFonts w:ascii="Times New Roman" w:hAnsi="Times New Roman"/>
                <w:szCs w:val="21"/>
              </w:rPr>
            </w:pPr>
            <w:r>
              <w:rPr>
                <w:rFonts w:ascii="Times New Roman" w:hAnsi="Times New Roman"/>
                <w:szCs w:val="21"/>
              </w:rPr>
              <w:t>CMCC(B)26003</w:t>
            </w:r>
          </w:p>
        </w:tc>
        <w:tc>
          <w:tcPr>
            <w:tcW w:w="1374" w:type="dxa"/>
            <w:tcBorders>
              <w:top w:val="single" w:color="auto" w:sz="4" w:space="0"/>
              <w:bottom w:val="single" w:color="auto" w:sz="4" w:space="0"/>
            </w:tcBorders>
            <w:noWrap w:val="0"/>
            <w:vAlign w:val="center"/>
          </w:tcPr>
          <w:p w14:paraId="1BD7EB59">
            <w:pPr>
              <w:spacing w:line="300" w:lineRule="auto"/>
              <w:jc w:val="center"/>
              <w:rPr>
                <w:rFonts w:ascii="Times New Roman" w:hAnsi="Times New Roman"/>
                <w:szCs w:val="21"/>
              </w:rPr>
            </w:pPr>
            <w:r>
              <w:rPr>
                <w:rFonts w:ascii="Times New Roman" w:hAnsi="Times New Roman"/>
                <w:szCs w:val="21"/>
              </w:rPr>
              <w:t>促生长能力</w:t>
            </w:r>
          </w:p>
        </w:tc>
        <w:tc>
          <w:tcPr>
            <w:tcW w:w="1322" w:type="dxa"/>
            <w:tcBorders>
              <w:top w:val="single" w:color="auto" w:sz="4" w:space="0"/>
              <w:bottom w:val="single" w:color="auto" w:sz="4" w:space="0"/>
            </w:tcBorders>
            <w:noWrap w:val="0"/>
            <w:vAlign w:val="center"/>
          </w:tcPr>
          <w:p w14:paraId="4FD868C6">
            <w:pPr>
              <w:spacing w:line="300" w:lineRule="auto"/>
              <w:jc w:val="center"/>
              <w:rPr>
                <w:rFonts w:ascii="Times New Roman" w:hAnsi="Times New Roman"/>
                <w:szCs w:val="21"/>
              </w:rPr>
            </w:pPr>
            <w:r>
              <w:rPr>
                <w:rFonts w:ascii="Times New Roman" w:hAnsi="Times New Roman"/>
                <w:szCs w:val="21"/>
              </w:rPr>
              <w:t>36±1 ℃，24±2 h</w:t>
            </w:r>
          </w:p>
        </w:tc>
        <w:tc>
          <w:tcPr>
            <w:tcW w:w="1110" w:type="dxa"/>
            <w:tcBorders>
              <w:top w:val="single" w:color="auto" w:sz="4" w:space="0"/>
              <w:bottom w:val="single" w:color="auto" w:sz="4" w:space="0"/>
            </w:tcBorders>
            <w:noWrap w:val="0"/>
            <w:vAlign w:val="center"/>
          </w:tcPr>
          <w:p w14:paraId="063898A0">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≥0.7</w:t>
            </w:r>
          </w:p>
        </w:tc>
        <w:tc>
          <w:tcPr>
            <w:tcW w:w="1690" w:type="dxa"/>
            <w:tcBorders>
              <w:top w:val="single" w:color="auto" w:sz="4" w:space="0"/>
              <w:bottom w:val="single" w:color="auto" w:sz="4" w:space="0"/>
            </w:tcBorders>
            <w:noWrap w:val="0"/>
            <w:vAlign w:val="center"/>
          </w:tcPr>
          <w:p w14:paraId="1C483EA4">
            <w:pPr>
              <w:spacing w:line="300" w:lineRule="auto"/>
              <w:jc w:val="center"/>
              <w:rPr>
                <w:rFonts w:ascii="Times New Roman" w:hAnsi="Times New Roman"/>
                <w:szCs w:val="21"/>
              </w:rPr>
            </w:pPr>
            <w:r>
              <w:rPr>
                <w:rFonts w:ascii="Times New Roman" w:hAnsi="Times New Roman"/>
                <w:szCs w:val="21"/>
              </w:rPr>
              <w:t>菌落呈金黄色（有时为白色），菌落周围有β溶血环</w:t>
            </w:r>
          </w:p>
        </w:tc>
      </w:tr>
      <w:tr w14:paraId="25DA9D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restart"/>
            <w:tcBorders>
              <w:top w:val="single" w:color="auto" w:sz="4" w:space="0"/>
            </w:tcBorders>
            <w:noWrap w:val="0"/>
            <w:vAlign w:val="center"/>
          </w:tcPr>
          <w:p w14:paraId="1FEAD153">
            <w:pPr>
              <w:spacing w:line="300" w:lineRule="auto"/>
              <w:jc w:val="center"/>
              <w:rPr>
                <w:rFonts w:ascii="Times New Roman" w:hAnsi="Times New Roman"/>
                <w:szCs w:val="21"/>
              </w:rPr>
            </w:pPr>
            <w:r>
              <w:rPr>
                <w:rFonts w:ascii="Times New Roman" w:hAnsi="Times New Roman"/>
                <w:szCs w:val="21"/>
              </w:rPr>
              <w:t>伊红美蓝（EMB）</w:t>
            </w:r>
            <w:r>
              <w:rPr>
                <w:rFonts w:hint="eastAsia" w:ascii="Times New Roman" w:hAnsi="Times New Roman"/>
                <w:szCs w:val="21"/>
              </w:rPr>
              <w:t>琼脂</w:t>
            </w:r>
          </w:p>
          <w:p w14:paraId="7EAAE679">
            <w:pPr>
              <w:spacing w:line="300" w:lineRule="auto"/>
              <w:jc w:val="center"/>
              <w:rPr>
                <w:rFonts w:ascii="Times New Roman" w:hAnsi="Times New Roman"/>
                <w:szCs w:val="21"/>
              </w:rPr>
            </w:pPr>
            <w:r>
              <w:rPr>
                <w:rFonts w:hint="eastAsia" w:ascii="Times New Roman" w:hAnsi="Times New Roman"/>
                <w:szCs w:val="21"/>
              </w:rPr>
              <w:t>培养基</w:t>
            </w:r>
          </w:p>
        </w:tc>
        <w:tc>
          <w:tcPr>
            <w:tcW w:w="1932" w:type="dxa"/>
            <w:tcBorders>
              <w:top w:val="single" w:color="auto" w:sz="4" w:space="0"/>
              <w:bottom w:val="nil"/>
            </w:tcBorders>
            <w:noWrap w:val="0"/>
            <w:vAlign w:val="center"/>
          </w:tcPr>
          <w:p w14:paraId="555ED9F8">
            <w:pPr>
              <w:spacing w:line="300" w:lineRule="auto"/>
              <w:jc w:val="center"/>
              <w:rPr>
                <w:rFonts w:ascii="Times New Roman" w:hAnsi="Times New Roman"/>
                <w:szCs w:val="21"/>
              </w:rPr>
            </w:pPr>
            <w:r>
              <w:rPr>
                <w:rFonts w:ascii="Times New Roman" w:hAnsi="Times New Roman"/>
                <w:szCs w:val="21"/>
              </w:rPr>
              <w:t>大肠埃希氏菌</w:t>
            </w:r>
          </w:p>
          <w:p w14:paraId="7455C58B">
            <w:pPr>
              <w:spacing w:line="300" w:lineRule="auto"/>
              <w:jc w:val="center"/>
              <w:rPr>
                <w:rFonts w:ascii="Times New Roman" w:hAnsi="Times New Roman"/>
                <w:szCs w:val="21"/>
              </w:rPr>
            </w:pPr>
            <w:r>
              <w:rPr>
                <w:rFonts w:ascii="Times New Roman" w:hAnsi="Times New Roman"/>
                <w:szCs w:val="21"/>
              </w:rPr>
              <w:t>CMCC(B)44102</w:t>
            </w:r>
          </w:p>
        </w:tc>
        <w:tc>
          <w:tcPr>
            <w:tcW w:w="1374" w:type="dxa"/>
            <w:tcBorders>
              <w:top w:val="single" w:color="auto" w:sz="4" w:space="0"/>
              <w:bottom w:val="nil"/>
            </w:tcBorders>
            <w:noWrap w:val="0"/>
            <w:vAlign w:val="center"/>
          </w:tcPr>
          <w:p w14:paraId="513719FA">
            <w:pPr>
              <w:spacing w:line="300" w:lineRule="auto"/>
              <w:jc w:val="center"/>
              <w:rPr>
                <w:rFonts w:ascii="Times New Roman" w:hAnsi="Times New Roman"/>
                <w:szCs w:val="21"/>
              </w:rPr>
            </w:pPr>
            <w:r>
              <w:rPr>
                <w:rFonts w:ascii="Times New Roman" w:hAnsi="Times New Roman"/>
                <w:szCs w:val="21"/>
              </w:rPr>
              <w:t>促生长能力</w:t>
            </w:r>
          </w:p>
        </w:tc>
        <w:tc>
          <w:tcPr>
            <w:tcW w:w="1322" w:type="dxa"/>
            <w:vMerge w:val="restart"/>
            <w:tcBorders>
              <w:top w:val="single" w:color="auto" w:sz="4" w:space="0"/>
            </w:tcBorders>
            <w:noWrap w:val="0"/>
            <w:vAlign w:val="center"/>
          </w:tcPr>
          <w:p w14:paraId="0798E374">
            <w:pPr>
              <w:spacing w:line="300" w:lineRule="auto"/>
              <w:jc w:val="center"/>
              <w:rPr>
                <w:rFonts w:ascii="Times New Roman" w:hAnsi="Times New Roman"/>
                <w:szCs w:val="21"/>
              </w:rPr>
            </w:pPr>
            <w:r>
              <w:rPr>
                <w:rFonts w:ascii="Times New Roman" w:hAnsi="Times New Roman"/>
                <w:szCs w:val="21"/>
              </w:rPr>
              <w:t>36±1 ℃，24±2 h</w:t>
            </w:r>
          </w:p>
        </w:tc>
        <w:tc>
          <w:tcPr>
            <w:tcW w:w="1110" w:type="dxa"/>
            <w:tcBorders>
              <w:top w:val="single" w:color="auto" w:sz="4" w:space="0"/>
              <w:bottom w:val="nil"/>
            </w:tcBorders>
            <w:noWrap w:val="0"/>
            <w:vAlign w:val="center"/>
          </w:tcPr>
          <w:p w14:paraId="1AA91773">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≥0.5</w:t>
            </w:r>
          </w:p>
        </w:tc>
        <w:tc>
          <w:tcPr>
            <w:tcW w:w="1690" w:type="dxa"/>
            <w:tcBorders>
              <w:top w:val="single" w:color="auto" w:sz="4" w:space="0"/>
              <w:bottom w:val="nil"/>
            </w:tcBorders>
            <w:noWrap w:val="0"/>
            <w:vAlign w:val="center"/>
          </w:tcPr>
          <w:p w14:paraId="2BB27839">
            <w:pPr>
              <w:spacing w:line="300" w:lineRule="auto"/>
              <w:jc w:val="center"/>
              <w:rPr>
                <w:rFonts w:ascii="Times New Roman" w:hAnsi="Times New Roman"/>
                <w:szCs w:val="21"/>
              </w:rPr>
            </w:pPr>
            <w:r>
              <w:rPr>
                <w:rFonts w:ascii="Times New Roman" w:hAnsi="Times New Roman"/>
                <w:szCs w:val="21"/>
              </w:rPr>
              <w:t>黑色菌落，具有金属光泽</w:t>
            </w:r>
          </w:p>
        </w:tc>
      </w:tr>
      <w:tr w14:paraId="469DAF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noWrap w:val="0"/>
            <w:vAlign w:val="center"/>
          </w:tcPr>
          <w:p w14:paraId="6D361B52">
            <w:pPr>
              <w:spacing w:line="300" w:lineRule="auto"/>
              <w:jc w:val="center"/>
              <w:rPr>
                <w:rFonts w:ascii="Times New Roman" w:hAnsi="Times New Roman"/>
                <w:szCs w:val="21"/>
              </w:rPr>
            </w:pPr>
          </w:p>
        </w:tc>
        <w:tc>
          <w:tcPr>
            <w:tcW w:w="1932" w:type="dxa"/>
            <w:tcBorders>
              <w:top w:val="nil"/>
              <w:bottom w:val="nil"/>
            </w:tcBorders>
            <w:noWrap w:val="0"/>
            <w:vAlign w:val="center"/>
          </w:tcPr>
          <w:p w14:paraId="6D084A6E">
            <w:pPr>
              <w:spacing w:line="300" w:lineRule="auto"/>
              <w:jc w:val="center"/>
              <w:rPr>
                <w:rFonts w:ascii="Times New Roman" w:hAnsi="Times New Roman"/>
                <w:szCs w:val="21"/>
              </w:rPr>
            </w:pPr>
            <w:r>
              <w:rPr>
                <w:rFonts w:ascii="Times New Roman" w:hAnsi="Times New Roman"/>
                <w:szCs w:val="21"/>
              </w:rPr>
              <w:t>金黄色葡萄球菌</w:t>
            </w:r>
          </w:p>
          <w:p w14:paraId="5C5F9541">
            <w:pPr>
              <w:spacing w:line="300" w:lineRule="auto"/>
              <w:jc w:val="center"/>
              <w:rPr>
                <w:rFonts w:ascii="Times New Roman" w:hAnsi="Times New Roman"/>
                <w:szCs w:val="21"/>
              </w:rPr>
            </w:pPr>
            <w:r>
              <w:rPr>
                <w:rFonts w:ascii="Times New Roman" w:hAnsi="Times New Roman"/>
                <w:szCs w:val="21"/>
              </w:rPr>
              <w:t>CMCC(B)26003</w:t>
            </w:r>
          </w:p>
        </w:tc>
        <w:tc>
          <w:tcPr>
            <w:tcW w:w="1374" w:type="dxa"/>
            <w:tcBorders>
              <w:top w:val="nil"/>
              <w:bottom w:val="single" w:color="auto" w:sz="4" w:space="0"/>
            </w:tcBorders>
            <w:noWrap w:val="0"/>
            <w:vAlign w:val="center"/>
          </w:tcPr>
          <w:p w14:paraId="27CB4B15">
            <w:pPr>
              <w:spacing w:line="300" w:lineRule="auto"/>
              <w:jc w:val="center"/>
              <w:rPr>
                <w:rFonts w:ascii="Times New Roman" w:hAnsi="Times New Roman"/>
                <w:szCs w:val="21"/>
              </w:rPr>
            </w:pPr>
            <w:r>
              <w:rPr>
                <w:rFonts w:ascii="Times New Roman" w:hAnsi="Times New Roman"/>
                <w:szCs w:val="21"/>
              </w:rPr>
              <w:t>抑制能力</w:t>
            </w:r>
          </w:p>
        </w:tc>
        <w:tc>
          <w:tcPr>
            <w:tcW w:w="1322" w:type="dxa"/>
            <w:vMerge w:val="continue"/>
            <w:noWrap w:val="0"/>
            <w:vAlign w:val="center"/>
          </w:tcPr>
          <w:p w14:paraId="54A57F06">
            <w:pPr>
              <w:spacing w:line="300" w:lineRule="auto"/>
              <w:jc w:val="center"/>
              <w:rPr>
                <w:rFonts w:ascii="Times New Roman" w:hAnsi="Times New Roman"/>
                <w:szCs w:val="21"/>
              </w:rPr>
            </w:pPr>
          </w:p>
        </w:tc>
        <w:tc>
          <w:tcPr>
            <w:tcW w:w="1110" w:type="dxa"/>
            <w:tcBorders>
              <w:top w:val="nil"/>
              <w:bottom w:val="single" w:color="auto" w:sz="4" w:space="0"/>
            </w:tcBorders>
            <w:noWrap w:val="0"/>
            <w:vAlign w:val="center"/>
          </w:tcPr>
          <w:p w14:paraId="5D7C7513">
            <w:pPr>
              <w:spacing w:line="300" w:lineRule="auto"/>
              <w:jc w:val="center"/>
              <w:rPr>
                <w:rFonts w:ascii="Times New Roman" w:hAnsi="Times New Roman"/>
                <w:szCs w:val="21"/>
              </w:rPr>
            </w:pPr>
            <w:r>
              <w:rPr>
                <w:rFonts w:ascii="Times New Roman" w:hAnsi="Times New Roman"/>
                <w:szCs w:val="21"/>
              </w:rPr>
              <w:t>G＜5</w:t>
            </w:r>
          </w:p>
        </w:tc>
        <w:tc>
          <w:tcPr>
            <w:tcW w:w="1690" w:type="dxa"/>
            <w:tcBorders>
              <w:top w:val="nil"/>
              <w:bottom w:val="single" w:color="auto" w:sz="4" w:space="0"/>
            </w:tcBorders>
            <w:noWrap w:val="0"/>
            <w:vAlign w:val="center"/>
          </w:tcPr>
          <w:p w14:paraId="035205EC">
            <w:pPr>
              <w:spacing w:line="300" w:lineRule="auto"/>
              <w:jc w:val="center"/>
              <w:rPr>
                <w:rFonts w:ascii="Times New Roman" w:hAnsi="Times New Roman"/>
                <w:szCs w:val="21"/>
              </w:rPr>
            </w:pPr>
            <w:r>
              <w:rPr>
                <w:rFonts w:ascii="Times New Roman" w:hAnsi="Times New Roman"/>
                <w:szCs w:val="21"/>
              </w:rPr>
              <w:t>/</w:t>
            </w:r>
          </w:p>
        </w:tc>
      </w:tr>
      <w:tr w14:paraId="6D1DA0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restart"/>
            <w:tcBorders>
              <w:top w:val="single" w:color="auto" w:sz="4" w:space="0"/>
              <w:bottom w:val="nil"/>
            </w:tcBorders>
            <w:noWrap w:val="0"/>
            <w:vAlign w:val="center"/>
          </w:tcPr>
          <w:p w14:paraId="2DCA2660">
            <w:pPr>
              <w:spacing w:line="300" w:lineRule="auto"/>
              <w:jc w:val="center"/>
              <w:rPr>
                <w:rFonts w:ascii="Times New Roman" w:hAnsi="Times New Roman"/>
                <w:szCs w:val="21"/>
              </w:rPr>
            </w:pPr>
            <w:r>
              <w:rPr>
                <w:rFonts w:ascii="Times New Roman" w:hAnsi="Times New Roman"/>
                <w:szCs w:val="21"/>
              </w:rPr>
              <w:t>CN</w:t>
            </w:r>
            <w:r>
              <w:rPr>
                <w:rFonts w:hint="eastAsia" w:ascii="Times New Roman" w:hAnsi="Times New Roman"/>
                <w:szCs w:val="21"/>
              </w:rPr>
              <w:t>琼脂培养基</w:t>
            </w:r>
          </w:p>
        </w:tc>
        <w:tc>
          <w:tcPr>
            <w:tcW w:w="1932" w:type="dxa"/>
            <w:tcBorders>
              <w:top w:val="single" w:color="auto" w:sz="4" w:space="0"/>
              <w:bottom w:val="nil"/>
            </w:tcBorders>
            <w:noWrap w:val="0"/>
            <w:vAlign w:val="center"/>
          </w:tcPr>
          <w:p w14:paraId="148C6540">
            <w:pPr>
              <w:spacing w:line="300" w:lineRule="auto"/>
              <w:jc w:val="center"/>
              <w:rPr>
                <w:rFonts w:ascii="Times New Roman" w:hAnsi="Times New Roman"/>
                <w:szCs w:val="21"/>
              </w:rPr>
            </w:pPr>
            <w:r>
              <w:rPr>
                <w:rFonts w:ascii="Times New Roman" w:hAnsi="Times New Roman"/>
                <w:szCs w:val="21"/>
              </w:rPr>
              <w:t>铜绿假单胞菌</w:t>
            </w:r>
          </w:p>
          <w:p w14:paraId="6EE8EA9C">
            <w:pPr>
              <w:pStyle w:val="3"/>
              <w:spacing w:after="0" w:line="300" w:lineRule="auto"/>
              <w:ind w:left="0" w:leftChars="0" w:firstLine="0" w:firstLineChars="0"/>
              <w:jc w:val="center"/>
              <w:rPr>
                <w:szCs w:val="21"/>
              </w:rPr>
            </w:pPr>
            <w:r>
              <w:rPr>
                <w:szCs w:val="21"/>
              </w:rPr>
              <w:t>CMCC(B)10104</w:t>
            </w:r>
          </w:p>
        </w:tc>
        <w:tc>
          <w:tcPr>
            <w:tcW w:w="1374" w:type="dxa"/>
            <w:tcBorders>
              <w:top w:val="single" w:color="auto" w:sz="4" w:space="0"/>
              <w:bottom w:val="nil"/>
            </w:tcBorders>
            <w:noWrap w:val="0"/>
            <w:vAlign w:val="center"/>
          </w:tcPr>
          <w:p w14:paraId="01542829">
            <w:pPr>
              <w:spacing w:line="300" w:lineRule="auto"/>
              <w:jc w:val="center"/>
              <w:rPr>
                <w:rFonts w:ascii="Times New Roman" w:hAnsi="Times New Roman"/>
                <w:szCs w:val="21"/>
              </w:rPr>
            </w:pPr>
            <w:r>
              <w:rPr>
                <w:rFonts w:ascii="Times New Roman" w:hAnsi="Times New Roman"/>
                <w:szCs w:val="21"/>
              </w:rPr>
              <w:t>促生长能力</w:t>
            </w:r>
          </w:p>
        </w:tc>
        <w:tc>
          <w:tcPr>
            <w:tcW w:w="1322" w:type="dxa"/>
            <w:vMerge w:val="restart"/>
            <w:tcBorders>
              <w:top w:val="single" w:color="auto" w:sz="4" w:space="0"/>
              <w:bottom w:val="nil"/>
            </w:tcBorders>
            <w:noWrap w:val="0"/>
            <w:vAlign w:val="center"/>
          </w:tcPr>
          <w:p w14:paraId="19156507">
            <w:pPr>
              <w:spacing w:line="300" w:lineRule="auto"/>
              <w:jc w:val="center"/>
              <w:rPr>
                <w:rFonts w:ascii="Times New Roman" w:hAnsi="Times New Roman"/>
                <w:szCs w:val="21"/>
              </w:rPr>
            </w:pPr>
            <w:r>
              <w:rPr>
                <w:rFonts w:ascii="Times New Roman" w:hAnsi="Times New Roman"/>
                <w:szCs w:val="21"/>
              </w:rPr>
              <w:t>36±1 ℃，24±2 h</w:t>
            </w:r>
          </w:p>
        </w:tc>
        <w:tc>
          <w:tcPr>
            <w:tcW w:w="1110" w:type="dxa"/>
            <w:tcBorders>
              <w:top w:val="single" w:color="auto" w:sz="4" w:space="0"/>
              <w:bottom w:val="nil"/>
            </w:tcBorders>
            <w:noWrap w:val="0"/>
            <w:vAlign w:val="center"/>
          </w:tcPr>
          <w:p w14:paraId="2882687A">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≥0.5</w:t>
            </w:r>
          </w:p>
        </w:tc>
        <w:tc>
          <w:tcPr>
            <w:tcW w:w="1690" w:type="dxa"/>
            <w:tcBorders>
              <w:top w:val="single" w:color="auto" w:sz="4" w:space="0"/>
              <w:bottom w:val="nil"/>
            </w:tcBorders>
            <w:noWrap w:val="0"/>
            <w:vAlign w:val="center"/>
          </w:tcPr>
          <w:p w14:paraId="1F8C3507">
            <w:pPr>
              <w:spacing w:line="300" w:lineRule="auto"/>
              <w:jc w:val="center"/>
              <w:rPr>
                <w:rFonts w:ascii="Times New Roman" w:hAnsi="Times New Roman"/>
                <w:szCs w:val="21"/>
              </w:rPr>
            </w:pPr>
            <w:r>
              <w:rPr>
                <w:rFonts w:ascii="Times New Roman" w:hAnsi="Times New Roman"/>
                <w:szCs w:val="21"/>
              </w:rPr>
              <w:t>有绿色色素形成</w:t>
            </w:r>
          </w:p>
        </w:tc>
      </w:tr>
      <w:tr w14:paraId="625F72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tcBorders>
              <w:top w:val="nil"/>
              <w:bottom w:val="nil"/>
            </w:tcBorders>
            <w:noWrap w:val="0"/>
            <w:vAlign w:val="center"/>
          </w:tcPr>
          <w:p w14:paraId="2A0A732B">
            <w:pPr>
              <w:spacing w:line="300" w:lineRule="auto"/>
              <w:jc w:val="center"/>
              <w:rPr>
                <w:rFonts w:ascii="Times New Roman" w:hAnsi="Times New Roman"/>
                <w:szCs w:val="21"/>
              </w:rPr>
            </w:pPr>
          </w:p>
        </w:tc>
        <w:tc>
          <w:tcPr>
            <w:tcW w:w="1932" w:type="dxa"/>
            <w:tcBorders>
              <w:top w:val="nil"/>
              <w:bottom w:val="nil"/>
            </w:tcBorders>
            <w:noWrap w:val="0"/>
            <w:vAlign w:val="center"/>
          </w:tcPr>
          <w:p w14:paraId="48DFEF91">
            <w:pPr>
              <w:spacing w:line="300" w:lineRule="auto"/>
              <w:jc w:val="center"/>
              <w:rPr>
                <w:rFonts w:ascii="Times New Roman" w:hAnsi="Times New Roman"/>
                <w:szCs w:val="21"/>
              </w:rPr>
            </w:pPr>
            <w:r>
              <w:rPr>
                <w:rFonts w:ascii="Times New Roman" w:hAnsi="Times New Roman"/>
                <w:szCs w:val="21"/>
              </w:rPr>
              <w:t>大肠埃希氏菌</w:t>
            </w:r>
          </w:p>
          <w:p w14:paraId="5520085A">
            <w:pPr>
              <w:pStyle w:val="3"/>
              <w:spacing w:after="0" w:line="300" w:lineRule="auto"/>
              <w:ind w:left="0" w:leftChars="0" w:firstLine="0" w:firstLineChars="0"/>
              <w:jc w:val="center"/>
              <w:rPr>
                <w:szCs w:val="21"/>
              </w:rPr>
            </w:pPr>
            <w:r>
              <w:rPr>
                <w:szCs w:val="21"/>
              </w:rPr>
              <w:t>CMCC(B)44102</w:t>
            </w:r>
          </w:p>
        </w:tc>
        <w:tc>
          <w:tcPr>
            <w:tcW w:w="1374" w:type="dxa"/>
            <w:vMerge w:val="restart"/>
            <w:tcBorders>
              <w:top w:val="nil"/>
              <w:bottom w:val="nil"/>
            </w:tcBorders>
            <w:noWrap w:val="0"/>
            <w:vAlign w:val="center"/>
          </w:tcPr>
          <w:p w14:paraId="365D1661">
            <w:pPr>
              <w:spacing w:line="300" w:lineRule="auto"/>
              <w:jc w:val="center"/>
              <w:rPr>
                <w:rFonts w:ascii="Times New Roman" w:hAnsi="Times New Roman"/>
                <w:szCs w:val="21"/>
              </w:rPr>
            </w:pPr>
            <w:r>
              <w:rPr>
                <w:rFonts w:ascii="Times New Roman" w:hAnsi="Times New Roman"/>
                <w:szCs w:val="21"/>
              </w:rPr>
              <w:t>抑制能力</w:t>
            </w:r>
          </w:p>
        </w:tc>
        <w:tc>
          <w:tcPr>
            <w:tcW w:w="1322" w:type="dxa"/>
            <w:vMerge w:val="continue"/>
            <w:tcBorders>
              <w:top w:val="nil"/>
              <w:bottom w:val="nil"/>
            </w:tcBorders>
            <w:noWrap w:val="0"/>
            <w:vAlign w:val="center"/>
          </w:tcPr>
          <w:p w14:paraId="3C00EEB0">
            <w:pPr>
              <w:spacing w:line="300" w:lineRule="auto"/>
              <w:jc w:val="center"/>
              <w:rPr>
                <w:rFonts w:ascii="Times New Roman" w:hAnsi="Times New Roman"/>
                <w:szCs w:val="21"/>
              </w:rPr>
            </w:pPr>
          </w:p>
        </w:tc>
        <w:tc>
          <w:tcPr>
            <w:tcW w:w="1110" w:type="dxa"/>
            <w:tcBorders>
              <w:top w:val="nil"/>
              <w:bottom w:val="nil"/>
            </w:tcBorders>
            <w:noWrap w:val="0"/>
            <w:vAlign w:val="center"/>
          </w:tcPr>
          <w:p w14:paraId="0DFD60BC">
            <w:pPr>
              <w:spacing w:line="300" w:lineRule="auto"/>
              <w:jc w:val="center"/>
              <w:rPr>
                <w:rFonts w:ascii="Times New Roman" w:hAnsi="Times New Roman"/>
                <w:szCs w:val="21"/>
              </w:rPr>
            </w:pPr>
            <w:r>
              <w:rPr>
                <w:rFonts w:ascii="Times New Roman" w:hAnsi="Times New Roman"/>
                <w:szCs w:val="21"/>
              </w:rPr>
              <w:t>G≤1</w:t>
            </w:r>
          </w:p>
        </w:tc>
        <w:tc>
          <w:tcPr>
            <w:tcW w:w="1690" w:type="dxa"/>
            <w:tcBorders>
              <w:top w:val="nil"/>
              <w:bottom w:val="nil"/>
            </w:tcBorders>
            <w:noWrap w:val="0"/>
            <w:vAlign w:val="center"/>
          </w:tcPr>
          <w:p w14:paraId="36544C7A">
            <w:pPr>
              <w:spacing w:line="300" w:lineRule="auto"/>
              <w:jc w:val="center"/>
              <w:rPr>
                <w:rFonts w:ascii="Times New Roman" w:hAnsi="Times New Roman"/>
                <w:szCs w:val="21"/>
              </w:rPr>
            </w:pPr>
            <w:r>
              <w:rPr>
                <w:rFonts w:ascii="Times New Roman" w:hAnsi="Times New Roman"/>
                <w:szCs w:val="21"/>
              </w:rPr>
              <w:t>/</w:t>
            </w:r>
          </w:p>
        </w:tc>
      </w:tr>
      <w:tr w14:paraId="43533D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tcBorders>
              <w:top w:val="nil"/>
              <w:bottom w:val="single" w:color="auto" w:sz="4" w:space="0"/>
            </w:tcBorders>
            <w:noWrap w:val="0"/>
            <w:vAlign w:val="center"/>
          </w:tcPr>
          <w:p w14:paraId="099C8001">
            <w:pPr>
              <w:spacing w:line="300" w:lineRule="auto"/>
              <w:jc w:val="center"/>
              <w:rPr>
                <w:rFonts w:ascii="Times New Roman" w:hAnsi="Times New Roman"/>
                <w:szCs w:val="21"/>
              </w:rPr>
            </w:pPr>
          </w:p>
        </w:tc>
        <w:tc>
          <w:tcPr>
            <w:tcW w:w="1932" w:type="dxa"/>
            <w:tcBorders>
              <w:top w:val="nil"/>
              <w:bottom w:val="single" w:color="auto" w:sz="4" w:space="0"/>
            </w:tcBorders>
            <w:noWrap w:val="0"/>
            <w:vAlign w:val="center"/>
          </w:tcPr>
          <w:p w14:paraId="4662536A">
            <w:pPr>
              <w:spacing w:line="300" w:lineRule="auto"/>
              <w:jc w:val="center"/>
              <w:rPr>
                <w:rFonts w:ascii="Times New Roman" w:hAnsi="Times New Roman"/>
                <w:szCs w:val="21"/>
              </w:rPr>
            </w:pPr>
            <w:r>
              <w:rPr>
                <w:rFonts w:ascii="Times New Roman" w:hAnsi="Times New Roman"/>
                <w:szCs w:val="21"/>
              </w:rPr>
              <w:t>金黄色葡萄球菌</w:t>
            </w:r>
          </w:p>
          <w:p w14:paraId="2C1F96EE">
            <w:pPr>
              <w:pStyle w:val="3"/>
              <w:spacing w:after="0" w:line="300" w:lineRule="auto"/>
              <w:ind w:left="0" w:leftChars="0" w:firstLine="0" w:firstLineChars="0"/>
              <w:jc w:val="center"/>
              <w:rPr>
                <w:szCs w:val="21"/>
              </w:rPr>
            </w:pPr>
            <w:r>
              <w:rPr>
                <w:szCs w:val="21"/>
              </w:rPr>
              <w:t>CMCC(B)26003</w:t>
            </w:r>
          </w:p>
        </w:tc>
        <w:tc>
          <w:tcPr>
            <w:tcW w:w="1374" w:type="dxa"/>
            <w:vMerge w:val="continue"/>
            <w:tcBorders>
              <w:top w:val="nil"/>
              <w:bottom w:val="single" w:color="auto" w:sz="4" w:space="0"/>
            </w:tcBorders>
            <w:noWrap w:val="0"/>
            <w:vAlign w:val="center"/>
          </w:tcPr>
          <w:p w14:paraId="2FA94E79">
            <w:pPr>
              <w:spacing w:line="300" w:lineRule="auto"/>
              <w:jc w:val="center"/>
              <w:rPr>
                <w:rFonts w:ascii="Times New Roman" w:hAnsi="Times New Roman"/>
                <w:szCs w:val="21"/>
              </w:rPr>
            </w:pPr>
          </w:p>
        </w:tc>
        <w:tc>
          <w:tcPr>
            <w:tcW w:w="1322" w:type="dxa"/>
            <w:vMerge w:val="continue"/>
            <w:tcBorders>
              <w:top w:val="nil"/>
              <w:bottom w:val="single" w:color="auto" w:sz="4" w:space="0"/>
            </w:tcBorders>
            <w:noWrap w:val="0"/>
            <w:vAlign w:val="center"/>
          </w:tcPr>
          <w:p w14:paraId="6E2A06B9">
            <w:pPr>
              <w:spacing w:line="300" w:lineRule="auto"/>
              <w:jc w:val="center"/>
              <w:rPr>
                <w:rFonts w:ascii="Times New Roman" w:hAnsi="Times New Roman"/>
                <w:szCs w:val="21"/>
              </w:rPr>
            </w:pPr>
          </w:p>
        </w:tc>
        <w:tc>
          <w:tcPr>
            <w:tcW w:w="1110" w:type="dxa"/>
            <w:tcBorders>
              <w:top w:val="nil"/>
              <w:bottom w:val="single" w:color="auto" w:sz="4" w:space="0"/>
            </w:tcBorders>
            <w:noWrap w:val="0"/>
            <w:vAlign w:val="center"/>
          </w:tcPr>
          <w:p w14:paraId="3F3FDF98">
            <w:pPr>
              <w:spacing w:line="300" w:lineRule="auto"/>
              <w:jc w:val="center"/>
              <w:rPr>
                <w:rFonts w:ascii="Times New Roman" w:hAnsi="Times New Roman"/>
                <w:szCs w:val="21"/>
              </w:rPr>
            </w:pPr>
            <w:r>
              <w:rPr>
                <w:rFonts w:ascii="Times New Roman" w:hAnsi="Times New Roman"/>
                <w:szCs w:val="21"/>
              </w:rPr>
              <w:t>G≤1</w:t>
            </w:r>
          </w:p>
        </w:tc>
        <w:tc>
          <w:tcPr>
            <w:tcW w:w="1690" w:type="dxa"/>
            <w:tcBorders>
              <w:top w:val="nil"/>
              <w:bottom w:val="single" w:color="auto" w:sz="4" w:space="0"/>
            </w:tcBorders>
            <w:noWrap w:val="0"/>
            <w:vAlign w:val="center"/>
          </w:tcPr>
          <w:p w14:paraId="042CD770">
            <w:pPr>
              <w:spacing w:line="300" w:lineRule="auto"/>
              <w:jc w:val="center"/>
              <w:rPr>
                <w:rFonts w:ascii="Times New Roman" w:hAnsi="Times New Roman"/>
                <w:szCs w:val="21"/>
              </w:rPr>
            </w:pPr>
            <w:r>
              <w:rPr>
                <w:rFonts w:ascii="Times New Roman" w:hAnsi="Times New Roman"/>
                <w:szCs w:val="21"/>
              </w:rPr>
              <w:t>/</w:t>
            </w:r>
          </w:p>
        </w:tc>
      </w:tr>
      <w:tr w14:paraId="1E1F19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restart"/>
            <w:tcBorders>
              <w:top w:val="single" w:color="auto" w:sz="4" w:space="0"/>
              <w:bottom w:val="nil"/>
            </w:tcBorders>
            <w:noWrap w:val="0"/>
            <w:vAlign w:val="center"/>
          </w:tcPr>
          <w:p w14:paraId="2527A7CB">
            <w:pPr>
              <w:spacing w:line="300" w:lineRule="auto"/>
              <w:jc w:val="center"/>
              <w:rPr>
                <w:rFonts w:ascii="Times New Roman" w:hAnsi="Times New Roman"/>
                <w:szCs w:val="21"/>
              </w:rPr>
            </w:pPr>
            <w:r>
              <w:rPr>
                <w:rFonts w:ascii="Times New Roman" w:hAnsi="Times New Roman"/>
                <w:szCs w:val="21"/>
              </w:rPr>
              <w:t>Baird-Parker</w:t>
            </w:r>
            <w:r>
              <w:rPr>
                <w:rFonts w:hint="eastAsia" w:ascii="Times New Roman" w:hAnsi="Times New Roman"/>
                <w:szCs w:val="21"/>
              </w:rPr>
              <w:t>琼脂</w:t>
            </w:r>
            <w:r>
              <w:rPr>
                <w:rFonts w:ascii="Times New Roman" w:hAnsi="Times New Roman"/>
                <w:szCs w:val="21"/>
              </w:rPr>
              <w:t>培养基</w:t>
            </w:r>
          </w:p>
        </w:tc>
        <w:tc>
          <w:tcPr>
            <w:tcW w:w="1932" w:type="dxa"/>
            <w:tcBorders>
              <w:top w:val="single" w:color="auto" w:sz="4" w:space="0"/>
              <w:bottom w:val="nil"/>
            </w:tcBorders>
            <w:noWrap w:val="0"/>
            <w:vAlign w:val="center"/>
          </w:tcPr>
          <w:p w14:paraId="12453F46">
            <w:pPr>
              <w:spacing w:line="300" w:lineRule="auto"/>
              <w:jc w:val="center"/>
              <w:rPr>
                <w:rFonts w:ascii="Times New Roman" w:hAnsi="Times New Roman"/>
                <w:szCs w:val="21"/>
              </w:rPr>
            </w:pPr>
            <w:r>
              <w:rPr>
                <w:rFonts w:ascii="Times New Roman" w:hAnsi="Times New Roman"/>
                <w:szCs w:val="21"/>
              </w:rPr>
              <w:t>金黄色葡萄球菌</w:t>
            </w:r>
          </w:p>
          <w:p w14:paraId="3D468C78">
            <w:pPr>
              <w:pStyle w:val="3"/>
              <w:spacing w:after="0" w:line="300" w:lineRule="auto"/>
              <w:ind w:left="0" w:leftChars="0" w:firstLine="0" w:firstLineChars="0"/>
              <w:jc w:val="center"/>
              <w:rPr>
                <w:szCs w:val="21"/>
              </w:rPr>
            </w:pPr>
            <w:r>
              <w:rPr>
                <w:szCs w:val="21"/>
              </w:rPr>
              <w:t>CMCC(B)26003</w:t>
            </w:r>
          </w:p>
        </w:tc>
        <w:tc>
          <w:tcPr>
            <w:tcW w:w="1374" w:type="dxa"/>
            <w:tcBorders>
              <w:top w:val="single" w:color="auto" w:sz="4" w:space="0"/>
              <w:bottom w:val="nil"/>
            </w:tcBorders>
            <w:noWrap w:val="0"/>
            <w:vAlign w:val="center"/>
          </w:tcPr>
          <w:p w14:paraId="16406666">
            <w:pPr>
              <w:spacing w:line="300" w:lineRule="auto"/>
              <w:jc w:val="center"/>
              <w:rPr>
                <w:rFonts w:ascii="Times New Roman" w:hAnsi="Times New Roman"/>
                <w:szCs w:val="21"/>
              </w:rPr>
            </w:pPr>
            <w:r>
              <w:rPr>
                <w:rFonts w:ascii="Times New Roman" w:hAnsi="Times New Roman"/>
                <w:szCs w:val="21"/>
              </w:rPr>
              <w:t>促生长能力</w:t>
            </w:r>
          </w:p>
        </w:tc>
        <w:tc>
          <w:tcPr>
            <w:tcW w:w="1322" w:type="dxa"/>
            <w:vMerge w:val="restart"/>
            <w:tcBorders>
              <w:top w:val="single" w:color="auto" w:sz="4" w:space="0"/>
              <w:bottom w:val="nil"/>
            </w:tcBorders>
            <w:noWrap w:val="0"/>
            <w:vAlign w:val="center"/>
          </w:tcPr>
          <w:p w14:paraId="0AB519F9">
            <w:pPr>
              <w:spacing w:line="300" w:lineRule="auto"/>
              <w:jc w:val="center"/>
              <w:rPr>
                <w:rFonts w:ascii="Times New Roman" w:hAnsi="Times New Roman"/>
                <w:szCs w:val="21"/>
              </w:rPr>
            </w:pPr>
            <w:r>
              <w:rPr>
                <w:rFonts w:ascii="Times New Roman" w:hAnsi="Times New Roman"/>
                <w:szCs w:val="21"/>
              </w:rPr>
              <w:t>36±1</w:t>
            </w:r>
            <w:r>
              <w:rPr>
                <w:rFonts w:hint="eastAsia" w:ascii="Times New Roman" w:hAnsi="Times New Roman"/>
                <w:szCs w:val="21"/>
              </w:rPr>
              <w:t xml:space="preserve"> </w:t>
            </w:r>
            <w:r>
              <w:rPr>
                <w:rFonts w:ascii="Times New Roman" w:hAnsi="Times New Roman"/>
                <w:szCs w:val="21"/>
              </w:rPr>
              <w:t>℃，48±2</w:t>
            </w:r>
            <w:r>
              <w:rPr>
                <w:rFonts w:hint="eastAsia" w:ascii="Times New Roman" w:hAnsi="Times New Roman"/>
                <w:szCs w:val="21"/>
              </w:rPr>
              <w:t xml:space="preserve"> </w:t>
            </w:r>
            <w:r>
              <w:rPr>
                <w:rFonts w:ascii="Times New Roman" w:hAnsi="Times New Roman"/>
                <w:szCs w:val="21"/>
              </w:rPr>
              <w:t>h</w:t>
            </w:r>
          </w:p>
        </w:tc>
        <w:tc>
          <w:tcPr>
            <w:tcW w:w="1110" w:type="dxa"/>
            <w:tcBorders>
              <w:top w:val="single" w:color="auto" w:sz="4" w:space="0"/>
              <w:bottom w:val="nil"/>
            </w:tcBorders>
            <w:noWrap w:val="0"/>
            <w:vAlign w:val="center"/>
          </w:tcPr>
          <w:p w14:paraId="79369D0E">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≥0.5</w:t>
            </w:r>
          </w:p>
        </w:tc>
        <w:tc>
          <w:tcPr>
            <w:tcW w:w="1690" w:type="dxa"/>
            <w:tcBorders>
              <w:top w:val="single" w:color="auto" w:sz="4" w:space="0"/>
              <w:bottom w:val="nil"/>
            </w:tcBorders>
            <w:noWrap w:val="0"/>
            <w:vAlign w:val="center"/>
          </w:tcPr>
          <w:p w14:paraId="7790B722">
            <w:pPr>
              <w:spacing w:line="300" w:lineRule="auto"/>
              <w:jc w:val="center"/>
              <w:rPr>
                <w:rFonts w:ascii="Times New Roman" w:hAnsi="Times New Roman"/>
                <w:szCs w:val="21"/>
              </w:rPr>
            </w:pPr>
            <w:r>
              <w:rPr>
                <w:rFonts w:ascii="Times New Roman" w:hAnsi="Times New Roman"/>
                <w:szCs w:val="21"/>
              </w:rPr>
              <w:t>菌落黑色凸起，周围有一</w:t>
            </w:r>
            <w:r>
              <w:rPr>
                <w:rFonts w:hint="eastAsia" w:ascii="Times New Roman" w:hAnsi="Times New Roman"/>
                <w:szCs w:val="21"/>
              </w:rPr>
              <w:t>浑</w:t>
            </w:r>
            <w:r>
              <w:rPr>
                <w:rFonts w:ascii="Times New Roman" w:hAnsi="Times New Roman"/>
                <w:szCs w:val="21"/>
              </w:rPr>
              <w:t>浊带，在其外层有一透明圈</w:t>
            </w:r>
          </w:p>
        </w:tc>
      </w:tr>
      <w:tr w14:paraId="56F7BD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tcBorders>
              <w:top w:val="nil"/>
              <w:bottom w:val="single" w:color="auto" w:sz="4" w:space="0"/>
            </w:tcBorders>
            <w:noWrap w:val="0"/>
            <w:vAlign w:val="center"/>
          </w:tcPr>
          <w:p w14:paraId="4040E0E0">
            <w:pPr>
              <w:spacing w:line="300" w:lineRule="auto"/>
              <w:jc w:val="center"/>
              <w:rPr>
                <w:rFonts w:ascii="Times New Roman" w:hAnsi="Times New Roman"/>
                <w:szCs w:val="21"/>
              </w:rPr>
            </w:pPr>
          </w:p>
        </w:tc>
        <w:tc>
          <w:tcPr>
            <w:tcW w:w="1932" w:type="dxa"/>
            <w:tcBorders>
              <w:top w:val="nil"/>
              <w:bottom w:val="single" w:color="auto" w:sz="4" w:space="0"/>
            </w:tcBorders>
            <w:noWrap w:val="0"/>
            <w:vAlign w:val="center"/>
          </w:tcPr>
          <w:p w14:paraId="29680FFF">
            <w:pPr>
              <w:spacing w:line="300" w:lineRule="auto"/>
              <w:jc w:val="center"/>
              <w:rPr>
                <w:rFonts w:ascii="Times New Roman" w:hAnsi="Times New Roman"/>
                <w:szCs w:val="21"/>
              </w:rPr>
            </w:pPr>
            <w:r>
              <w:rPr>
                <w:rFonts w:ascii="Times New Roman" w:hAnsi="Times New Roman"/>
                <w:szCs w:val="21"/>
              </w:rPr>
              <w:t>大肠埃希氏菌</w:t>
            </w:r>
          </w:p>
          <w:p w14:paraId="2200199D">
            <w:pPr>
              <w:pStyle w:val="3"/>
              <w:spacing w:after="0" w:line="300" w:lineRule="auto"/>
              <w:ind w:left="0" w:leftChars="0" w:firstLine="0" w:firstLineChars="0"/>
              <w:jc w:val="center"/>
              <w:rPr>
                <w:szCs w:val="21"/>
              </w:rPr>
            </w:pPr>
            <w:r>
              <w:rPr>
                <w:szCs w:val="21"/>
              </w:rPr>
              <w:t>CMCC(B)44102</w:t>
            </w:r>
          </w:p>
        </w:tc>
        <w:tc>
          <w:tcPr>
            <w:tcW w:w="1374" w:type="dxa"/>
            <w:tcBorders>
              <w:top w:val="nil"/>
              <w:bottom w:val="single" w:color="auto" w:sz="4" w:space="0"/>
            </w:tcBorders>
            <w:noWrap w:val="0"/>
            <w:vAlign w:val="center"/>
          </w:tcPr>
          <w:p w14:paraId="6CA8935C">
            <w:pPr>
              <w:spacing w:line="300" w:lineRule="auto"/>
              <w:jc w:val="center"/>
              <w:rPr>
                <w:rFonts w:ascii="Times New Roman" w:hAnsi="Times New Roman"/>
                <w:szCs w:val="21"/>
              </w:rPr>
            </w:pPr>
            <w:r>
              <w:rPr>
                <w:rFonts w:ascii="Times New Roman" w:hAnsi="Times New Roman"/>
                <w:szCs w:val="21"/>
              </w:rPr>
              <w:t>抑制能力</w:t>
            </w:r>
          </w:p>
        </w:tc>
        <w:tc>
          <w:tcPr>
            <w:tcW w:w="1322" w:type="dxa"/>
            <w:vMerge w:val="continue"/>
            <w:tcBorders>
              <w:top w:val="nil"/>
              <w:bottom w:val="single" w:color="auto" w:sz="4" w:space="0"/>
            </w:tcBorders>
            <w:noWrap w:val="0"/>
            <w:vAlign w:val="center"/>
          </w:tcPr>
          <w:p w14:paraId="0E141AB8">
            <w:pPr>
              <w:spacing w:line="300" w:lineRule="auto"/>
              <w:jc w:val="center"/>
              <w:rPr>
                <w:rFonts w:ascii="Times New Roman" w:hAnsi="Times New Roman"/>
                <w:szCs w:val="21"/>
              </w:rPr>
            </w:pPr>
          </w:p>
        </w:tc>
        <w:tc>
          <w:tcPr>
            <w:tcW w:w="1110" w:type="dxa"/>
            <w:tcBorders>
              <w:top w:val="nil"/>
              <w:bottom w:val="single" w:color="auto" w:sz="4" w:space="0"/>
            </w:tcBorders>
            <w:noWrap w:val="0"/>
            <w:vAlign w:val="center"/>
          </w:tcPr>
          <w:p w14:paraId="1B220B4D">
            <w:pPr>
              <w:spacing w:line="300" w:lineRule="auto"/>
              <w:jc w:val="center"/>
              <w:rPr>
                <w:rFonts w:ascii="Times New Roman" w:hAnsi="Times New Roman"/>
                <w:szCs w:val="21"/>
              </w:rPr>
            </w:pPr>
            <w:r>
              <w:rPr>
                <w:rFonts w:ascii="Times New Roman" w:hAnsi="Times New Roman"/>
                <w:szCs w:val="21"/>
              </w:rPr>
              <w:t>G≤1</w:t>
            </w:r>
          </w:p>
        </w:tc>
        <w:tc>
          <w:tcPr>
            <w:tcW w:w="1690" w:type="dxa"/>
            <w:tcBorders>
              <w:top w:val="nil"/>
              <w:bottom w:val="single" w:color="auto" w:sz="4" w:space="0"/>
            </w:tcBorders>
            <w:noWrap w:val="0"/>
            <w:vAlign w:val="center"/>
          </w:tcPr>
          <w:p w14:paraId="67656F56">
            <w:pPr>
              <w:spacing w:line="300" w:lineRule="auto"/>
              <w:jc w:val="center"/>
              <w:rPr>
                <w:rFonts w:ascii="Times New Roman" w:hAnsi="Times New Roman"/>
                <w:szCs w:val="21"/>
              </w:rPr>
            </w:pPr>
            <w:r>
              <w:rPr>
                <w:rFonts w:ascii="Times New Roman" w:hAnsi="Times New Roman"/>
                <w:szCs w:val="21"/>
              </w:rPr>
              <w:t>/</w:t>
            </w:r>
          </w:p>
        </w:tc>
      </w:tr>
      <w:tr w14:paraId="1D0C0D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restart"/>
            <w:tcBorders>
              <w:top w:val="single" w:color="auto" w:sz="4" w:space="0"/>
            </w:tcBorders>
            <w:noWrap w:val="0"/>
            <w:vAlign w:val="center"/>
          </w:tcPr>
          <w:p w14:paraId="59FCCA94">
            <w:pPr>
              <w:spacing w:line="300" w:lineRule="auto"/>
              <w:jc w:val="center"/>
              <w:rPr>
                <w:rFonts w:ascii="Times New Roman" w:hAnsi="Times New Roman"/>
                <w:szCs w:val="21"/>
              </w:rPr>
            </w:pPr>
            <w:r>
              <w:rPr>
                <w:rFonts w:ascii="Times New Roman" w:hAnsi="Times New Roman"/>
                <w:szCs w:val="21"/>
              </w:rPr>
              <w:t>BCSA培养基</w:t>
            </w:r>
          </w:p>
        </w:tc>
        <w:tc>
          <w:tcPr>
            <w:tcW w:w="1932" w:type="dxa"/>
            <w:tcBorders>
              <w:top w:val="single" w:color="auto" w:sz="4" w:space="0"/>
            </w:tcBorders>
            <w:noWrap w:val="0"/>
            <w:vAlign w:val="center"/>
          </w:tcPr>
          <w:p w14:paraId="2E790B57">
            <w:pPr>
              <w:spacing w:line="300" w:lineRule="auto"/>
              <w:jc w:val="center"/>
              <w:rPr>
                <w:rFonts w:ascii="Times New Roman" w:hAnsi="Times New Roman"/>
                <w:szCs w:val="21"/>
              </w:rPr>
            </w:pPr>
            <w:r>
              <w:rPr>
                <w:rFonts w:hint="eastAsia" w:ascii="Times New Roman" w:hAnsi="Times New Roman"/>
                <w:szCs w:val="21"/>
              </w:rPr>
              <w:t>洋葱伯克霍尔德氏菌</w:t>
            </w:r>
          </w:p>
          <w:p w14:paraId="361C49AF">
            <w:pPr>
              <w:spacing w:line="300" w:lineRule="auto"/>
              <w:jc w:val="center"/>
              <w:rPr>
                <w:rFonts w:ascii="Times New Roman" w:hAnsi="Times New Roman"/>
                <w:szCs w:val="21"/>
              </w:rPr>
            </w:pPr>
            <w:r>
              <w:rPr>
                <w:rFonts w:ascii="Times New Roman" w:hAnsi="Times New Roman"/>
                <w:szCs w:val="21"/>
              </w:rPr>
              <w:t>CMCC(B)23015</w:t>
            </w:r>
          </w:p>
        </w:tc>
        <w:tc>
          <w:tcPr>
            <w:tcW w:w="1374" w:type="dxa"/>
            <w:vMerge w:val="restart"/>
            <w:tcBorders>
              <w:top w:val="single" w:color="auto" w:sz="4" w:space="0"/>
            </w:tcBorders>
            <w:noWrap w:val="0"/>
            <w:vAlign w:val="center"/>
          </w:tcPr>
          <w:p w14:paraId="42EFE3F2">
            <w:pPr>
              <w:spacing w:line="300" w:lineRule="auto"/>
              <w:jc w:val="center"/>
              <w:rPr>
                <w:rFonts w:ascii="Times New Roman" w:hAnsi="Times New Roman"/>
                <w:szCs w:val="21"/>
              </w:rPr>
            </w:pPr>
            <w:r>
              <w:rPr>
                <w:rFonts w:ascii="Times New Roman" w:hAnsi="Times New Roman"/>
                <w:szCs w:val="21"/>
              </w:rPr>
              <w:t>促生长能力</w:t>
            </w:r>
          </w:p>
        </w:tc>
        <w:tc>
          <w:tcPr>
            <w:tcW w:w="1322" w:type="dxa"/>
            <w:vMerge w:val="restart"/>
            <w:tcBorders>
              <w:top w:val="single" w:color="auto" w:sz="4" w:space="0"/>
            </w:tcBorders>
            <w:noWrap w:val="0"/>
            <w:vAlign w:val="center"/>
          </w:tcPr>
          <w:p w14:paraId="14247103">
            <w:pPr>
              <w:spacing w:line="300" w:lineRule="auto"/>
              <w:jc w:val="center"/>
              <w:rPr>
                <w:rFonts w:ascii="Times New Roman" w:hAnsi="Times New Roman"/>
                <w:szCs w:val="21"/>
              </w:rPr>
            </w:pPr>
            <w:r>
              <w:rPr>
                <w:rFonts w:ascii="Times New Roman" w:hAnsi="Times New Roman"/>
                <w:szCs w:val="21"/>
              </w:rPr>
              <w:t>36±1 ℃，48~72 h</w:t>
            </w:r>
          </w:p>
        </w:tc>
        <w:tc>
          <w:tcPr>
            <w:tcW w:w="1110" w:type="dxa"/>
            <w:tcBorders>
              <w:top w:val="single" w:color="auto" w:sz="4" w:space="0"/>
            </w:tcBorders>
            <w:noWrap w:val="0"/>
            <w:vAlign w:val="center"/>
          </w:tcPr>
          <w:p w14:paraId="1D375409">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≥0.5</w:t>
            </w:r>
          </w:p>
        </w:tc>
        <w:tc>
          <w:tcPr>
            <w:tcW w:w="1690" w:type="dxa"/>
            <w:vMerge w:val="restart"/>
            <w:tcBorders>
              <w:top w:val="single" w:color="auto" w:sz="4" w:space="0"/>
            </w:tcBorders>
            <w:noWrap w:val="0"/>
            <w:vAlign w:val="center"/>
          </w:tcPr>
          <w:p w14:paraId="59D5CD33">
            <w:pPr>
              <w:spacing w:line="300" w:lineRule="auto"/>
              <w:jc w:val="center"/>
              <w:rPr>
                <w:rFonts w:ascii="Times New Roman" w:hAnsi="Times New Roman"/>
                <w:szCs w:val="21"/>
              </w:rPr>
            </w:pPr>
            <w:r>
              <w:rPr>
                <w:rFonts w:hint="eastAsia" w:ascii="Times New Roman" w:hAnsi="Times New Roman" w:cs="Times New Roman"/>
                <w:kern w:val="2"/>
                <w:szCs w:val="21"/>
                <w:lang w:eastAsia="zh-CN"/>
              </w:rPr>
              <w:t>棕绿色菌落并带有黄色晕圈，或者</w:t>
            </w:r>
            <w:r>
              <w:rPr>
                <w:rFonts w:hint="eastAsia" w:ascii="Times New Roman" w:hAnsi="Times New Roman" w:cs="Times New Roman"/>
                <w:kern w:val="2"/>
                <w:szCs w:val="21"/>
                <w:lang w:val="en-US" w:eastAsia="zh-CN"/>
              </w:rPr>
              <w:t>为</w:t>
            </w:r>
            <w:r>
              <w:rPr>
                <w:rFonts w:hint="eastAsia" w:ascii="Times New Roman" w:hAnsi="Times New Roman" w:cs="Times New Roman"/>
                <w:kern w:val="2"/>
                <w:szCs w:val="21"/>
                <w:lang w:eastAsia="zh-CN"/>
              </w:rPr>
              <w:t>白色菌落，培养基颜色为粉色或粉红色</w:t>
            </w:r>
          </w:p>
        </w:tc>
      </w:tr>
      <w:tr w14:paraId="4E2A8B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noWrap w:val="0"/>
            <w:vAlign w:val="center"/>
          </w:tcPr>
          <w:p w14:paraId="5097DA73">
            <w:pPr>
              <w:spacing w:line="300" w:lineRule="auto"/>
              <w:jc w:val="center"/>
              <w:rPr>
                <w:rFonts w:ascii="Times New Roman" w:hAnsi="Times New Roman"/>
                <w:szCs w:val="21"/>
              </w:rPr>
            </w:pPr>
          </w:p>
        </w:tc>
        <w:tc>
          <w:tcPr>
            <w:tcW w:w="1932" w:type="dxa"/>
            <w:noWrap w:val="0"/>
            <w:vAlign w:val="center"/>
          </w:tcPr>
          <w:p w14:paraId="51828008">
            <w:pPr>
              <w:spacing w:line="300" w:lineRule="auto"/>
              <w:jc w:val="center"/>
              <w:rPr>
                <w:rFonts w:ascii="Times New Roman" w:hAnsi="Times New Roman"/>
                <w:szCs w:val="21"/>
              </w:rPr>
            </w:pPr>
            <w:r>
              <w:rPr>
                <w:rFonts w:ascii="Times New Roman" w:hAnsi="Times New Roman"/>
                <w:szCs w:val="21"/>
              </w:rPr>
              <w:t>新</w:t>
            </w:r>
            <w:r>
              <w:rPr>
                <w:rFonts w:hint="eastAsia" w:ascii="Times New Roman" w:hAnsi="Times New Roman"/>
                <w:szCs w:val="21"/>
              </w:rPr>
              <w:t>洋葱伯克霍尔德氏菌</w:t>
            </w:r>
          </w:p>
          <w:p w14:paraId="0CE7D1E8">
            <w:pPr>
              <w:spacing w:line="300" w:lineRule="auto"/>
              <w:jc w:val="center"/>
              <w:rPr>
                <w:rFonts w:ascii="Times New Roman" w:hAnsi="Times New Roman"/>
                <w:szCs w:val="21"/>
              </w:rPr>
            </w:pPr>
            <w:r>
              <w:rPr>
                <w:rFonts w:ascii="Times New Roman" w:hAnsi="Times New Roman"/>
                <w:szCs w:val="21"/>
              </w:rPr>
              <w:t>CMCC(B)23014</w:t>
            </w:r>
          </w:p>
        </w:tc>
        <w:tc>
          <w:tcPr>
            <w:tcW w:w="1374" w:type="dxa"/>
            <w:vMerge w:val="continue"/>
            <w:noWrap w:val="0"/>
            <w:vAlign w:val="center"/>
          </w:tcPr>
          <w:p w14:paraId="429B4EF4">
            <w:pPr>
              <w:spacing w:line="300" w:lineRule="auto"/>
              <w:jc w:val="center"/>
              <w:rPr>
                <w:rFonts w:ascii="Times New Roman" w:hAnsi="Times New Roman"/>
                <w:szCs w:val="21"/>
              </w:rPr>
            </w:pPr>
          </w:p>
        </w:tc>
        <w:tc>
          <w:tcPr>
            <w:tcW w:w="1322" w:type="dxa"/>
            <w:vMerge w:val="continue"/>
            <w:noWrap w:val="0"/>
            <w:vAlign w:val="center"/>
          </w:tcPr>
          <w:p w14:paraId="40C36E6F">
            <w:pPr>
              <w:spacing w:line="300" w:lineRule="auto"/>
              <w:jc w:val="center"/>
              <w:rPr>
                <w:rFonts w:ascii="Times New Roman" w:hAnsi="Times New Roman"/>
                <w:szCs w:val="21"/>
              </w:rPr>
            </w:pPr>
          </w:p>
        </w:tc>
        <w:tc>
          <w:tcPr>
            <w:tcW w:w="1110" w:type="dxa"/>
            <w:noWrap w:val="0"/>
            <w:vAlign w:val="center"/>
          </w:tcPr>
          <w:p w14:paraId="1C1F17DD">
            <w:pPr>
              <w:spacing w:line="300" w:lineRule="auto"/>
              <w:jc w:val="center"/>
              <w:rPr>
                <w:rFonts w:ascii="Times New Roman" w:hAnsi="Times New Roman"/>
                <w:szCs w:val="21"/>
              </w:rPr>
            </w:pPr>
            <w:r>
              <w:rPr>
                <w:rFonts w:ascii="Times New Roman" w:hAnsi="Times New Roman"/>
                <w:szCs w:val="21"/>
              </w:rPr>
              <w:t>P</w:t>
            </w:r>
            <w:r>
              <w:rPr>
                <w:rFonts w:ascii="Times New Roman" w:hAnsi="Times New Roman"/>
                <w:szCs w:val="21"/>
                <w:vertAlign w:val="subscript"/>
              </w:rPr>
              <w:t>R</w:t>
            </w:r>
            <w:r>
              <w:rPr>
                <w:rFonts w:ascii="Times New Roman" w:hAnsi="Times New Roman"/>
                <w:szCs w:val="21"/>
              </w:rPr>
              <w:t>≥0.5</w:t>
            </w:r>
          </w:p>
        </w:tc>
        <w:tc>
          <w:tcPr>
            <w:tcW w:w="1690" w:type="dxa"/>
            <w:vMerge w:val="continue"/>
            <w:noWrap w:val="0"/>
            <w:vAlign w:val="center"/>
          </w:tcPr>
          <w:p w14:paraId="5E4E0D59">
            <w:pPr>
              <w:spacing w:line="300" w:lineRule="auto"/>
              <w:jc w:val="center"/>
              <w:rPr>
                <w:rFonts w:ascii="Times New Roman" w:hAnsi="Times New Roman"/>
                <w:szCs w:val="21"/>
              </w:rPr>
            </w:pPr>
          </w:p>
        </w:tc>
      </w:tr>
      <w:tr w14:paraId="363C65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464" w:type="dxa"/>
            <w:vMerge w:val="continue"/>
            <w:noWrap w:val="0"/>
            <w:vAlign w:val="center"/>
          </w:tcPr>
          <w:p w14:paraId="5B6C4F88">
            <w:pPr>
              <w:spacing w:line="300" w:lineRule="auto"/>
              <w:jc w:val="center"/>
              <w:rPr>
                <w:rFonts w:ascii="Times New Roman" w:hAnsi="Times New Roman"/>
                <w:szCs w:val="21"/>
              </w:rPr>
            </w:pPr>
          </w:p>
        </w:tc>
        <w:tc>
          <w:tcPr>
            <w:tcW w:w="1932" w:type="dxa"/>
            <w:noWrap w:val="0"/>
            <w:vAlign w:val="center"/>
          </w:tcPr>
          <w:p w14:paraId="0D294AC6">
            <w:pPr>
              <w:spacing w:line="300" w:lineRule="auto"/>
              <w:jc w:val="center"/>
              <w:rPr>
                <w:rFonts w:ascii="Times New Roman" w:hAnsi="Times New Roman"/>
                <w:szCs w:val="21"/>
              </w:rPr>
            </w:pPr>
            <w:r>
              <w:rPr>
                <w:rFonts w:ascii="Times New Roman" w:hAnsi="Times New Roman"/>
                <w:szCs w:val="21"/>
              </w:rPr>
              <w:t>铜绿假单胞菌</w:t>
            </w:r>
          </w:p>
          <w:p w14:paraId="0E3CE4F3">
            <w:pPr>
              <w:pStyle w:val="3"/>
              <w:spacing w:after="0" w:line="300" w:lineRule="auto"/>
              <w:ind w:left="0" w:leftChars="0" w:firstLine="0" w:firstLineChars="0"/>
              <w:jc w:val="center"/>
              <w:rPr>
                <w:szCs w:val="21"/>
              </w:rPr>
            </w:pPr>
            <w:r>
              <w:rPr>
                <w:szCs w:val="21"/>
              </w:rPr>
              <w:t>CMCC(B)10104</w:t>
            </w:r>
          </w:p>
        </w:tc>
        <w:tc>
          <w:tcPr>
            <w:tcW w:w="1374" w:type="dxa"/>
            <w:noWrap w:val="0"/>
            <w:vAlign w:val="center"/>
          </w:tcPr>
          <w:p w14:paraId="0CBF2546">
            <w:pPr>
              <w:spacing w:line="300" w:lineRule="auto"/>
              <w:jc w:val="center"/>
              <w:rPr>
                <w:rFonts w:ascii="Times New Roman" w:hAnsi="Times New Roman"/>
                <w:szCs w:val="21"/>
              </w:rPr>
            </w:pPr>
            <w:r>
              <w:rPr>
                <w:rFonts w:ascii="Times New Roman" w:hAnsi="Times New Roman"/>
                <w:szCs w:val="21"/>
              </w:rPr>
              <w:t>抑制能力</w:t>
            </w:r>
          </w:p>
        </w:tc>
        <w:tc>
          <w:tcPr>
            <w:tcW w:w="1322" w:type="dxa"/>
            <w:vMerge w:val="continue"/>
            <w:noWrap w:val="0"/>
            <w:vAlign w:val="center"/>
          </w:tcPr>
          <w:p w14:paraId="641EBB00">
            <w:pPr>
              <w:spacing w:line="300" w:lineRule="auto"/>
              <w:jc w:val="center"/>
              <w:rPr>
                <w:rFonts w:ascii="Times New Roman" w:hAnsi="Times New Roman"/>
                <w:szCs w:val="21"/>
              </w:rPr>
            </w:pPr>
          </w:p>
        </w:tc>
        <w:tc>
          <w:tcPr>
            <w:tcW w:w="1110" w:type="dxa"/>
            <w:noWrap w:val="0"/>
            <w:vAlign w:val="center"/>
          </w:tcPr>
          <w:p w14:paraId="685F76C0">
            <w:pPr>
              <w:spacing w:line="300" w:lineRule="auto"/>
              <w:jc w:val="center"/>
              <w:rPr>
                <w:rFonts w:ascii="Times New Roman" w:hAnsi="Times New Roman"/>
                <w:szCs w:val="21"/>
              </w:rPr>
            </w:pPr>
            <w:r>
              <w:rPr>
                <w:rFonts w:ascii="Times New Roman" w:hAnsi="Times New Roman"/>
                <w:szCs w:val="21"/>
              </w:rPr>
              <w:t>G≤1</w:t>
            </w:r>
          </w:p>
        </w:tc>
        <w:tc>
          <w:tcPr>
            <w:tcW w:w="1690" w:type="dxa"/>
            <w:noWrap w:val="0"/>
            <w:vAlign w:val="center"/>
          </w:tcPr>
          <w:p w14:paraId="706C33A7">
            <w:pPr>
              <w:spacing w:line="300" w:lineRule="auto"/>
              <w:jc w:val="center"/>
              <w:rPr>
                <w:rFonts w:ascii="Times New Roman" w:hAnsi="Times New Roman"/>
                <w:szCs w:val="21"/>
              </w:rPr>
            </w:pPr>
            <w:r>
              <w:rPr>
                <w:rFonts w:ascii="Times New Roman" w:hAnsi="Times New Roman"/>
                <w:szCs w:val="21"/>
              </w:rPr>
              <w:t>/</w:t>
            </w:r>
          </w:p>
        </w:tc>
      </w:tr>
    </w:tbl>
    <w:p w14:paraId="1D1E80D3">
      <w:pPr>
        <w:pStyle w:val="3"/>
        <w:spacing w:before="159" w:beforeLines="50" w:after="159" w:afterLines="50" w:line="300" w:lineRule="auto"/>
        <w:ind w:left="437" w:firstLine="0" w:firstLineChars="0"/>
        <w:jc w:val="center"/>
        <w:rPr>
          <w:rFonts w:eastAsia="黑体"/>
          <w:kern w:val="0"/>
          <w:szCs w:val="21"/>
        </w:rPr>
      </w:pPr>
      <w:r>
        <w:rPr>
          <w:rFonts w:eastAsia="黑体"/>
          <w:kern w:val="0"/>
          <w:szCs w:val="21"/>
        </w:rPr>
        <w:t>表D</w:t>
      </w:r>
      <w:r>
        <w:rPr>
          <w:rFonts w:hint="eastAsia" w:eastAsia="黑体"/>
          <w:b/>
          <w:bCs/>
          <w:kern w:val="0"/>
          <w:szCs w:val="21"/>
        </w:rPr>
        <w:t>.</w:t>
      </w:r>
      <w:r>
        <w:rPr>
          <w:rFonts w:eastAsia="黑体"/>
          <w:kern w:val="0"/>
          <w:szCs w:val="21"/>
        </w:rPr>
        <w:t>3 化妆品微生物检验用液体培养基的质量控制要求</w:t>
      </w:r>
    </w:p>
    <w:tbl>
      <w:tblPr>
        <w:tblStyle w:val="4"/>
        <w:tblW w:w="8843"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29"/>
        <w:gridCol w:w="2436"/>
        <w:gridCol w:w="1387"/>
        <w:gridCol w:w="1222"/>
        <w:gridCol w:w="2169"/>
      </w:tblGrid>
      <w:tr w14:paraId="18E81A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blHeader/>
          <w:jc w:val="center"/>
        </w:trPr>
        <w:tc>
          <w:tcPr>
            <w:tcW w:w="1629" w:type="dxa"/>
            <w:tcBorders>
              <w:top w:val="single" w:color="auto" w:sz="4" w:space="0"/>
              <w:bottom w:val="single" w:color="auto" w:sz="4" w:space="0"/>
            </w:tcBorders>
            <w:noWrap w:val="0"/>
            <w:vAlign w:val="center"/>
          </w:tcPr>
          <w:p w14:paraId="348C56B1">
            <w:pPr>
              <w:spacing w:line="300" w:lineRule="auto"/>
              <w:jc w:val="center"/>
              <w:rPr>
                <w:rFonts w:ascii="Times New Roman" w:hAnsi="Times New Roman"/>
                <w:szCs w:val="21"/>
              </w:rPr>
            </w:pPr>
            <w:r>
              <w:rPr>
                <w:rFonts w:ascii="Times New Roman" w:hAnsi="Times New Roman"/>
                <w:szCs w:val="21"/>
              </w:rPr>
              <w:t>培养基名称</w:t>
            </w:r>
          </w:p>
        </w:tc>
        <w:tc>
          <w:tcPr>
            <w:tcW w:w="2436" w:type="dxa"/>
            <w:tcBorders>
              <w:top w:val="single" w:color="auto" w:sz="4" w:space="0"/>
              <w:bottom w:val="single" w:color="auto" w:sz="4" w:space="0"/>
            </w:tcBorders>
            <w:noWrap w:val="0"/>
            <w:vAlign w:val="center"/>
          </w:tcPr>
          <w:p w14:paraId="11524F74">
            <w:pPr>
              <w:spacing w:line="300" w:lineRule="auto"/>
              <w:jc w:val="center"/>
              <w:rPr>
                <w:rFonts w:ascii="Times New Roman" w:hAnsi="Times New Roman"/>
                <w:szCs w:val="21"/>
              </w:rPr>
            </w:pPr>
            <w:r>
              <w:rPr>
                <w:rFonts w:ascii="Times New Roman" w:hAnsi="Times New Roman"/>
                <w:color w:val="000000"/>
                <w:szCs w:val="21"/>
              </w:rPr>
              <w:t>菌株名称</w:t>
            </w:r>
          </w:p>
        </w:tc>
        <w:tc>
          <w:tcPr>
            <w:tcW w:w="1387" w:type="dxa"/>
            <w:tcBorders>
              <w:top w:val="single" w:color="auto" w:sz="4" w:space="0"/>
              <w:bottom w:val="single" w:color="auto" w:sz="4" w:space="0"/>
            </w:tcBorders>
            <w:noWrap w:val="0"/>
            <w:vAlign w:val="center"/>
          </w:tcPr>
          <w:p w14:paraId="63CE416C">
            <w:pPr>
              <w:spacing w:line="300" w:lineRule="auto"/>
              <w:jc w:val="center"/>
              <w:rPr>
                <w:rFonts w:ascii="Times New Roman" w:hAnsi="Times New Roman"/>
                <w:szCs w:val="21"/>
              </w:rPr>
            </w:pPr>
            <w:r>
              <w:rPr>
                <w:rFonts w:ascii="Times New Roman" w:hAnsi="Times New Roman"/>
                <w:szCs w:val="21"/>
              </w:rPr>
              <w:t>培养基特性</w:t>
            </w:r>
          </w:p>
        </w:tc>
        <w:tc>
          <w:tcPr>
            <w:tcW w:w="1222" w:type="dxa"/>
            <w:tcBorders>
              <w:top w:val="single" w:color="auto" w:sz="4" w:space="0"/>
              <w:bottom w:val="single" w:color="auto" w:sz="4" w:space="0"/>
              <w:right w:val="nil"/>
            </w:tcBorders>
            <w:noWrap w:val="0"/>
            <w:vAlign w:val="center"/>
          </w:tcPr>
          <w:p w14:paraId="54EAC53C">
            <w:pPr>
              <w:spacing w:line="300" w:lineRule="auto"/>
              <w:jc w:val="center"/>
              <w:rPr>
                <w:rFonts w:ascii="Times New Roman" w:hAnsi="Times New Roman"/>
                <w:szCs w:val="21"/>
              </w:rPr>
            </w:pPr>
            <w:r>
              <w:rPr>
                <w:rFonts w:ascii="Times New Roman" w:hAnsi="Times New Roman"/>
                <w:szCs w:val="21"/>
              </w:rPr>
              <w:t>培养条件</w:t>
            </w:r>
          </w:p>
        </w:tc>
        <w:tc>
          <w:tcPr>
            <w:tcW w:w="2169" w:type="dxa"/>
            <w:tcBorders>
              <w:top w:val="single" w:color="auto" w:sz="4" w:space="0"/>
              <w:left w:val="nil"/>
              <w:bottom w:val="single" w:color="auto" w:sz="4" w:space="0"/>
            </w:tcBorders>
            <w:noWrap w:val="0"/>
            <w:vAlign w:val="center"/>
          </w:tcPr>
          <w:p w14:paraId="4AC4076D">
            <w:pPr>
              <w:spacing w:line="300" w:lineRule="auto"/>
              <w:jc w:val="center"/>
              <w:rPr>
                <w:rFonts w:ascii="Times New Roman" w:hAnsi="Times New Roman"/>
                <w:szCs w:val="21"/>
              </w:rPr>
            </w:pPr>
            <w:r>
              <w:rPr>
                <w:rFonts w:ascii="Times New Roman" w:hAnsi="Times New Roman"/>
                <w:szCs w:val="21"/>
              </w:rPr>
              <w:t>结果评价</w:t>
            </w:r>
          </w:p>
        </w:tc>
      </w:tr>
      <w:tr w14:paraId="29F19D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629" w:type="dxa"/>
            <w:vMerge w:val="restart"/>
            <w:tcBorders>
              <w:top w:val="single" w:color="auto" w:sz="4" w:space="0"/>
              <w:bottom w:val="single" w:color="auto" w:sz="4" w:space="0"/>
              <w:right w:val="nil"/>
            </w:tcBorders>
            <w:noWrap w:val="0"/>
            <w:vAlign w:val="center"/>
          </w:tcPr>
          <w:p w14:paraId="718E5674">
            <w:pPr>
              <w:spacing w:line="300" w:lineRule="auto"/>
              <w:jc w:val="center"/>
              <w:rPr>
                <w:rFonts w:ascii="Times New Roman" w:hAnsi="Times New Roman"/>
                <w:szCs w:val="21"/>
              </w:rPr>
            </w:pPr>
            <w:r>
              <w:rPr>
                <w:rFonts w:ascii="Times New Roman" w:hAnsi="Times New Roman"/>
                <w:szCs w:val="21"/>
              </w:rPr>
              <w:t>SCDLP液体培养基</w:t>
            </w:r>
          </w:p>
        </w:tc>
        <w:tc>
          <w:tcPr>
            <w:tcW w:w="2436" w:type="dxa"/>
            <w:tcBorders>
              <w:top w:val="single" w:color="auto" w:sz="4" w:space="0"/>
              <w:left w:val="nil"/>
              <w:bottom w:val="single" w:color="auto" w:sz="4" w:space="0"/>
              <w:right w:val="nil"/>
            </w:tcBorders>
            <w:noWrap w:val="0"/>
            <w:vAlign w:val="center"/>
          </w:tcPr>
          <w:p w14:paraId="6C5D6299">
            <w:pPr>
              <w:spacing w:line="300" w:lineRule="auto"/>
              <w:jc w:val="center"/>
              <w:rPr>
                <w:rFonts w:ascii="Times New Roman" w:hAnsi="Times New Roman"/>
                <w:szCs w:val="21"/>
              </w:rPr>
            </w:pPr>
            <w:r>
              <w:rPr>
                <w:rFonts w:ascii="Times New Roman" w:hAnsi="Times New Roman"/>
                <w:szCs w:val="21"/>
              </w:rPr>
              <w:t>大肠埃希氏菌</w:t>
            </w:r>
          </w:p>
          <w:p w14:paraId="70F76975">
            <w:pPr>
              <w:spacing w:line="300" w:lineRule="auto"/>
              <w:jc w:val="center"/>
              <w:rPr>
                <w:rFonts w:ascii="Times New Roman" w:hAnsi="Times New Roman"/>
                <w:szCs w:val="21"/>
              </w:rPr>
            </w:pPr>
            <w:r>
              <w:rPr>
                <w:rFonts w:ascii="Times New Roman" w:hAnsi="Times New Roman"/>
                <w:szCs w:val="21"/>
              </w:rPr>
              <w:t>CMCC(B)44102</w:t>
            </w:r>
          </w:p>
        </w:tc>
        <w:tc>
          <w:tcPr>
            <w:tcW w:w="1387" w:type="dxa"/>
            <w:vMerge w:val="restart"/>
            <w:tcBorders>
              <w:top w:val="single" w:color="auto" w:sz="4" w:space="0"/>
              <w:left w:val="nil"/>
              <w:bottom w:val="single" w:color="auto" w:sz="4" w:space="0"/>
              <w:right w:val="nil"/>
            </w:tcBorders>
            <w:noWrap w:val="0"/>
            <w:vAlign w:val="center"/>
          </w:tcPr>
          <w:p w14:paraId="6D838CA5">
            <w:pPr>
              <w:spacing w:line="300" w:lineRule="auto"/>
              <w:jc w:val="center"/>
              <w:rPr>
                <w:rFonts w:ascii="Times New Roman" w:hAnsi="Times New Roman"/>
                <w:szCs w:val="21"/>
              </w:rPr>
            </w:pPr>
            <w:r>
              <w:rPr>
                <w:rFonts w:ascii="Times New Roman" w:hAnsi="Times New Roman"/>
                <w:szCs w:val="21"/>
              </w:rPr>
              <w:t>促生长能力</w:t>
            </w:r>
          </w:p>
        </w:tc>
        <w:tc>
          <w:tcPr>
            <w:tcW w:w="1222" w:type="dxa"/>
            <w:vMerge w:val="restart"/>
            <w:tcBorders>
              <w:top w:val="single" w:color="auto" w:sz="4" w:space="0"/>
              <w:left w:val="nil"/>
              <w:bottom w:val="single" w:color="auto" w:sz="4" w:space="0"/>
              <w:right w:val="nil"/>
            </w:tcBorders>
            <w:noWrap w:val="0"/>
            <w:vAlign w:val="center"/>
          </w:tcPr>
          <w:p w14:paraId="0BBE6E5A">
            <w:pPr>
              <w:pStyle w:val="3"/>
              <w:spacing w:after="0" w:line="300" w:lineRule="auto"/>
              <w:ind w:left="0" w:leftChars="0" w:firstLine="0" w:firstLineChars="0"/>
              <w:jc w:val="center"/>
              <w:rPr>
                <w:szCs w:val="21"/>
              </w:rPr>
            </w:pPr>
            <w:r>
              <w:rPr>
                <w:szCs w:val="21"/>
              </w:rPr>
              <w:t>36±1 ℃，24±2 h</w:t>
            </w:r>
          </w:p>
        </w:tc>
        <w:tc>
          <w:tcPr>
            <w:tcW w:w="2169" w:type="dxa"/>
            <w:tcBorders>
              <w:top w:val="single" w:color="auto" w:sz="4" w:space="0"/>
              <w:left w:val="nil"/>
              <w:bottom w:val="single" w:color="auto" w:sz="4" w:space="0"/>
              <w:right w:val="nil"/>
            </w:tcBorders>
            <w:noWrap w:val="0"/>
            <w:vAlign w:val="center"/>
          </w:tcPr>
          <w:p w14:paraId="580F52FF">
            <w:pPr>
              <w:spacing w:line="300" w:lineRule="auto"/>
              <w:jc w:val="center"/>
              <w:rPr>
                <w:rFonts w:ascii="Times New Roman" w:hAnsi="Times New Roman"/>
                <w:szCs w:val="21"/>
              </w:rPr>
            </w:pPr>
            <w:r>
              <w:rPr>
                <w:rFonts w:ascii="Times New Roman" w:hAnsi="Times New Roman"/>
                <w:szCs w:val="21"/>
              </w:rPr>
              <w:t>在TSA上≥100 CFU</w:t>
            </w:r>
          </w:p>
        </w:tc>
      </w:tr>
      <w:tr w14:paraId="125A87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629" w:type="dxa"/>
            <w:vMerge w:val="continue"/>
            <w:tcBorders>
              <w:top w:val="single" w:color="auto" w:sz="4" w:space="0"/>
              <w:bottom w:val="single" w:color="auto" w:sz="4" w:space="0"/>
              <w:right w:val="nil"/>
            </w:tcBorders>
            <w:noWrap w:val="0"/>
            <w:vAlign w:val="center"/>
          </w:tcPr>
          <w:p w14:paraId="0C84E0C5">
            <w:pPr>
              <w:spacing w:line="300" w:lineRule="auto"/>
              <w:jc w:val="center"/>
              <w:rPr>
                <w:rFonts w:ascii="Times New Roman" w:hAnsi="Times New Roman"/>
                <w:szCs w:val="21"/>
              </w:rPr>
            </w:pPr>
          </w:p>
        </w:tc>
        <w:tc>
          <w:tcPr>
            <w:tcW w:w="2436" w:type="dxa"/>
            <w:tcBorders>
              <w:top w:val="single" w:color="auto" w:sz="4" w:space="0"/>
              <w:left w:val="nil"/>
              <w:bottom w:val="nil"/>
              <w:right w:val="nil"/>
            </w:tcBorders>
            <w:noWrap w:val="0"/>
            <w:vAlign w:val="center"/>
          </w:tcPr>
          <w:p w14:paraId="34A22EAC">
            <w:pPr>
              <w:spacing w:line="300" w:lineRule="auto"/>
              <w:jc w:val="center"/>
              <w:rPr>
                <w:rFonts w:ascii="Times New Roman" w:hAnsi="Times New Roman"/>
                <w:szCs w:val="21"/>
              </w:rPr>
            </w:pPr>
            <w:r>
              <w:rPr>
                <w:rFonts w:ascii="Times New Roman" w:hAnsi="Times New Roman"/>
                <w:szCs w:val="21"/>
              </w:rPr>
              <w:t>金黄色葡萄球菌</w:t>
            </w:r>
          </w:p>
          <w:p w14:paraId="2062F19B">
            <w:pPr>
              <w:spacing w:line="300" w:lineRule="auto"/>
              <w:jc w:val="center"/>
              <w:rPr>
                <w:rFonts w:ascii="Times New Roman" w:hAnsi="Times New Roman"/>
                <w:szCs w:val="21"/>
              </w:rPr>
            </w:pPr>
            <w:r>
              <w:rPr>
                <w:rFonts w:ascii="Times New Roman" w:hAnsi="Times New Roman"/>
                <w:szCs w:val="21"/>
              </w:rPr>
              <w:t>CMCC(B)26003</w:t>
            </w:r>
          </w:p>
        </w:tc>
        <w:tc>
          <w:tcPr>
            <w:tcW w:w="1387" w:type="dxa"/>
            <w:vMerge w:val="continue"/>
            <w:tcBorders>
              <w:top w:val="single" w:color="auto" w:sz="4" w:space="0"/>
              <w:left w:val="nil"/>
              <w:bottom w:val="single" w:color="auto" w:sz="4" w:space="0"/>
              <w:right w:val="nil"/>
            </w:tcBorders>
            <w:noWrap w:val="0"/>
            <w:vAlign w:val="center"/>
          </w:tcPr>
          <w:p w14:paraId="44583E91">
            <w:pPr>
              <w:spacing w:line="300" w:lineRule="auto"/>
              <w:jc w:val="center"/>
              <w:rPr>
                <w:rFonts w:ascii="Times New Roman" w:hAnsi="Times New Roman"/>
                <w:szCs w:val="21"/>
              </w:rPr>
            </w:pPr>
          </w:p>
        </w:tc>
        <w:tc>
          <w:tcPr>
            <w:tcW w:w="1222" w:type="dxa"/>
            <w:vMerge w:val="continue"/>
            <w:tcBorders>
              <w:top w:val="single" w:color="auto" w:sz="4" w:space="0"/>
              <w:left w:val="nil"/>
              <w:bottom w:val="single" w:color="auto" w:sz="4" w:space="0"/>
              <w:right w:val="nil"/>
            </w:tcBorders>
            <w:noWrap w:val="0"/>
            <w:vAlign w:val="center"/>
          </w:tcPr>
          <w:p w14:paraId="1245DA10">
            <w:pPr>
              <w:spacing w:line="300" w:lineRule="auto"/>
              <w:jc w:val="center"/>
              <w:rPr>
                <w:rFonts w:ascii="Times New Roman" w:hAnsi="Times New Roman"/>
                <w:szCs w:val="21"/>
              </w:rPr>
            </w:pPr>
          </w:p>
        </w:tc>
        <w:tc>
          <w:tcPr>
            <w:tcW w:w="2169" w:type="dxa"/>
            <w:tcBorders>
              <w:top w:val="single" w:color="auto" w:sz="4" w:space="0"/>
              <w:left w:val="nil"/>
              <w:bottom w:val="single" w:color="auto" w:sz="4" w:space="0"/>
              <w:right w:val="nil"/>
            </w:tcBorders>
            <w:noWrap w:val="0"/>
            <w:vAlign w:val="center"/>
          </w:tcPr>
          <w:p w14:paraId="351BC42B">
            <w:pPr>
              <w:spacing w:line="300" w:lineRule="auto"/>
              <w:jc w:val="center"/>
              <w:rPr>
                <w:rFonts w:ascii="Times New Roman" w:hAnsi="Times New Roman"/>
                <w:szCs w:val="21"/>
              </w:rPr>
            </w:pPr>
            <w:r>
              <w:rPr>
                <w:rFonts w:ascii="Times New Roman" w:hAnsi="Times New Roman"/>
                <w:szCs w:val="21"/>
              </w:rPr>
              <w:t>在TSA上≥100 CFU</w:t>
            </w:r>
          </w:p>
        </w:tc>
      </w:tr>
      <w:tr w14:paraId="12574E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629" w:type="dxa"/>
            <w:vMerge w:val="continue"/>
            <w:tcBorders>
              <w:top w:val="single" w:color="auto" w:sz="4" w:space="0"/>
              <w:bottom w:val="single" w:color="auto" w:sz="4" w:space="0"/>
              <w:right w:val="nil"/>
            </w:tcBorders>
            <w:noWrap w:val="0"/>
            <w:vAlign w:val="center"/>
          </w:tcPr>
          <w:p w14:paraId="570F6497">
            <w:pPr>
              <w:spacing w:line="300" w:lineRule="auto"/>
              <w:jc w:val="center"/>
              <w:rPr>
                <w:rFonts w:ascii="Times New Roman" w:hAnsi="Times New Roman"/>
                <w:szCs w:val="21"/>
              </w:rPr>
            </w:pPr>
          </w:p>
        </w:tc>
        <w:tc>
          <w:tcPr>
            <w:tcW w:w="2436" w:type="dxa"/>
            <w:tcBorders>
              <w:top w:val="nil"/>
              <w:left w:val="nil"/>
              <w:bottom w:val="nil"/>
              <w:right w:val="nil"/>
            </w:tcBorders>
            <w:noWrap w:val="0"/>
            <w:vAlign w:val="center"/>
          </w:tcPr>
          <w:p w14:paraId="3BE9A6B4">
            <w:pPr>
              <w:spacing w:line="300" w:lineRule="auto"/>
              <w:jc w:val="center"/>
              <w:rPr>
                <w:rFonts w:ascii="Times New Roman" w:hAnsi="Times New Roman"/>
                <w:szCs w:val="21"/>
              </w:rPr>
            </w:pPr>
            <w:r>
              <w:rPr>
                <w:rFonts w:ascii="Times New Roman" w:hAnsi="Times New Roman"/>
                <w:szCs w:val="21"/>
              </w:rPr>
              <w:t>铜绿假单胞菌</w:t>
            </w:r>
          </w:p>
          <w:p w14:paraId="298451A4">
            <w:pPr>
              <w:pStyle w:val="3"/>
              <w:spacing w:after="0" w:line="300" w:lineRule="auto"/>
              <w:ind w:left="0" w:leftChars="0" w:firstLine="0" w:firstLineChars="0"/>
              <w:jc w:val="center"/>
              <w:rPr>
                <w:szCs w:val="21"/>
              </w:rPr>
            </w:pPr>
            <w:r>
              <w:rPr>
                <w:szCs w:val="21"/>
              </w:rPr>
              <w:t>CMCC(B)10104</w:t>
            </w:r>
          </w:p>
        </w:tc>
        <w:tc>
          <w:tcPr>
            <w:tcW w:w="1387" w:type="dxa"/>
            <w:vMerge w:val="continue"/>
            <w:tcBorders>
              <w:top w:val="single" w:color="auto" w:sz="4" w:space="0"/>
              <w:left w:val="nil"/>
              <w:bottom w:val="single" w:color="auto" w:sz="4" w:space="0"/>
              <w:right w:val="nil"/>
            </w:tcBorders>
            <w:noWrap w:val="0"/>
            <w:vAlign w:val="center"/>
          </w:tcPr>
          <w:p w14:paraId="1F7850AD">
            <w:pPr>
              <w:spacing w:line="300" w:lineRule="auto"/>
              <w:jc w:val="center"/>
              <w:rPr>
                <w:rFonts w:ascii="Times New Roman" w:hAnsi="Times New Roman"/>
                <w:szCs w:val="21"/>
              </w:rPr>
            </w:pPr>
          </w:p>
        </w:tc>
        <w:tc>
          <w:tcPr>
            <w:tcW w:w="1222" w:type="dxa"/>
            <w:vMerge w:val="continue"/>
            <w:tcBorders>
              <w:top w:val="single" w:color="auto" w:sz="4" w:space="0"/>
              <w:left w:val="nil"/>
              <w:bottom w:val="nil"/>
              <w:right w:val="nil"/>
            </w:tcBorders>
            <w:noWrap w:val="0"/>
            <w:vAlign w:val="center"/>
          </w:tcPr>
          <w:p w14:paraId="56A2B2D9">
            <w:pPr>
              <w:spacing w:line="300" w:lineRule="auto"/>
              <w:jc w:val="center"/>
              <w:rPr>
                <w:rFonts w:ascii="Times New Roman" w:hAnsi="Times New Roman"/>
                <w:szCs w:val="21"/>
              </w:rPr>
            </w:pPr>
          </w:p>
        </w:tc>
        <w:tc>
          <w:tcPr>
            <w:tcW w:w="2169" w:type="dxa"/>
            <w:tcBorders>
              <w:top w:val="single" w:color="auto" w:sz="4" w:space="0"/>
              <w:left w:val="nil"/>
              <w:bottom w:val="nil"/>
              <w:right w:val="nil"/>
            </w:tcBorders>
            <w:noWrap w:val="0"/>
            <w:vAlign w:val="center"/>
          </w:tcPr>
          <w:p w14:paraId="673649D7">
            <w:pPr>
              <w:spacing w:line="300" w:lineRule="auto"/>
              <w:jc w:val="center"/>
              <w:rPr>
                <w:rFonts w:ascii="Times New Roman" w:hAnsi="Times New Roman"/>
                <w:szCs w:val="21"/>
              </w:rPr>
            </w:pPr>
            <w:r>
              <w:rPr>
                <w:rFonts w:ascii="Times New Roman" w:hAnsi="Times New Roman"/>
                <w:szCs w:val="21"/>
              </w:rPr>
              <w:t>在TSA上≥100 CFU</w:t>
            </w:r>
          </w:p>
        </w:tc>
      </w:tr>
      <w:tr w14:paraId="63D3BA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629" w:type="dxa"/>
            <w:vMerge w:val="continue"/>
            <w:tcBorders>
              <w:top w:val="single" w:color="auto" w:sz="4" w:space="0"/>
              <w:bottom w:val="single" w:color="auto" w:sz="4" w:space="0"/>
              <w:right w:val="nil"/>
            </w:tcBorders>
            <w:noWrap w:val="0"/>
            <w:vAlign w:val="center"/>
          </w:tcPr>
          <w:p w14:paraId="0ED851E6">
            <w:pPr>
              <w:spacing w:line="300" w:lineRule="auto"/>
              <w:jc w:val="center"/>
              <w:rPr>
                <w:rFonts w:ascii="Times New Roman" w:hAnsi="Times New Roman"/>
                <w:szCs w:val="21"/>
              </w:rPr>
            </w:pPr>
          </w:p>
        </w:tc>
        <w:tc>
          <w:tcPr>
            <w:tcW w:w="2436" w:type="dxa"/>
            <w:tcBorders>
              <w:top w:val="nil"/>
              <w:left w:val="nil"/>
              <w:bottom w:val="nil"/>
              <w:right w:val="nil"/>
            </w:tcBorders>
            <w:noWrap w:val="0"/>
            <w:vAlign w:val="center"/>
          </w:tcPr>
          <w:p w14:paraId="498E1282">
            <w:pPr>
              <w:spacing w:line="300" w:lineRule="auto"/>
              <w:jc w:val="center"/>
              <w:rPr>
                <w:rFonts w:ascii="Times New Roman" w:hAnsi="Times New Roman"/>
                <w:szCs w:val="21"/>
              </w:rPr>
            </w:pPr>
            <w:r>
              <w:rPr>
                <w:rFonts w:hint="eastAsia" w:ascii="Times New Roman" w:hAnsi="Times New Roman"/>
                <w:szCs w:val="21"/>
              </w:rPr>
              <w:t>洋葱伯克霍尔德氏菌</w:t>
            </w:r>
          </w:p>
          <w:p w14:paraId="3E3E8877">
            <w:pPr>
              <w:spacing w:line="300" w:lineRule="auto"/>
              <w:jc w:val="center"/>
              <w:rPr>
                <w:rFonts w:ascii="Times New Roman" w:hAnsi="Times New Roman"/>
                <w:szCs w:val="21"/>
              </w:rPr>
            </w:pPr>
            <w:r>
              <w:rPr>
                <w:rFonts w:ascii="Times New Roman" w:hAnsi="Times New Roman"/>
                <w:szCs w:val="21"/>
              </w:rPr>
              <w:t>CMCC(B)23015</w:t>
            </w:r>
          </w:p>
        </w:tc>
        <w:tc>
          <w:tcPr>
            <w:tcW w:w="1387" w:type="dxa"/>
            <w:vMerge w:val="continue"/>
            <w:tcBorders>
              <w:top w:val="single" w:color="auto" w:sz="4" w:space="0"/>
              <w:left w:val="nil"/>
              <w:bottom w:val="single" w:color="auto" w:sz="4" w:space="0"/>
              <w:right w:val="nil"/>
            </w:tcBorders>
            <w:noWrap w:val="0"/>
            <w:vAlign w:val="center"/>
          </w:tcPr>
          <w:p w14:paraId="74C389DF">
            <w:pPr>
              <w:spacing w:line="300" w:lineRule="auto"/>
              <w:jc w:val="center"/>
              <w:rPr>
                <w:rFonts w:ascii="Times New Roman" w:hAnsi="Times New Roman"/>
                <w:szCs w:val="21"/>
              </w:rPr>
            </w:pPr>
          </w:p>
        </w:tc>
        <w:tc>
          <w:tcPr>
            <w:tcW w:w="1222" w:type="dxa"/>
            <w:vMerge w:val="restart"/>
            <w:tcBorders>
              <w:top w:val="nil"/>
              <w:left w:val="nil"/>
              <w:bottom w:val="single" w:color="auto" w:sz="4" w:space="0"/>
              <w:right w:val="nil"/>
            </w:tcBorders>
            <w:noWrap w:val="0"/>
            <w:vAlign w:val="center"/>
          </w:tcPr>
          <w:p w14:paraId="572B1BA0">
            <w:pPr>
              <w:spacing w:line="300" w:lineRule="auto"/>
              <w:jc w:val="center"/>
              <w:rPr>
                <w:rFonts w:ascii="Times New Roman" w:hAnsi="Times New Roman"/>
                <w:szCs w:val="21"/>
              </w:rPr>
            </w:pPr>
            <w:r>
              <w:rPr>
                <w:rFonts w:ascii="Times New Roman" w:hAnsi="Times New Roman"/>
                <w:szCs w:val="21"/>
              </w:rPr>
              <w:t>36±1 ℃，48~72 h</w:t>
            </w:r>
          </w:p>
        </w:tc>
        <w:tc>
          <w:tcPr>
            <w:tcW w:w="2169" w:type="dxa"/>
            <w:tcBorders>
              <w:top w:val="nil"/>
              <w:left w:val="nil"/>
              <w:bottom w:val="nil"/>
              <w:right w:val="nil"/>
            </w:tcBorders>
            <w:noWrap w:val="0"/>
            <w:vAlign w:val="center"/>
          </w:tcPr>
          <w:p w14:paraId="0FC94BBC">
            <w:pPr>
              <w:spacing w:line="300" w:lineRule="auto"/>
              <w:jc w:val="center"/>
              <w:rPr>
                <w:rFonts w:ascii="Times New Roman" w:hAnsi="Times New Roman"/>
                <w:szCs w:val="21"/>
              </w:rPr>
            </w:pPr>
            <w:r>
              <w:rPr>
                <w:rFonts w:ascii="Times New Roman" w:hAnsi="Times New Roman"/>
                <w:szCs w:val="21"/>
              </w:rPr>
              <w:t>在TSA上≥100 CFU</w:t>
            </w:r>
          </w:p>
        </w:tc>
      </w:tr>
      <w:tr w14:paraId="6F1E35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629" w:type="dxa"/>
            <w:vMerge w:val="continue"/>
            <w:tcBorders>
              <w:top w:val="single" w:color="auto" w:sz="4" w:space="0"/>
              <w:bottom w:val="single" w:color="auto" w:sz="4" w:space="0"/>
              <w:right w:val="nil"/>
            </w:tcBorders>
            <w:noWrap w:val="0"/>
            <w:vAlign w:val="center"/>
          </w:tcPr>
          <w:p w14:paraId="7E400C96">
            <w:pPr>
              <w:spacing w:line="300" w:lineRule="auto"/>
              <w:jc w:val="center"/>
              <w:rPr>
                <w:rFonts w:ascii="Times New Roman" w:hAnsi="Times New Roman"/>
                <w:szCs w:val="21"/>
              </w:rPr>
            </w:pPr>
          </w:p>
        </w:tc>
        <w:tc>
          <w:tcPr>
            <w:tcW w:w="2436" w:type="dxa"/>
            <w:tcBorders>
              <w:top w:val="nil"/>
              <w:left w:val="nil"/>
              <w:bottom w:val="single" w:color="auto" w:sz="4" w:space="0"/>
              <w:right w:val="nil"/>
            </w:tcBorders>
            <w:noWrap w:val="0"/>
            <w:vAlign w:val="center"/>
          </w:tcPr>
          <w:p w14:paraId="76EC8CF7">
            <w:pPr>
              <w:spacing w:line="300" w:lineRule="auto"/>
              <w:jc w:val="center"/>
              <w:rPr>
                <w:rFonts w:ascii="Times New Roman" w:hAnsi="Times New Roman"/>
                <w:szCs w:val="21"/>
              </w:rPr>
            </w:pPr>
            <w:r>
              <w:rPr>
                <w:rFonts w:ascii="Times New Roman" w:hAnsi="Times New Roman"/>
                <w:szCs w:val="21"/>
              </w:rPr>
              <w:t>新</w:t>
            </w:r>
            <w:r>
              <w:rPr>
                <w:rFonts w:hint="eastAsia" w:ascii="Times New Roman" w:hAnsi="Times New Roman"/>
                <w:szCs w:val="21"/>
              </w:rPr>
              <w:t>洋葱伯克霍尔德氏菌</w:t>
            </w:r>
          </w:p>
          <w:p w14:paraId="31D5D91A">
            <w:pPr>
              <w:spacing w:line="300" w:lineRule="auto"/>
              <w:jc w:val="center"/>
              <w:rPr>
                <w:rFonts w:ascii="Times New Roman" w:hAnsi="Times New Roman"/>
                <w:szCs w:val="21"/>
              </w:rPr>
            </w:pPr>
            <w:r>
              <w:rPr>
                <w:rFonts w:ascii="Times New Roman" w:hAnsi="Times New Roman"/>
                <w:szCs w:val="21"/>
              </w:rPr>
              <w:t>CMCC(B)23014</w:t>
            </w:r>
          </w:p>
        </w:tc>
        <w:tc>
          <w:tcPr>
            <w:tcW w:w="1387" w:type="dxa"/>
            <w:vMerge w:val="continue"/>
            <w:tcBorders>
              <w:top w:val="single" w:color="auto" w:sz="4" w:space="0"/>
              <w:left w:val="nil"/>
              <w:bottom w:val="single" w:color="auto" w:sz="4" w:space="0"/>
              <w:right w:val="nil"/>
            </w:tcBorders>
            <w:noWrap w:val="0"/>
            <w:vAlign w:val="center"/>
          </w:tcPr>
          <w:p w14:paraId="253EA4B6">
            <w:pPr>
              <w:spacing w:line="300" w:lineRule="auto"/>
              <w:jc w:val="center"/>
              <w:rPr>
                <w:rFonts w:ascii="Times New Roman" w:hAnsi="Times New Roman"/>
                <w:szCs w:val="21"/>
              </w:rPr>
            </w:pPr>
          </w:p>
        </w:tc>
        <w:tc>
          <w:tcPr>
            <w:tcW w:w="1222" w:type="dxa"/>
            <w:vMerge w:val="continue"/>
            <w:tcBorders>
              <w:top w:val="single" w:color="auto" w:sz="4" w:space="0"/>
              <w:left w:val="nil"/>
              <w:bottom w:val="single" w:color="auto" w:sz="4" w:space="0"/>
              <w:right w:val="nil"/>
            </w:tcBorders>
            <w:noWrap w:val="0"/>
            <w:vAlign w:val="center"/>
          </w:tcPr>
          <w:p w14:paraId="24DEC418">
            <w:pPr>
              <w:spacing w:line="300" w:lineRule="auto"/>
              <w:jc w:val="center"/>
              <w:rPr>
                <w:rFonts w:ascii="Times New Roman" w:hAnsi="Times New Roman"/>
                <w:szCs w:val="21"/>
              </w:rPr>
            </w:pPr>
          </w:p>
        </w:tc>
        <w:tc>
          <w:tcPr>
            <w:tcW w:w="2169" w:type="dxa"/>
            <w:tcBorders>
              <w:top w:val="nil"/>
              <w:left w:val="nil"/>
              <w:bottom w:val="single" w:color="auto" w:sz="4" w:space="0"/>
              <w:right w:val="nil"/>
            </w:tcBorders>
            <w:noWrap w:val="0"/>
            <w:vAlign w:val="center"/>
          </w:tcPr>
          <w:p w14:paraId="25F15740">
            <w:pPr>
              <w:spacing w:line="300" w:lineRule="auto"/>
              <w:jc w:val="center"/>
              <w:rPr>
                <w:rFonts w:ascii="Times New Roman" w:hAnsi="Times New Roman"/>
                <w:szCs w:val="21"/>
              </w:rPr>
            </w:pPr>
            <w:r>
              <w:rPr>
                <w:rFonts w:ascii="Times New Roman" w:hAnsi="Times New Roman"/>
                <w:szCs w:val="21"/>
              </w:rPr>
              <w:t>在TSA上≥100 CFU</w:t>
            </w:r>
          </w:p>
        </w:tc>
      </w:tr>
      <w:tr w14:paraId="0DA6BE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629" w:type="dxa"/>
            <w:vMerge w:val="restart"/>
            <w:tcBorders>
              <w:top w:val="single" w:color="auto" w:sz="4" w:space="0"/>
              <w:bottom w:val="single" w:color="auto" w:sz="4" w:space="0"/>
            </w:tcBorders>
            <w:noWrap w:val="0"/>
            <w:vAlign w:val="center"/>
          </w:tcPr>
          <w:p w14:paraId="76606C5C">
            <w:pPr>
              <w:spacing w:line="300" w:lineRule="auto"/>
              <w:jc w:val="center"/>
              <w:rPr>
                <w:rFonts w:ascii="Times New Roman" w:hAnsi="Times New Roman"/>
                <w:szCs w:val="21"/>
              </w:rPr>
            </w:pPr>
            <w:r>
              <w:rPr>
                <w:rFonts w:ascii="Times New Roman" w:hAnsi="Times New Roman"/>
                <w:szCs w:val="21"/>
              </w:rPr>
              <w:t>7.5%氯化钠肉汤</w:t>
            </w:r>
          </w:p>
        </w:tc>
        <w:tc>
          <w:tcPr>
            <w:tcW w:w="2436" w:type="dxa"/>
            <w:tcBorders>
              <w:top w:val="single" w:color="auto" w:sz="4" w:space="0"/>
              <w:bottom w:val="nil"/>
            </w:tcBorders>
            <w:noWrap w:val="0"/>
            <w:vAlign w:val="center"/>
          </w:tcPr>
          <w:p w14:paraId="2F6E934F">
            <w:pPr>
              <w:spacing w:line="300" w:lineRule="auto"/>
              <w:jc w:val="center"/>
              <w:rPr>
                <w:rFonts w:ascii="Times New Roman" w:hAnsi="Times New Roman"/>
                <w:szCs w:val="21"/>
              </w:rPr>
            </w:pPr>
            <w:r>
              <w:rPr>
                <w:rFonts w:ascii="Times New Roman" w:hAnsi="Times New Roman"/>
                <w:szCs w:val="21"/>
              </w:rPr>
              <w:t>金黄色葡萄球菌</w:t>
            </w:r>
          </w:p>
          <w:p w14:paraId="4CCD4430">
            <w:pPr>
              <w:spacing w:line="300" w:lineRule="auto"/>
              <w:jc w:val="center"/>
              <w:rPr>
                <w:rFonts w:ascii="Times New Roman" w:hAnsi="Times New Roman"/>
                <w:szCs w:val="21"/>
              </w:rPr>
            </w:pPr>
            <w:r>
              <w:rPr>
                <w:rFonts w:ascii="Times New Roman" w:hAnsi="Times New Roman"/>
                <w:szCs w:val="21"/>
              </w:rPr>
              <w:t>CMCC(B)26003</w:t>
            </w:r>
          </w:p>
        </w:tc>
        <w:tc>
          <w:tcPr>
            <w:tcW w:w="1387" w:type="dxa"/>
            <w:tcBorders>
              <w:top w:val="single" w:color="auto" w:sz="4" w:space="0"/>
              <w:bottom w:val="nil"/>
            </w:tcBorders>
            <w:noWrap w:val="0"/>
            <w:vAlign w:val="center"/>
          </w:tcPr>
          <w:p w14:paraId="7AF529B4">
            <w:pPr>
              <w:spacing w:line="300" w:lineRule="auto"/>
              <w:jc w:val="center"/>
              <w:rPr>
                <w:rFonts w:ascii="Times New Roman" w:hAnsi="Times New Roman"/>
                <w:szCs w:val="21"/>
              </w:rPr>
            </w:pPr>
            <w:r>
              <w:rPr>
                <w:rFonts w:ascii="Times New Roman" w:hAnsi="Times New Roman"/>
                <w:szCs w:val="21"/>
              </w:rPr>
              <w:t>促生长能力</w:t>
            </w:r>
          </w:p>
        </w:tc>
        <w:tc>
          <w:tcPr>
            <w:tcW w:w="1222" w:type="dxa"/>
            <w:vMerge w:val="restart"/>
            <w:tcBorders>
              <w:top w:val="single" w:color="auto" w:sz="4" w:space="0"/>
              <w:bottom w:val="single" w:color="auto" w:sz="4" w:space="0"/>
              <w:right w:val="nil"/>
            </w:tcBorders>
            <w:noWrap w:val="0"/>
            <w:vAlign w:val="center"/>
          </w:tcPr>
          <w:p w14:paraId="654D83D3">
            <w:pPr>
              <w:jc w:val="center"/>
              <w:rPr>
                <w:szCs w:val="21"/>
              </w:rPr>
            </w:pPr>
            <w:r>
              <w:rPr>
                <w:rFonts w:ascii="Times New Roman" w:hAnsi="Times New Roman"/>
                <w:szCs w:val="21"/>
              </w:rPr>
              <w:t>36±1 ℃，24~48 h</w:t>
            </w:r>
          </w:p>
        </w:tc>
        <w:tc>
          <w:tcPr>
            <w:tcW w:w="2169" w:type="dxa"/>
            <w:tcBorders>
              <w:top w:val="single" w:color="auto" w:sz="4" w:space="0"/>
              <w:left w:val="nil"/>
              <w:bottom w:val="nil"/>
            </w:tcBorders>
            <w:noWrap w:val="0"/>
            <w:vAlign w:val="center"/>
          </w:tcPr>
          <w:p w14:paraId="7F7C594F">
            <w:pPr>
              <w:spacing w:line="300" w:lineRule="auto"/>
              <w:jc w:val="center"/>
              <w:rPr>
                <w:rFonts w:ascii="Times New Roman" w:hAnsi="Times New Roman"/>
                <w:szCs w:val="21"/>
              </w:rPr>
            </w:pPr>
            <w:r>
              <w:rPr>
                <w:rFonts w:ascii="Times New Roman" w:hAnsi="Times New Roman"/>
                <w:szCs w:val="21"/>
              </w:rPr>
              <w:t>在TSA上≥100 CFU</w:t>
            </w:r>
          </w:p>
        </w:tc>
      </w:tr>
      <w:tr w14:paraId="5EABF8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629" w:type="dxa"/>
            <w:vMerge w:val="continue"/>
            <w:tcBorders>
              <w:top w:val="single" w:color="auto" w:sz="4" w:space="0"/>
              <w:bottom w:val="single" w:color="auto" w:sz="4" w:space="0"/>
            </w:tcBorders>
            <w:noWrap w:val="0"/>
            <w:vAlign w:val="center"/>
          </w:tcPr>
          <w:p w14:paraId="0F9019E4">
            <w:pPr>
              <w:spacing w:line="300" w:lineRule="auto"/>
              <w:jc w:val="center"/>
              <w:rPr>
                <w:rFonts w:ascii="Times New Roman" w:hAnsi="Times New Roman"/>
                <w:szCs w:val="21"/>
              </w:rPr>
            </w:pPr>
          </w:p>
        </w:tc>
        <w:tc>
          <w:tcPr>
            <w:tcW w:w="2436" w:type="dxa"/>
            <w:tcBorders>
              <w:top w:val="nil"/>
              <w:bottom w:val="single" w:color="auto" w:sz="4" w:space="0"/>
            </w:tcBorders>
            <w:noWrap w:val="0"/>
            <w:vAlign w:val="center"/>
          </w:tcPr>
          <w:p w14:paraId="7D206B4D">
            <w:pPr>
              <w:spacing w:line="300" w:lineRule="auto"/>
              <w:jc w:val="center"/>
              <w:rPr>
                <w:rFonts w:ascii="Times New Roman" w:hAnsi="Times New Roman"/>
                <w:szCs w:val="21"/>
              </w:rPr>
            </w:pPr>
            <w:r>
              <w:rPr>
                <w:rFonts w:ascii="Times New Roman" w:hAnsi="Times New Roman"/>
                <w:szCs w:val="21"/>
              </w:rPr>
              <w:t>大肠埃希氏菌</w:t>
            </w:r>
          </w:p>
          <w:p w14:paraId="2983957C">
            <w:pPr>
              <w:spacing w:line="300" w:lineRule="auto"/>
              <w:jc w:val="center"/>
              <w:rPr>
                <w:rFonts w:ascii="Times New Roman" w:hAnsi="Times New Roman"/>
                <w:szCs w:val="21"/>
              </w:rPr>
            </w:pPr>
            <w:r>
              <w:rPr>
                <w:rFonts w:ascii="Times New Roman" w:hAnsi="Times New Roman"/>
                <w:szCs w:val="21"/>
              </w:rPr>
              <w:t>CMCC(B)44102</w:t>
            </w:r>
          </w:p>
        </w:tc>
        <w:tc>
          <w:tcPr>
            <w:tcW w:w="1387" w:type="dxa"/>
            <w:tcBorders>
              <w:top w:val="nil"/>
              <w:bottom w:val="single" w:color="auto" w:sz="4" w:space="0"/>
            </w:tcBorders>
            <w:noWrap w:val="0"/>
            <w:vAlign w:val="center"/>
          </w:tcPr>
          <w:p w14:paraId="700C9CCE">
            <w:pPr>
              <w:spacing w:line="300" w:lineRule="auto"/>
              <w:jc w:val="center"/>
              <w:rPr>
                <w:rFonts w:ascii="Times New Roman" w:hAnsi="Times New Roman"/>
                <w:szCs w:val="21"/>
              </w:rPr>
            </w:pPr>
            <w:r>
              <w:rPr>
                <w:rFonts w:ascii="Times New Roman" w:hAnsi="Times New Roman"/>
                <w:szCs w:val="21"/>
              </w:rPr>
              <w:t>抑制能力</w:t>
            </w:r>
          </w:p>
        </w:tc>
        <w:tc>
          <w:tcPr>
            <w:tcW w:w="1222" w:type="dxa"/>
            <w:vMerge w:val="continue"/>
            <w:tcBorders>
              <w:top w:val="single" w:color="auto" w:sz="4" w:space="0"/>
              <w:bottom w:val="single" w:color="auto" w:sz="4" w:space="0"/>
              <w:right w:val="nil"/>
            </w:tcBorders>
            <w:noWrap w:val="0"/>
            <w:vAlign w:val="center"/>
          </w:tcPr>
          <w:p w14:paraId="4224E439">
            <w:pPr>
              <w:spacing w:line="300" w:lineRule="auto"/>
              <w:jc w:val="center"/>
              <w:rPr>
                <w:rFonts w:ascii="Times New Roman" w:hAnsi="Times New Roman"/>
                <w:szCs w:val="21"/>
              </w:rPr>
            </w:pPr>
          </w:p>
        </w:tc>
        <w:tc>
          <w:tcPr>
            <w:tcW w:w="2169" w:type="dxa"/>
            <w:tcBorders>
              <w:top w:val="nil"/>
              <w:left w:val="nil"/>
              <w:bottom w:val="single" w:color="auto" w:sz="4" w:space="0"/>
            </w:tcBorders>
            <w:noWrap w:val="0"/>
            <w:vAlign w:val="center"/>
          </w:tcPr>
          <w:p w14:paraId="51B24A7F">
            <w:pPr>
              <w:spacing w:line="300" w:lineRule="auto"/>
              <w:jc w:val="center"/>
              <w:rPr>
                <w:rFonts w:ascii="Times New Roman" w:hAnsi="Times New Roman"/>
                <w:szCs w:val="21"/>
              </w:rPr>
            </w:pPr>
            <w:r>
              <w:rPr>
                <w:rFonts w:ascii="Times New Roman" w:hAnsi="Times New Roman"/>
                <w:szCs w:val="21"/>
              </w:rPr>
              <w:t>在TSA上＜100 CFU</w:t>
            </w:r>
          </w:p>
        </w:tc>
      </w:tr>
      <w:tr w14:paraId="4E13E5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629" w:type="dxa"/>
            <w:vMerge w:val="restart"/>
            <w:tcBorders>
              <w:top w:val="single" w:color="auto" w:sz="4" w:space="0"/>
              <w:bottom w:val="single" w:color="auto" w:sz="4" w:space="0"/>
            </w:tcBorders>
            <w:noWrap w:val="0"/>
            <w:vAlign w:val="center"/>
          </w:tcPr>
          <w:p w14:paraId="4F130DB4">
            <w:pPr>
              <w:spacing w:line="300" w:lineRule="auto"/>
              <w:jc w:val="center"/>
              <w:rPr>
                <w:rFonts w:ascii="Times New Roman" w:hAnsi="Times New Roman"/>
                <w:szCs w:val="21"/>
              </w:rPr>
            </w:pPr>
            <w:r>
              <w:rPr>
                <w:rFonts w:ascii="Times New Roman" w:hAnsi="Times New Roman"/>
                <w:szCs w:val="21"/>
              </w:rPr>
              <w:t>双倍乳糖胆盐（含中和剂）</w:t>
            </w:r>
            <w:r>
              <w:rPr>
                <w:rFonts w:hint="eastAsia" w:ascii="Times New Roman" w:hAnsi="Times New Roman"/>
                <w:szCs w:val="21"/>
              </w:rPr>
              <w:t>培养基</w:t>
            </w:r>
          </w:p>
        </w:tc>
        <w:tc>
          <w:tcPr>
            <w:tcW w:w="2436" w:type="dxa"/>
            <w:tcBorders>
              <w:top w:val="single" w:color="auto" w:sz="4" w:space="0"/>
              <w:bottom w:val="nil"/>
            </w:tcBorders>
            <w:noWrap w:val="0"/>
            <w:vAlign w:val="center"/>
          </w:tcPr>
          <w:p w14:paraId="4291956A">
            <w:pPr>
              <w:spacing w:line="300" w:lineRule="auto"/>
              <w:jc w:val="center"/>
              <w:rPr>
                <w:rFonts w:ascii="Times New Roman" w:hAnsi="Times New Roman"/>
                <w:szCs w:val="21"/>
              </w:rPr>
            </w:pPr>
            <w:r>
              <w:rPr>
                <w:rFonts w:ascii="Times New Roman" w:hAnsi="Times New Roman"/>
                <w:szCs w:val="21"/>
              </w:rPr>
              <w:t>大肠埃希氏菌</w:t>
            </w:r>
          </w:p>
          <w:p w14:paraId="5FA28507">
            <w:pPr>
              <w:pStyle w:val="3"/>
              <w:spacing w:after="0" w:line="300" w:lineRule="auto"/>
              <w:ind w:left="0" w:leftChars="0" w:firstLine="0" w:firstLineChars="0"/>
              <w:jc w:val="center"/>
              <w:rPr>
                <w:szCs w:val="21"/>
              </w:rPr>
            </w:pPr>
            <w:r>
              <w:rPr>
                <w:szCs w:val="21"/>
              </w:rPr>
              <w:t>CMCC(B)44102</w:t>
            </w:r>
          </w:p>
        </w:tc>
        <w:tc>
          <w:tcPr>
            <w:tcW w:w="1387" w:type="dxa"/>
            <w:tcBorders>
              <w:top w:val="single" w:color="auto" w:sz="4" w:space="0"/>
              <w:bottom w:val="nil"/>
            </w:tcBorders>
            <w:noWrap w:val="0"/>
            <w:vAlign w:val="center"/>
          </w:tcPr>
          <w:p w14:paraId="663BD39F">
            <w:pPr>
              <w:spacing w:line="300" w:lineRule="auto"/>
              <w:jc w:val="center"/>
              <w:rPr>
                <w:rFonts w:ascii="Times New Roman" w:hAnsi="Times New Roman"/>
                <w:szCs w:val="21"/>
              </w:rPr>
            </w:pPr>
            <w:r>
              <w:rPr>
                <w:rFonts w:ascii="Times New Roman" w:hAnsi="Times New Roman"/>
                <w:szCs w:val="21"/>
              </w:rPr>
              <w:t>促生长能力</w:t>
            </w:r>
          </w:p>
        </w:tc>
        <w:tc>
          <w:tcPr>
            <w:tcW w:w="1222" w:type="dxa"/>
            <w:vMerge w:val="restart"/>
            <w:tcBorders>
              <w:top w:val="single" w:color="auto" w:sz="4" w:space="0"/>
              <w:bottom w:val="single" w:color="auto" w:sz="4" w:space="0"/>
              <w:right w:val="nil"/>
            </w:tcBorders>
            <w:noWrap w:val="0"/>
            <w:vAlign w:val="center"/>
          </w:tcPr>
          <w:p w14:paraId="1C8B3C1E">
            <w:pPr>
              <w:spacing w:line="300" w:lineRule="auto"/>
              <w:jc w:val="center"/>
              <w:rPr>
                <w:rFonts w:ascii="Times New Roman" w:hAnsi="Times New Roman"/>
                <w:szCs w:val="21"/>
              </w:rPr>
            </w:pPr>
            <w:r>
              <w:rPr>
                <w:rFonts w:ascii="Times New Roman" w:hAnsi="Times New Roman"/>
                <w:szCs w:val="21"/>
              </w:rPr>
              <w:t>36±1 ℃，48±2 h</w:t>
            </w:r>
          </w:p>
        </w:tc>
        <w:tc>
          <w:tcPr>
            <w:tcW w:w="2169" w:type="dxa"/>
            <w:tcBorders>
              <w:top w:val="single" w:color="auto" w:sz="4" w:space="0"/>
              <w:left w:val="nil"/>
              <w:bottom w:val="nil"/>
            </w:tcBorders>
            <w:noWrap w:val="0"/>
            <w:vAlign w:val="center"/>
          </w:tcPr>
          <w:p w14:paraId="603A4407">
            <w:pPr>
              <w:spacing w:line="300" w:lineRule="auto"/>
              <w:jc w:val="center"/>
              <w:rPr>
                <w:rFonts w:ascii="Times New Roman" w:hAnsi="Times New Roman"/>
                <w:szCs w:val="21"/>
              </w:rPr>
            </w:pPr>
            <w:r>
              <w:rPr>
                <w:rFonts w:ascii="Times New Roman" w:hAnsi="Times New Roman"/>
                <w:szCs w:val="21"/>
              </w:rPr>
              <w:t>在TSA上≥100 CFU</w:t>
            </w:r>
          </w:p>
        </w:tc>
      </w:tr>
      <w:tr w14:paraId="77BA1F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629" w:type="dxa"/>
            <w:vMerge w:val="continue"/>
            <w:tcBorders>
              <w:top w:val="single" w:color="auto" w:sz="4" w:space="0"/>
              <w:bottom w:val="single" w:color="auto" w:sz="4" w:space="0"/>
            </w:tcBorders>
            <w:noWrap w:val="0"/>
            <w:vAlign w:val="center"/>
          </w:tcPr>
          <w:p w14:paraId="245B57CB">
            <w:pPr>
              <w:spacing w:line="300" w:lineRule="auto"/>
              <w:jc w:val="center"/>
              <w:rPr>
                <w:rFonts w:ascii="Times New Roman" w:hAnsi="Times New Roman"/>
                <w:szCs w:val="21"/>
              </w:rPr>
            </w:pPr>
          </w:p>
        </w:tc>
        <w:tc>
          <w:tcPr>
            <w:tcW w:w="2436" w:type="dxa"/>
            <w:tcBorders>
              <w:top w:val="nil"/>
              <w:bottom w:val="single" w:color="auto" w:sz="4" w:space="0"/>
            </w:tcBorders>
            <w:noWrap w:val="0"/>
            <w:vAlign w:val="center"/>
          </w:tcPr>
          <w:p w14:paraId="6BA0514D">
            <w:pPr>
              <w:spacing w:line="300" w:lineRule="auto"/>
              <w:jc w:val="center"/>
              <w:rPr>
                <w:rFonts w:ascii="Times New Roman" w:hAnsi="Times New Roman"/>
                <w:szCs w:val="21"/>
              </w:rPr>
            </w:pPr>
            <w:r>
              <w:rPr>
                <w:rFonts w:ascii="Times New Roman" w:hAnsi="Times New Roman"/>
                <w:szCs w:val="21"/>
              </w:rPr>
              <w:t>金黄色葡萄球菌</w:t>
            </w:r>
          </w:p>
          <w:p w14:paraId="7CA5153B">
            <w:pPr>
              <w:pStyle w:val="3"/>
              <w:spacing w:after="0" w:line="300" w:lineRule="auto"/>
              <w:ind w:left="0" w:leftChars="0" w:firstLine="0" w:firstLineChars="0"/>
              <w:jc w:val="center"/>
              <w:rPr>
                <w:szCs w:val="21"/>
              </w:rPr>
            </w:pPr>
            <w:r>
              <w:rPr>
                <w:szCs w:val="21"/>
              </w:rPr>
              <w:t>CMCC(B)26003</w:t>
            </w:r>
          </w:p>
        </w:tc>
        <w:tc>
          <w:tcPr>
            <w:tcW w:w="1387" w:type="dxa"/>
            <w:tcBorders>
              <w:top w:val="nil"/>
              <w:bottom w:val="single" w:color="auto" w:sz="4" w:space="0"/>
            </w:tcBorders>
            <w:noWrap w:val="0"/>
            <w:vAlign w:val="center"/>
          </w:tcPr>
          <w:p w14:paraId="76715520">
            <w:pPr>
              <w:spacing w:line="300" w:lineRule="auto"/>
              <w:jc w:val="center"/>
              <w:rPr>
                <w:rFonts w:ascii="Times New Roman" w:hAnsi="Times New Roman"/>
                <w:szCs w:val="21"/>
              </w:rPr>
            </w:pPr>
            <w:r>
              <w:rPr>
                <w:rFonts w:ascii="Times New Roman" w:hAnsi="Times New Roman"/>
                <w:szCs w:val="21"/>
              </w:rPr>
              <w:t>抑制能力</w:t>
            </w:r>
          </w:p>
        </w:tc>
        <w:tc>
          <w:tcPr>
            <w:tcW w:w="1222" w:type="dxa"/>
            <w:vMerge w:val="continue"/>
            <w:tcBorders>
              <w:top w:val="single" w:color="auto" w:sz="4" w:space="0"/>
              <w:bottom w:val="single" w:color="auto" w:sz="4" w:space="0"/>
              <w:right w:val="nil"/>
            </w:tcBorders>
            <w:noWrap w:val="0"/>
            <w:vAlign w:val="center"/>
          </w:tcPr>
          <w:p w14:paraId="1E4304D7">
            <w:pPr>
              <w:spacing w:line="300" w:lineRule="auto"/>
              <w:jc w:val="center"/>
              <w:rPr>
                <w:rFonts w:ascii="Times New Roman" w:hAnsi="Times New Roman"/>
                <w:szCs w:val="21"/>
              </w:rPr>
            </w:pPr>
          </w:p>
        </w:tc>
        <w:tc>
          <w:tcPr>
            <w:tcW w:w="2169" w:type="dxa"/>
            <w:tcBorders>
              <w:top w:val="nil"/>
              <w:left w:val="nil"/>
              <w:bottom w:val="single" w:color="auto" w:sz="4" w:space="0"/>
            </w:tcBorders>
            <w:noWrap w:val="0"/>
            <w:vAlign w:val="center"/>
          </w:tcPr>
          <w:p w14:paraId="2F2E4824">
            <w:pPr>
              <w:spacing w:line="300" w:lineRule="auto"/>
              <w:jc w:val="center"/>
              <w:rPr>
                <w:rFonts w:ascii="Times New Roman" w:hAnsi="Times New Roman"/>
                <w:szCs w:val="21"/>
              </w:rPr>
            </w:pPr>
            <w:r>
              <w:rPr>
                <w:rFonts w:ascii="Times New Roman" w:hAnsi="Times New Roman"/>
                <w:szCs w:val="21"/>
              </w:rPr>
              <w:t>在TSA上＜100 CFU</w:t>
            </w:r>
          </w:p>
        </w:tc>
      </w:tr>
      <w:tr w14:paraId="78D484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629" w:type="dxa"/>
            <w:vMerge w:val="restart"/>
            <w:tcBorders>
              <w:top w:val="single" w:color="auto" w:sz="4" w:space="0"/>
              <w:bottom w:val="single" w:color="auto" w:sz="4" w:space="0"/>
            </w:tcBorders>
            <w:noWrap w:val="0"/>
            <w:vAlign w:val="center"/>
          </w:tcPr>
          <w:p w14:paraId="24D35261">
            <w:pPr>
              <w:spacing w:line="300" w:lineRule="auto"/>
              <w:jc w:val="center"/>
              <w:rPr>
                <w:rFonts w:ascii="Times New Roman" w:hAnsi="Times New Roman"/>
                <w:szCs w:val="21"/>
              </w:rPr>
            </w:pPr>
            <w:r>
              <w:rPr>
                <w:rFonts w:ascii="Times New Roman" w:hAnsi="Times New Roman"/>
                <w:szCs w:val="21"/>
              </w:rPr>
              <w:t>单倍乳糖胆盐</w:t>
            </w:r>
            <w:r>
              <w:rPr>
                <w:rFonts w:hint="eastAsia" w:ascii="Times New Roman" w:hAnsi="Times New Roman"/>
                <w:szCs w:val="21"/>
              </w:rPr>
              <w:t>（</w:t>
            </w:r>
            <w:r>
              <w:rPr>
                <w:rFonts w:ascii="Times New Roman" w:hAnsi="Times New Roman"/>
                <w:szCs w:val="21"/>
              </w:rPr>
              <w:t>含中和剂</w:t>
            </w:r>
            <w:r>
              <w:rPr>
                <w:rFonts w:hint="eastAsia" w:ascii="Times New Roman" w:hAnsi="Times New Roman"/>
                <w:szCs w:val="21"/>
              </w:rPr>
              <w:t>）培养基</w:t>
            </w:r>
          </w:p>
        </w:tc>
        <w:tc>
          <w:tcPr>
            <w:tcW w:w="2436" w:type="dxa"/>
            <w:tcBorders>
              <w:top w:val="single" w:color="auto" w:sz="4" w:space="0"/>
              <w:bottom w:val="nil"/>
            </w:tcBorders>
            <w:noWrap w:val="0"/>
            <w:vAlign w:val="center"/>
          </w:tcPr>
          <w:p w14:paraId="759E5CE4">
            <w:pPr>
              <w:spacing w:line="300" w:lineRule="auto"/>
              <w:jc w:val="center"/>
              <w:rPr>
                <w:rFonts w:ascii="Times New Roman" w:hAnsi="Times New Roman"/>
                <w:szCs w:val="21"/>
              </w:rPr>
            </w:pPr>
            <w:r>
              <w:rPr>
                <w:rFonts w:ascii="Times New Roman" w:hAnsi="Times New Roman"/>
                <w:szCs w:val="21"/>
              </w:rPr>
              <w:t>大肠埃希氏菌</w:t>
            </w:r>
          </w:p>
          <w:p w14:paraId="5E0613C9">
            <w:pPr>
              <w:spacing w:line="300" w:lineRule="auto"/>
              <w:jc w:val="center"/>
              <w:rPr>
                <w:rFonts w:ascii="Times New Roman" w:hAnsi="Times New Roman"/>
                <w:szCs w:val="21"/>
              </w:rPr>
            </w:pPr>
            <w:r>
              <w:rPr>
                <w:rFonts w:ascii="Times New Roman" w:hAnsi="Times New Roman"/>
                <w:szCs w:val="21"/>
              </w:rPr>
              <w:t>CMCC(B)44102</w:t>
            </w:r>
          </w:p>
        </w:tc>
        <w:tc>
          <w:tcPr>
            <w:tcW w:w="1387" w:type="dxa"/>
            <w:tcBorders>
              <w:top w:val="single" w:color="auto" w:sz="4" w:space="0"/>
              <w:bottom w:val="nil"/>
            </w:tcBorders>
            <w:noWrap w:val="0"/>
            <w:vAlign w:val="center"/>
          </w:tcPr>
          <w:p w14:paraId="4A3035DE">
            <w:pPr>
              <w:spacing w:line="300" w:lineRule="auto"/>
              <w:jc w:val="center"/>
              <w:rPr>
                <w:rFonts w:ascii="Times New Roman" w:hAnsi="Times New Roman"/>
                <w:szCs w:val="21"/>
              </w:rPr>
            </w:pPr>
            <w:r>
              <w:rPr>
                <w:rFonts w:ascii="Times New Roman" w:hAnsi="Times New Roman"/>
                <w:szCs w:val="21"/>
              </w:rPr>
              <w:t>促生长能力</w:t>
            </w:r>
          </w:p>
        </w:tc>
        <w:tc>
          <w:tcPr>
            <w:tcW w:w="1222" w:type="dxa"/>
            <w:vMerge w:val="restart"/>
            <w:tcBorders>
              <w:top w:val="single" w:color="auto" w:sz="4" w:space="0"/>
              <w:bottom w:val="single" w:color="auto" w:sz="4" w:space="0"/>
            </w:tcBorders>
            <w:noWrap w:val="0"/>
            <w:vAlign w:val="center"/>
          </w:tcPr>
          <w:p w14:paraId="331E6EE1">
            <w:pPr>
              <w:spacing w:line="300" w:lineRule="auto"/>
              <w:jc w:val="center"/>
              <w:rPr>
                <w:rFonts w:ascii="Times New Roman" w:hAnsi="Times New Roman"/>
                <w:szCs w:val="21"/>
              </w:rPr>
            </w:pPr>
            <w:r>
              <w:rPr>
                <w:rFonts w:ascii="Times New Roman" w:hAnsi="Times New Roman"/>
                <w:szCs w:val="21"/>
              </w:rPr>
              <w:t>36±1 ℃，24±2 h</w:t>
            </w:r>
          </w:p>
        </w:tc>
        <w:tc>
          <w:tcPr>
            <w:tcW w:w="2169" w:type="dxa"/>
            <w:tcBorders>
              <w:top w:val="single" w:color="auto" w:sz="4" w:space="0"/>
              <w:bottom w:val="nil"/>
            </w:tcBorders>
            <w:noWrap w:val="0"/>
            <w:vAlign w:val="center"/>
          </w:tcPr>
          <w:p w14:paraId="3892656D">
            <w:pPr>
              <w:spacing w:line="300" w:lineRule="auto"/>
              <w:jc w:val="center"/>
              <w:rPr>
                <w:rFonts w:ascii="Times New Roman" w:hAnsi="Times New Roman"/>
                <w:szCs w:val="21"/>
              </w:rPr>
            </w:pPr>
            <w:r>
              <w:rPr>
                <w:rFonts w:ascii="Times New Roman" w:hAnsi="Times New Roman"/>
                <w:szCs w:val="21"/>
              </w:rPr>
              <w:t>在TSA上≥100 CFU</w:t>
            </w:r>
          </w:p>
        </w:tc>
      </w:tr>
      <w:tr w14:paraId="7AF572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629" w:type="dxa"/>
            <w:vMerge w:val="continue"/>
            <w:tcBorders>
              <w:top w:val="single" w:color="auto" w:sz="4" w:space="0"/>
              <w:bottom w:val="single" w:color="auto" w:sz="4" w:space="0"/>
            </w:tcBorders>
            <w:noWrap w:val="0"/>
            <w:vAlign w:val="center"/>
          </w:tcPr>
          <w:p w14:paraId="02EEEB69">
            <w:pPr>
              <w:spacing w:line="300" w:lineRule="auto"/>
              <w:jc w:val="center"/>
              <w:rPr>
                <w:rFonts w:ascii="Times New Roman" w:hAnsi="Times New Roman"/>
                <w:szCs w:val="21"/>
              </w:rPr>
            </w:pPr>
          </w:p>
        </w:tc>
        <w:tc>
          <w:tcPr>
            <w:tcW w:w="2436" w:type="dxa"/>
            <w:tcBorders>
              <w:top w:val="nil"/>
              <w:bottom w:val="single" w:color="auto" w:sz="4" w:space="0"/>
            </w:tcBorders>
            <w:noWrap w:val="0"/>
            <w:vAlign w:val="center"/>
          </w:tcPr>
          <w:p w14:paraId="28D1C973">
            <w:pPr>
              <w:spacing w:line="300" w:lineRule="auto"/>
              <w:jc w:val="center"/>
              <w:rPr>
                <w:rFonts w:ascii="Times New Roman" w:hAnsi="Times New Roman"/>
                <w:szCs w:val="21"/>
              </w:rPr>
            </w:pPr>
            <w:r>
              <w:rPr>
                <w:rFonts w:ascii="Times New Roman" w:hAnsi="Times New Roman"/>
                <w:szCs w:val="21"/>
              </w:rPr>
              <w:t>金黄色葡萄球菌</w:t>
            </w:r>
          </w:p>
          <w:p w14:paraId="664ABC43">
            <w:pPr>
              <w:spacing w:line="300" w:lineRule="auto"/>
              <w:jc w:val="center"/>
              <w:rPr>
                <w:rFonts w:ascii="Times New Roman" w:hAnsi="Times New Roman"/>
                <w:szCs w:val="21"/>
              </w:rPr>
            </w:pPr>
            <w:r>
              <w:rPr>
                <w:rFonts w:ascii="Times New Roman" w:hAnsi="Times New Roman"/>
                <w:szCs w:val="21"/>
              </w:rPr>
              <w:t>CMCC(B)26003</w:t>
            </w:r>
          </w:p>
        </w:tc>
        <w:tc>
          <w:tcPr>
            <w:tcW w:w="1387" w:type="dxa"/>
            <w:tcBorders>
              <w:top w:val="nil"/>
              <w:bottom w:val="single" w:color="auto" w:sz="4" w:space="0"/>
            </w:tcBorders>
            <w:noWrap w:val="0"/>
            <w:vAlign w:val="center"/>
          </w:tcPr>
          <w:p w14:paraId="19FEBAB1">
            <w:pPr>
              <w:spacing w:line="300" w:lineRule="auto"/>
              <w:jc w:val="center"/>
              <w:rPr>
                <w:rFonts w:ascii="Times New Roman" w:hAnsi="Times New Roman"/>
                <w:szCs w:val="21"/>
              </w:rPr>
            </w:pPr>
            <w:r>
              <w:rPr>
                <w:rFonts w:ascii="Times New Roman" w:hAnsi="Times New Roman"/>
                <w:szCs w:val="21"/>
              </w:rPr>
              <w:t>抑制能力</w:t>
            </w:r>
          </w:p>
        </w:tc>
        <w:tc>
          <w:tcPr>
            <w:tcW w:w="1222" w:type="dxa"/>
            <w:vMerge w:val="continue"/>
            <w:tcBorders>
              <w:top w:val="single" w:color="auto" w:sz="4" w:space="0"/>
              <w:bottom w:val="single" w:color="auto" w:sz="4" w:space="0"/>
            </w:tcBorders>
            <w:noWrap w:val="0"/>
            <w:vAlign w:val="center"/>
          </w:tcPr>
          <w:p w14:paraId="758E7AE1">
            <w:pPr>
              <w:spacing w:line="300" w:lineRule="auto"/>
              <w:jc w:val="center"/>
              <w:rPr>
                <w:rFonts w:ascii="Times New Roman" w:hAnsi="Times New Roman"/>
                <w:szCs w:val="21"/>
              </w:rPr>
            </w:pPr>
          </w:p>
        </w:tc>
        <w:tc>
          <w:tcPr>
            <w:tcW w:w="2169" w:type="dxa"/>
            <w:tcBorders>
              <w:top w:val="nil"/>
              <w:bottom w:val="single" w:color="auto" w:sz="4" w:space="0"/>
            </w:tcBorders>
            <w:noWrap w:val="0"/>
            <w:vAlign w:val="center"/>
          </w:tcPr>
          <w:p w14:paraId="27DE133C">
            <w:pPr>
              <w:spacing w:line="300" w:lineRule="auto"/>
              <w:jc w:val="center"/>
              <w:rPr>
                <w:rFonts w:ascii="Times New Roman" w:hAnsi="Times New Roman"/>
                <w:szCs w:val="21"/>
              </w:rPr>
            </w:pPr>
            <w:r>
              <w:rPr>
                <w:rFonts w:ascii="Times New Roman" w:hAnsi="Times New Roman"/>
                <w:szCs w:val="21"/>
              </w:rPr>
              <w:t>在TSA上＜100 CFU</w:t>
            </w:r>
          </w:p>
        </w:tc>
      </w:tr>
      <w:tr w14:paraId="258E9C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629" w:type="dxa"/>
            <w:vMerge w:val="restart"/>
            <w:tcBorders>
              <w:top w:val="single" w:color="auto" w:sz="4" w:space="0"/>
              <w:bottom w:val="single" w:color="auto" w:sz="4" w:space="0"/>
            </w:tcBorders>
            <w:noWrap w:val="0"/>
            <w:vAlign w:val="center"/>
          </w:tcPr>
          <w:p w14:paraId="22320A1A">
            <w:pPr>
              <w:spacing w:line="300" w:lineRule="auto"/>
              <w:jc w:val="center"/>
              <w:rPr>
                <w:rFonts w:ascii="Times New Roman" w:hAnsi="Times New Roman"/>
                <w:szCs w:val="21"/>
              </w:rPr>
            </w:pPr>
            <w:r>
              <w:rPr>
                <w:rFonts w:ascii="Times New Roman" w:hAnsi="Times New Roman"/>
                <w:szCs w:val="21"/>
              </w:rPr>
              <w:t>胰酪大豆胨液体培养基</w:t>
            </w:r>
          </w:p>
        </w:tc>
        <w:tc>
          <w:tcPr>
            <w:tcW w:w="2436" w:type="dxa"/>
            <w:tcBorders>
              <w:top w:val="single" w:color="auto" w:sz="4" w:space="0"/>
            </w:tcBorders>
            <w:noWrap w:val="0"/>
            <w:vAlign w:val="center"/>
          </w:tcPr>
          <w:p w14:paraId="11DFC7AB">
            <w:pPr>
              <w:spacing w:line="300" w:lineRule="auto"/>
              <w:jc w:val="center"/>
              <w:rPr>
                <w:rFonts w:ascii="Times New Roman" w:hAnsi="Times New Roman"/>
                <w:szCs w:val="21"/>
              </w:rPr>
            </w:pPr>
            <w:r>
              <w:rPr>
                <w:rFonts w:ascii="Times New Roman" w:hAnsi="Times New Roman"/>
                <w:szCs w:val="21"/>
              </w:rPr>
              <w:t>大肠埃希氏菌</w:t>
            </w:r>
          </w:p>
          <w:p w14:paraId="73889792">
            <w:pPr>
              <w:spacing w:line="300" w:lineRule="auto"/>
              <w:jc w:val="center"/>
              <w:rPr>
                <w:rFonts w:ascii="Times New Roman" w:hAnsi="Times New Roman"/>
                <w:szCs w:val="21"/>
              </w:rPr>
            </w:pPr>
            <w:r>
              <w:rPr>
                <w:rFonts w:ascii="Times New Roman" w:hAnsi="Times New Roman"/>
                <w:szCs w:val="21"/>
              </w:rPr>
              <w:t>CMCC(B)44102</w:t>
            </w:r>
          </w:p>
        </w:tc>
        <w:tc>
          <w:tcPr>
            <w:tcW w:w="1387" w:type="dxa"/>
            <w:vMerge w:val="restart"/>
            <w:tcBorders>
              <w:top w:val="single" w:color="auto" w:sz="4" w:space="0"/>
            </w:tcBorders>
            <w:noWrap w:val="0"/>
            <w:vAlign w:val="center"/>
          </w:tcPr>
          <w:p w14:paraId="32A02E24">
            <w:pPr>
              <w:spacing w:line="300" w:lineRule="auto"/>
              <w:jc w:val="center"/>
              <w:rPr>
                <w:rFonts w:ascii="Times New Roman" w:hAnsi="Times New Roman"/>
                <w:szCs w:val="21"/>
              </w:rPr>
            </w:pPr>
            <w:r>
              <w:rPr>
                <w:rFonts w:ascii="Times New Roman" w:hAnsi="Times New Roman"/>
                <w:szCs w:val="21"/>
              </w:rPr>
              <w:t>促生长能力</w:t>
            </w:r>
          </w:p>
        </w:tc>
        <w:tc>
          <w:tcPr>
            <w:tcW w:w="1222" w:type="dxa"/>
            <w:vMerge w:val="restart"/>
            <w:tcBorders>
              <w:top w:val="single" w:color="auto" w:sz="4" w:space="0"/>
              <w:bottom w:val="single" w:color="auto" w:sz="4" w:space="0"/>
            </w:tcBorders>
            <w:noWrap w:val="0"/>
            <w:vAlign w:val="center"/>
          </w:tcPr>
          <w:p w14:paraId="14629F4D">
            <w:pPr>
              <w:spacing w:line="300" w:lineRule="auto"/>
              <w:jc w:val="center"/>
              <w:rPr>
                <w:rFonts w:ascii="Times New Roman" w:hAnsi="Times New Roman"/>
                <w:szCs w:val="21"/>
              </w:rPr>
            </w:pPr>
            <w:r>
              <w:rPr>
                <w:rFonts w:ascii="Times New Roman" w:hAnsi="Times New Roman"/>
                <w:szCs w:val="21"/>
              </w:rPr>
              <w:t>36±1 ℃，24±2 h</w:t>
            </w:r>
          </w:p>
        </w:tc>
        <w:tc>
          <w:tcPr>
            <w:tcW w:w="2169" w:type="dxa"/>
            <w:tcBorders>
              <w:top w:val="single" w:color="auto" w:sz="4" w:space="0"/>
            </w:tcBorders>
            <w:noWrap w:val="0"/>
            <w:vAlign w:val="center"/>
          </w:tcPr>
          <w:p w14:paraId="65C721B1">
            <w:pPr>
              <w:spacing w:line="300" w:lineRule="auto"/>
              <w:jc w:val="center"/>
              <w:rPr>
                <w:rFonts w:ascii="Times New Roman" w:hAnsi="Times New Roman"/>
                <w:szCs w:val="21"/>
              </w:rPr>
            </w:pPr>
            <w:r>
              <w:rPr>
                <w:rFonts w:ascii="Times New Roman" w:hAnsi="Times New Roman"/>
                <w:szCs w:val="21"/>
              </w:rPr>
              <w:t>在TSA上≥100 CFU</w:t>
            </w:r>
          </w:p>
        </w:tc>
      </w:tr>
      <w:tr w14:paraId="20568D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629" w:type="dxa"/>
            <w:vMerge w:val="continue"/>
            <w:tcBorders>
              <w:top w:val="single" w:color="auto" w:sz="4" w:space="0"/>
              <w:bottom w:val="single" w:color="auto" w:sz="4" w:space="0"/>
            </w:tcBorders>
            <w:noWrap w:val="0"/>
            <w:vAlign w:val="center"/>
          </w:tcPr>
          <w:p w14:paraId="5F12621E">
            <w:pPr>
              <w:spacing w:line="300" w:lineRule="auto"/>
              <w:jc w:val="center"/>
              <w:rPr>
                <w:rFonts w:ascii="Times New Roman" w:hAnsi="Times New Roman"/>
                <w:szCs w:val="21"/>
              </w:rPr>
            </w:pPr>
          </w:p>
        </w:tc>
        <w:tc>
          <w:tcPr>
            <w:tcW w:w="2436" w:type="dxa"/>
            <w:noWrap w:val="0"/>
            <w:vAlign w:val="center"/>
          </w:tcPr>
          <w:p w14:paraId="5862E7FA">
            <w:pPr>
              <w:spacing w:line="300" w:lineRule="auto"/>
              <w:jc w:val="center"/>
              <w:rPr>
                <w:rFonts w:ascii="Times New Roman" w:hAnsi="Times New Roman"/>
                <w:szCs w:val="21"/>
              </w:rPr>
            </w:pPr>
            <w:r>
              <w:rPr>
                <w:rFonts w:ascii="Times New Roman" w:hAnsi="Times New Roman"/>
                <w:szCs w:val="21"/>
              </w:rPr>
              <w:t>金黄色葡萄球菌</w:t>
            </w:r>
          </w:p>
          <w:p w14:paraId="315F6855">
            <w:pPr>
              <w:spacing w:line="300" w:lineRule="auto"/>
              <w:jc w:val="center"/>
              <w:rPr>
                <w:rFonts w:ascii="Times New Roman" w:hAnsi="Times New Roman"/>
                <w:szCs w:val="21"/>
              </w:rPr>
            </w:pPr>
            <w:r>
              <w:rPr>
                <w:rFonts w:ascii="Times New Roman" w:hAnsi="Times New Roman"/>
                <w:szCs w:val="21"/>
              </w:rPr>
              <w:t>CMCC(B)26003</w:t>
            </w:r>
          </w:p>
        </w:tc>
        <w:tc>
          <w:tcPr>
            <w:tcW w:w="1387" w:type="dxa"/>
            <w:vMerge w:val="continue"/>
            <w:noWrap w:val="0"/>
            <w:vAlign w:val="center"/>
          </w:tcPr>
          <w:p w14:paraId="7B527B28">
            <w:pPr>
              <w:spacing w:line="300" w:lineRule="auto"/>
              <w:jc w:val="center"/>
              <w:rPr>
                <w:rFonts w:ascii="Times New Roman" w:hAnsi="Times New Roman"/>
                <w:color w:val="000000"/>
                <w:szCs w:val="21"/>
              </w:rPr>
            </w:pPr>
          </w:p>
        </w:tc>
        <w:tc>
          <w:tcPr>
            <w:tcW w:w="1222" w:type="dxa"/>
            <w:vMerge w:val="continue"/>
            <w:tcBorders>
              <w:top w:val="single" w:color="auto" w:sz="4" w:space="0"/>
              <w:bottom w:val="single" w:color="auto" w:sz="4" w:space="0"/>
            </w:tcBorders>
            <w:noWrap w:val="0"/>
            <w:vAlign w:val="center"/>
          </w:tcPr>
          <w:p w14:paraId="7E78B6D2">
            <w:pPr>
              <w:spacing w:line="300" w:lineRule="auto"/>
              <w:jc w:val="center"/>
              <w:rPr>
                <w:rFonts w:ascii="Times New Roman" w:hAnsi="Times New Roman"/>
                <w:color w:val="000000"/>
                <w:szCs w:val="21"/>
              </w:rPr>
            </w:pPr>
          </w:p>
        </w:tc>
        <w:tc>
          <w:tcPr>
            <w:tcW w:w="2169" w:type="dxa"/>
            <w:noWrap w:val="0"/>
            <w:vAlign w:val="center"/>
          </w:tcPr>
          <w:p w14:paraId="5BEBAB02">
            <w:pPr>
              <w:spacing w:line="300" w:lineRule="auto"/>
              <w:jc w:val="center"/>
              <w:rPr>
                <w:rFonts w:ascii="Times New Roman" w:hAnsi="Times New Roman"/>
                <w:color w:val="000000"/>
                <w:szCs w:val="21"/>
              </w:rPr>
            </w:pPr>
            <w:r>
              <w:rPr>
                <w:rFonts w:ascii="Times New Roman" w:hAnsi="Times New Roman"/>
                <w:szCs w:val="21"/>
              </w:rPr>
              <w:t>在TSA上≥100 CFU</w:t>
            </w:r>
          </w:p>
        </w:tc>
      </w:tr>
      <w:tr w14:paraId="2E9E66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629" w:type="dxa"/>
            <w:vMerge w:val="continue"/>
            <w:tcBorders>
              <w:top w:val="single" w:color="auto" w:sz="4" w:space="0"/>
              <w:bottom w:val="single" w:color="auto" w:sz="4" w:space="0"/>
            </w:tcBorders>
            <w:noWrap w:val="0"/>
            <w:vAlign w:val="center"/>
          </w:tcPr>
          <w:p w14:paraId="5F140A0E">
            <w:pPr>
              <w:spacing w:line="300" w:lineRule="auto"/>
              <w:jc w:val="center"/>
              <w:rPr>
                <w:rFonts w:ascii="Times New Roman" w:hAnsi="Times New Roman"/>
                <w:szCs w:val="21"/>
              </w:rPr>
            </w:pPr>
          </w:p>
        </w:tc>
        <w:tc>
          <w:tcPr>
            <w:tcW w:w="2436" w:type="dxa"/>
            <w:noWrap w:val="0"/>
            <w:vAlign w:val="center"/>
          </w:tcPr>
          <w:p w14:paraId="2B4CB718">
            <w:pPr>
              <w:spacing w:line="300" w:lineRule="auto"/>
              <w:jc w:val="center"/>
              <w:rPr>
                <w:rFonts w:ascii="Times New Roman" w:hAnsi="Times New Roman"/>
                <w:szCs w:val="21"/>
              </w:rPr>
            </w:pPr>
            <w:r>
              <w:rPr>
                <w:rFonts w:ascii="Times New Roman" w:hAnsi="Times New Roman"/>
                <w:szCs w:val="21"/>
              </w:rPr>
              <w:t>枯草芽孢杆菌</w:t>
            </w:r>
          </w:p>
          <w:p w14:paraId="1825F69D">
            <w:pPr>
              <w:spacing w:line="300" w:lineRule="auto"/>
              <w:jc w:val="center"/>
              <w:rPr>
                <w:rFonts w:ascii="Times New Roman" w:hAnsi="Times New Roman"/>
                <w:szCs w:val="21"/>
              </w:rPr>
            </w:pPr>
            <w:r>
              <w:rPr>
                <w:rFonts w:ascii="Times New Roman" w:hAnsi="Times New Roman"/>
                <w:szCs w:val="21"/>
              </w:rPr>
              <w:t>CMCC(B)63501</w:t>
            </w:r>
          </w:p>
        </w:tc>
        <w:tc>
          <w:tcPr>
            <w:tcW w:w="1387" w:type="dxa"/>
            <w:vMerge w:val="continue"/>
            <w:noWrap w:val="0"/>
            <w:vAlign w:val="center"/>
          </w:tcPr>
          <w:p w14:paraId="66DD7564">
            <w:pPr>
              <w:spacing w:line="300" w:lineRule="auto"/>
              <w:jc w:val="center"/>
              <w:rPr>
                <w:rFonts w:ascii="Times New Roman" w:hAnsi="Times New Roman"/>
                <w:color w:val="000000"/>
                <w:szCs w:val="21"/>
              </w:rPr>
            </w:pPr>
          </w:p>
        </w:tc>
        <w:tc>
          <w:tcPr>
            <w:tcW w:w="1222" w:type="dxa"/>
            <w:vMerge w:val="continue"/>
            <w:tcBorders>
              <w:top w:val="single" w:color="auto" w:sz="4" w:space="0"/>
              <w:bottom w:val="single" w:color="auto" w:sz="4" w:space="0"/>
            </w:tcBorders>
            <w:noWrap w:val="0"/>
            <w:vAlign w:val="center"/>
          </w:tcPr>
          <w:p w14:paraId="36DDCD5D">
            <w:pPr>
              <w:spacing w:line="300" w:lineRule="auto"/>
              <w:jc w:val="center"/>
              <w:rPr>
                <w:rFonts w:ascii="Times New Roman" w:hAnsi="Times New Roman"/>
                <w:color w:val="000000"/>
                <w:szCs w:val="21"/>
              </w:rPr>
            </w:pPr>
          </w:p>
        </w:tc>
        <w:tc>
          <w:tcPr>
            <w:tcW w:w="2169" w:type="dxa"/>
            <w:noWrap w:val="0"/>
            <w:vAlign w:val="center"/>
          </w:tcPr>
          <w:p w14:paraId="62272A7A">
            <w:pPr>
              <w:spacing w:line="300" w:lineRule="auto"/>
              <w:jc w:val="center"/>
              <w:rPr>
                <w:rFonts w:ascii="Times New Roman" w:hAnsi="Times New Roman"/>
                <w:color w:val="000000"/>
                <w:szCs w:val="21"/>
              </w:rPr>
            </w:pPr>
            <w:r>
              <w:rPr>
                <w:rFonts w:ascii="Times New Roman" w:hAnsi="Times New Roman"/>
                <w:szCs w:val="21"/>
              </w:rPr>
              <w:t>在TSA上≥100 CFU</w:t>
            </w:r>
          </w:p>
        </w:tc>
      </w:tr>
    </w:tbl>
    <w:p w14:paraId="6457B086">
      <w:pPr>
        <w:pStyle w:val="3"/>
        <w:spacing w:before="159" w:beforeLines="50" w:after="159" w:afterLines="50" w:line="300" w:lineRule="auto"/>
        <w:ind w:left="0" w:leftChars="0" w:firstLine="0" w:firstLineChars="0"/>
        <w:jc w:val="center"/>
      </w:pPr>
      <w:r>
        <w:rPr>
          <w:rFonts w:eastAsia="黑体"/>
          <w:kern w:val="0"/>
          <w:szCs w:val="21"/>
        </w:rPr>
        <w:t>表D</w:t>
      </w:r>
      <w:r>
        <w:rPr>
          <w:rFonts w:hint="eastAsia" w:eastAsia="黑体"/>
          <w:b/>
          <w:bCs/>
          <w:kern w:val="0"/>
          <w:szCs w:val="21"/>
        </w:rPr>
        <w:t>.</w:t>
      </w:r>
      <w:r>
        <w:rPr>
          <w:rFonts w:eastAsia="黑体"/>
          <w:kern w:val="0"/>
          <w:szCs w:val="21"/>
        </w:rPr>
        <w:t>4 化妆品微生物鉴定用培养基的质量控制要求</w:t>
      </w:r>
    </w:p>
    <w:tbl>
      <w:tblPr>
        <w:tblStyle w:val="4"/>
        <w:tblW w:w="8465"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23"/>
        <w:gridCol w:w="2426"/>
        <w:gridCol w:w="2194"/>
        <w:gridCol w:w="2122"/>
      </w:tblGrid>
      <w:tr w14:paraId="723555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blHeader/>
          <w:jc w:val="center"/>
        </w:trPr>
        <w:tc>
          <w:tcPr>
            <w:tcW w:w="1723" w:type="dxa"/>
            <w:tcBorders>
              <w:top w:val="single" w:color="auto" w:sz="4" w:space="0"/>
              <w:bottom w:val="single" w:color="auto" w:sz="4" w:space="0"/>
            </w:tcBorders>
            <w:noWrap w:val="0"/>
            <w:vAlign w:val="center"/>
          </w:tcPr>
          <w:p w14:paraId="4DA50089">
            <w:pPr>
              <w:spacing w:line="300" w:lineRule="auto"/>
              <w:jc w:val="center"/>
              <w:rPr>
                <w:rFonts w:ascii="Times New Roman" w:hAnsi="Times New Roman"/>
                <w:szCs w:val="21"/>
              </w:rPr>
            </w:pPr>
            <w:r>
              <w:rPr>
                <w:rFonts w:ascii="Times New Roman" w:hAnsi="Times New Roman"/>
                <w:szCs w:val="21"/>
              </w:rPr>
              <w:t>培养基名称</w:t>
            </w:r>
          </w:p>
        </w:tc>
        <w:tc>
          <w:tcPr>
            <w:tcW w:w="2426" w:type="dxa"/>
            <w:tcBorders>
              <w:top w:val="single" w:color="auto" w:sz="4" w:space="0"/>
              <w:bottom w:val="single" w:color="auto" w:sz="4" w:space="0"/>
            </w:tcBorders>
            <w:noWrap w:val="0"/>
            <w:vAlign w:val="center"/>
          </w:tcPr>
          <w:p w14:paraId="4F3C1526">
            <w:pPr>
              <w:spacing w:line="300" w:lineRule="auto"/>
              <w:jc w:val="center"/>
              <w:rPr>
                <w:rFonts w:ascii="Times New Roman" w:hAnsi="Times New Roman"/>
                <w:szCs w:val="21"/>
              </w:rPr>
            </w:pPr>
            <w:r>
              <w:rPr>
                <w:rFonts w:ascii="Times New Roman" w:hAnsi="Times New Roman"/>
                <w:color w:val="000000"/>
                <w:szCs w:val="21"/>
              </w:rPr>
              <w:t>菌株名称</w:t>
            </w:r>
          </w:p>
        </w:tc>
        <w:tc>
          <w:tcPr>
            <w:tcW w:w="2194" w:type="dxa"/>
            <w:tcBorders>
              <w:top w:val="single" w:color="auto" w:sz="4" w:space="0"/>
              <w:bottom w:val="single" w:color="auto" w:sz="4" w:space="0"/>
            </w:tcBorders>
            <w:noWrap w:val="0"/>
            <w:vAlign w:val="center"/>
          </w:tcPr>
          <w:p w14:paraId="794E9756">
            <w:pPr>
              <w:spacing w:line="300" w:lineRule="auto"/>
              <w:jc w:val="center"/>
              <w:rPr>
                <w:rFonts w:ascii="Times New Roman" w:hAnsi="Times New Roman"/>
                <w:szCs w:val="21"/>
              </w:rPr>
            </w:pPr>
            <w:r>
              <w:rPr>
                <w:rFonts w:ascii="Times New Roman" w:hAnsi="Times New Roman"/>
                <w:szCs w:val="21"/>
              </w:rPr>
              <w:t>培养条件</w:t>
            </w:r>
          </w:p>
        </w:tc>
        <w:tc>
          <w:tcPr>
            <w:tcW w:w="2122" w:type="dxa"/>
            <w:tcBorders>
              <w:top w:val="single" w:color="auto" w:sz="4" w:space="0"/>
              <w:bottom w:val="single" w:color="auto" w:sz="4" w:space="0"/>
            </w:tcBorders>
            <w:noWrap w:val="0"/>
            <w:vAlign w:val="center"/>
          </w:tcPr>
          <w:p w14:paraId="43F15E27">
            <w:pPr>
              <w:spacing w:line="300" w:lineRule="auto"/>
              <w:jc w:val="center"/>
              <w:rPr>
                <w:rFonts w:ascii="Times New Roman" w:hAnsi="Times New Roman"/>
                <w:szCs w:val="21"/>
              </w:rPr>
            </w:pPr>
            <w:r>
              <w:rPr>
                <w:rFonts w:ascii="Times New Roman" w:hAnsi="Times New Roman"/>
                <w:szCs w:val="21"/>
              </w:rPr>
              <w:t>结果评价</w:t>
            </w:r>
          </w:p>
        </w:tc>
      </w:tr>
      <w:tr w14:paraId="421B20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restart"/>
            <w:tcBorders>
              <w:top w:val="single" w:color="auto" w:sz="4" w:space="0"/>
              <w:bottom w:val="single" w:color="auto" w:sz="4" w:space="0"/>
            </w:tcBorders>
            <w:noWrap w:val="0"/>
            <w:vAlign w:val="center"/>
          </w:tcPr>
          <w:p w14:paraId="0138B00A">
            <w:pPr>
              <w:spacing w:line="300" w:lineRule="auto"/>
              <w:jc w:val="center"/>
              <w:rPr>
                <w:rFonts w:ascii="Times New Roman" w:hAnsi="Times New Roman"/>
                <w:szCs w:val="21"/>
              </w:rPr>
            </w:pPr>
            <w:r>
              <w:rPr>
                <w:rFonts w:ascii="Times New Roman" w:hAnsi="Times New Roman"/>
                <w:szCs w:val="21"/>
              </w:rPr>
              <w:t>甘露醇发酵培养基</w:t>
            </w:r>
          </w:p>
        </w:tc>
        <w:tc>
          <w:tcPr>
            <w:tcW w:w="2426" w:type="dxa"/>
            <w:tcBorders>
              <w:top w:val="single" w:color="auto" w:sz="4" w:space="0"/>
              <w:bottom w:val="single" w:color="auto" w:sz="4" w:space="0"/>
            </w:tcBorders>
            <w:noWrap w:val="0"/>
            <w:vAlign w:val="center"/>
          </w:tcPr>
          <w:p w14:paraId="52312A87">
            <w:pPr>
              <w:spacing w:line="300" w:lineRule="auto"/>
              <w:jc w:val="center"/>
              <w:rPr>
                <w:rFonts w:ascii="Times New Roman" w:hAnsi="Times New Roman"/>
                <w:szCs w:val="21"/>
              </w:rPr>
            </w:pPr>
            <w:r>
              <w:rPr>
                <w:rFonts w:ascii="Times New Roman" w:hAnsi="Times New Roman"/>
                <w:szCs w:val="21"/>
              </w:rPr>
              <w:t>金黄色葡萄球菌</w:t>
            </w:r>
          </w:p>
          <w:p w14:paraId="6658FFED">
            <w:pPr>
              <w:spacing w:line="300" w:lineRule="auto"/>
              <w:jc w:val="center"/>
              <w:rPr>
                <w:rFonts w:ascii="Times New Roman" w:hAnsi="Times New Roman"/>
                <w:szCs w:val="21"/>
              </w:rPr>
            </w:pPr>
            <w:r>
              <w:rPr>
                <w:rFonts w:ascii="Times New Roman" w:hAnsi="Times New Roman"/>
                <w:szCs w:val="21"/>
              </w:rPr>
              <w:t>CMCC(B)26003</w:t>
            </w:r>
          </w:p>
        </w:tc>
        <w:tc>
          <w:tcPr>
            <w:tcW w:w="2194" w:type="dxa"/>
            <w:vMerge w:val="restart"/>
            <w:tcBorders>
              <w:top w:val="single" w:color="auto" w:sz="4" w:space="0"/>
              <w:bottom w:val="single" w:color="auto" w:sz="4" w:space="0"/>
            </w:tcBorders>
            <w:noWrap w:val="0"/>
            <w:vAlign w:val="center"/>
          </w:tcPr>
          <w:p w14:paraId="4C3F68F1">
            <w:pPr>
              <w:spacing w:line="300" w:lineRule="auto"/>
              <w:jc w:val="center"/>
              <w:rPr>
                <w:rFonts w:ascii="Times New Roman" w:hAnsi="Times New Roman"/>
                <w:szCs w:val="21"/>
              </w:rPr>
            </w:pPr>
            <w:r>
              <w:rPr>
                <w:rFonts w:ascii="Times New Roman" w:hAnsi="Times New Roman"/>
                <w:szCs w:val="21"/>
              </w:rPr>
              <w:t>36±1 ℃，24 ±2 h</w:t>
            </w:r>
          </w:p>
        </w:tc>
        <w:tc>
          <w:tcPr>
            <w:tcW w:w="2122" w:type="dxa"/>
            <w:tcBorders>
              <w:top w:val="single" w:color="auto" w:sz="4" w:space="0"/>
              <w:bottom w:val="single" w:color="auto" w:sz="4" w:space="0"/>
            </w:tcBorders>
            <w:noWrap w:val="0"/>
            <w:vAlign w:val="center"/>
          </w:tcPr>
          <w:p w14:paraId="6FF2CB48">
            <w:pPr>
              <w:spacing w:line="300" w:lineRule="auto"/>
              <w:jc w:val="center"/>
              <w:rPr>
                <w:rFonts w:ascii="Times New Roman" w:hAnsi="Times New Roman"/>
                <w:szCs w:val="21"/>
              </w:rPr>
            </w:pPr>
            <w:r>
              <w:rPr>
                <w:rFonts w:ascii="Times New Roman" w:hAnsi="Times New Roman"/>
                <w:szCs w:val="21"/>
              </w:rPr>
              <w:t>阳性，培养基变黄色</w:t>
            </w:r>
          </w:p>
        </w:tc>
      </w:tr>
      <w:tr w14:paraId="01DCC4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continue"/>
            <w:tcBorders>
              <w:top w:val="single" w:color="auto" w:sz="4" w:space="0"/>
              <w:bottom w:val="single" w:color="auto" w:sz="4" w:space="0"/>
            </w:tcBorders>
            <w:noWrap w:val="0"/>
            <w:vAlign w:val="center"/>
          </w:tcPr>
          <w:p w14:paraId="23302B16">
            <w:pPr>
              <w:spacing w:line="300" w:lineRule="auto"/>
              <w:jc w:val="center"/>
              <w:rPr>
                <w:rFonts w:ascii="Times New Roman" w:hAnsi="Times New Roman"/>
                <w:szCs w:val="21"/>
              </w:rPr>
            </w:pPr>
          </w:p>
        </w:tc>
        <w:tc>
          <w:tcPr>
            <w:tcW w:w="2426" w:type="dxa"/>
            <w:tcBorders>
              <w:top w:val="single" w:color="auto" w:sz="4" w:space="0"/>
              <w:bottom w:val="single" w:color="auto" w:sz="4" w:space="0"/>
            </w:tcBorders>
            <w:noWrap w:val="0"/>
            <w:vAlign w:val="center"/>
          </w:tcPr>
          <w:p w14:paraId="69D83BE6">
            <w:pPr>
              <w:spacing w:line="300" w:lineRule="auto"/>
              <w:jc w:val="center"/>
              <w:rPr>
                <w:rFonts w:ascii="Times New Roman" w:hAnsi="Times New Roman"/>
                <w:szCs w:val="21"/>
              </w:rPr>
            </w:pPr>
            <w:r>
              <w:rPr>
                <w:rFonts w:ascii="Times New Roman" w:hAnsi="Times New Roman"/>
                <w:szCs w:val="21"/>
              </w:rPr>
              <w:t>枯草芽孢杆菌</w:t>
            </w:r>
          </w:p>
          <w:p w14:paraId="24820210">
            <w:pPr>
              <w:spacing w:line="300" w:lineRule="auto"/>
              <w:jc w:val="center"/>
              <w:rPr>
                <w:rFonts w:ascii="Times New Roman" w:hAnsi="Times New Roman"/>
                <w:szCs w:val="21"/>
              </w:rPr>
            </w:pPr>
            <w:r>
              <w:rPr>
                <w:rFonts w:ascii="Times New Roman" w:hAnsi="Times New Roman"/>
                <w:szCs w:val="21"/>
              </w:rPr>
              <w:t>CMCC(B)63501</w:t>
            </w:r>
          </w:p>
        </w:tc>
        <w:tc>
          <w:tcPr>
            <w:tcW w:w="2194" w:type="dxa"/>
            <w:vMerge w:val="continue"/>
            <w:tcBorders>
              <w:top w:val="single" w:color="auto" w:sz="4" w:space="0"/>
              <w:bottom w:val="single" w:color="auto" w:sz="4" w:space="0"/>
            </w:tcBorders>
            <w:noWrap w:val="0"/>
            <w:vAlign w:val="center"/>
          </w:tcPr>
          <w:p w14:paraId="3393B515">
            <w:pPr>
              <w:spacing w:line="300" w:lineRule="auto"/>
              <w:jc w:val="center"/>
              <w:rPr>
                <w:rFonts w:ascii="Times New Roman" w:hAnsi="Times New Roman"/>
                <w:szCs w:val="21"/>
              </w:rPr>
            </w:pPr>
          </w:p>
        </w:tc>
        <w:tc>
          <w:tcPr>
            <w:tcW w:w="2122" w:type="dxa"/>
            <w:tcBorders>
              <w:top w:val="single" w:color="auto" w:sz="4" w:space="0"/>
              <w:bottom w:val="single" w:color="auto" w:sz="4" w:space="0"/>
            </w:tcBorders>
            <w:noWrap w:val="0"/>
            <w:vAlign w:val="center"/>
          </w:tcPr>
          <w:p w14:paraId="32246444">
            <w:pPr>
              <w:spacing w:line="300" w:lineRule="auto"/>
              <w:jc w:val="center"/>
              <w:rPr>
                <w:rFonts w:ascii="Times New Roman" w:hAnsi="Times New Roman"/>
                <w:szCs w:val="21"/>
              </w:rPr>
            </w:pPr>
            <w:r>
              <w:rPr>
                <w:rFonts w:ascii="Times New Roman" w:hAnsi="Times New Roman"/>
                <w:szCs w:val="21"/>
              </w:rPr>
              <w:t>阴性，培养基颜色不变</w:t>
            </w:r>
          </w:p>
        </w:tc>
      </w:tr>
      <w:tr w14:paraId="27EE43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restart"/>
            <w:tcBorders>
              <w:top w:val="single" w:color="auto" w:sz="4" w:space="0"/>
            </w:tcBorders>
            <w:noWrap w:val="0"/>
            <w:vAlign w:val="center"/>
          </w:tcPr>
          <w:p w14:paraId="31B7E7BE">
            <w:pPr>
              <w:spacing w:line="300" w:lineRule="auto"/>
              <w:jc w:val="center"/>
              <w:rPr>
                <w:rFonts w:ascii="Times New Roman" w:hAnsi="Times New Roman"/>
                <w:szCs w:val="21"/>
              </w:rPr>
            </w:pPr>
            <w:r>
              <w:rPr>
                <w:rFonts w:hint="eastAsia" w:ascii="Times New Roman" w:hAnsi="Times New Roman"/>
                <w:szCs w:val="21"/>
              </w:rPr>
              <w:t>兔（人）血浆</w:t>
            </w:r>
          </w:p>
        </w:tc>
        <w:tc>
          <w:tcPr>
            <w:tcW w:w="2426" w:type="dxa"/>
            <w:tcBorders>
              <w:top w:val="single" w:color="auto" w:sz="4" w:space="0"/>
              <w:bottom w:val="nil"/>
            </w:tcBorders>
            <w:noWrap w:val="0"/>
            <w:vAlign w:val="center"/>
          </w:tcPr>
          <w:p w14:paraId="3596DBB9">
            <w:pPr>
              <w:spacing w:line="300" w:lineRule="auto"/>
              <w:jc w:val="center"/>
              <w:rPr>
                <w:rFonts w:ascii="Times New Roman" w:hAnsi="Times New Roman"/>
                <w:szCs w:val="21"/>
              </w:rPr>
            </w:pPr>
            <w:r>
              <w:rPr>
                <w:rFonts w:ascii="Times New Roman" w:hAnsi="Times New Roman"/>
                <w:szCs w:val="21"/>
              </w:rPr>
              <w:t>金黄色葡萄球菌</w:t>
            </w:r>
          </w:p>
          <w:p w14:paraId="1FED0BD0">
            <w:pPr>
              <w:spacing w:line="300" w:lineRule="auto"/>
              <w:jc w:val="center"/>
              <w:rPr>
                <w:rFonts w:ascii="Times New Roman" w:hAnsi="Times New Roman"/>
                <w:szCs w:val="21"/>
              </w:rPr>
            </w:pPr>
            <w:r>
              <w:rPr>
                <w:rFonts w:ascii="Times New Roman" w:hAnsi="Times New Roman"/>
                <w:szCs w:val="21"/>
              </w:rPr>
              <w:t>CMCC(B)26003</w:t>
            </w:r>
          </w:p>
        </w:tc>
        <w:tc>
          <w:tcPr>
            <w:tcW w:w="2194" w:type="dxa"/>
            <w:vMerge w:val="restart"/>
            <w:tcBorders>
              <w:top w:val="single" w:color="auto" w:sz="4" w:space="0"/>
            </w:tcBorders>
            <w:noWrap w:val="0"/>
            <w:vAlign w:val="center"/>
          </w:tcPr>
          <w:p w14:paraId="302C4B7E">
            <w:pPr>
              <w:spacing w:line="300" w:lineRule="auto"/>
              <w:jc w:val="center"/>
              <w:rPr>
                <w:rFonts w:ascii="Times New Roman" w:hAnsi="Times New Roman"/>
                <w:szCs w:val="21"/>
              </w:rPr>
            </w:pPr>
            <w:r>
              <w:rPr>
                <w:rFonts w:ascii="Times New Roman" w:hAnsi="Times New Roman"/>
                <w:szCs w:val="21"/>
              </w:rPr>
              <w:t>36±1 ℃，4~6 h</w:t>
            </w:r>
          </w:p>
        </w:tc>
        <w:tc>
          <w:tcPr>
            <w:tcW w:w="2122" w:type="dxa"/>
            <w:tcBorders>
              <w:top w:val="single" w:color="auto" w:sz="4" w:space="0"/>
              <w:bottom w:val="nil"/>
            </w:tcBorders>
            <w:noWrap w:val="0"/>
            <w:vAlign w:val="center"/>
          </w:tcPr>
          <w:p w14:paraId="06F6BA26">
            <w:pPr>
              <w:spacing w:line="300" w:lineRule="auto"/>
              <w:jc w:val="center"/>
              <w:rPr>
                <w:rFonts w:ascii="Times New Roman" w:hAnsi="Times New Roman"/>
                <w:szCs w:val="21"/>
              </w:rPr>
            </w:pPr>
            <w:r>
              <w:rPr>
                <w:rFonts w:ascii="Times New Roman" w:hAnsi="Times New Roman"/>
                <w:szCs w:val="21"/>
              </w:rPr>
              <w:t>阳性，血浆凝固</w:t>
            </w:r>
          </w:p>
        </w:tc>
      </w:tr>
      <w:tr w14:paraId="3DC136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continue"/>
            <w:tcBorders>
              <w:bottom w:val="single" w:color="auto" w:sz="4" w:space="0"/>
            </w:tcBorders>
            <w:noWrap w:val="0"/>
            <w:vAlign w:val="center"/>
          </w:tcPr>
          <w:p w14:paraId="33A4B4E0">
            <w:pPr>
              <w:spacing w:line="300" w:lineRule="auto"/>
              <w:jc w:val="center"/>
              <w:rPr>
                <w:rFonts w:ascii="Times New Roman" w:hAnsi="Times New Roman"/>
                <w:szCs w:val="21"/>
              </w:rPr>
            </w:pPr>
          </w:p>
        </w:tc>
        <w:tc>
          <w:tcPr>
            <w:tcW w:w="2426" w:type="dxa"/>
            <w:tcBorders>
              <w:top w:val="nil"/>
              <w:bottom w:val="single" w:color="auto" w:sz="4" w:space="0"/>
            </w:tcBorders>
            <w:noWrap w:val="0"/>
            <w:vAlign w:val="center"/>
          </w:tcPr>
          <w:p w14:paraId="1255AFFF">
            <w:pPr>
              <w:spacing w:line="300" w:lineRule="auto"/>
              <w:jc w:val="center"/>
              <w:rPr>
                <w:rFonts w:ascii="Times New Roman" w:hAnsi="Times New Roman"/>
                <w:szCs w:val="21"/>
              </w:rPr>
            </w:pPr>
            <w:r>
              <w:rPr>
                <w:rFonts w:ascii="Times New Roman" w:hAnsi="Times New Roman"/>
                <w:szCs w:val="21"/>
              </w:rPr>
              <w:t>表皮葡萄球菌</w:t>
            </w:r>
          </w:p>
          <w:p w14:paraId="7C9F3EDC">
            <w:pPr>
              <w:spacing w:line="300" w:lineRule="auto"/>
              <w:jc w:val="center"/>
              <w:rPr>
                <w:rFonts w:ascii="Times New Roman" w:hAnsi="Times New Roman"/>
                <w:szCs w:val="21"/>
              </w:rPr>
            </w:pPr>
            <w:r>
              <w:rPr>
                <w:rFonts w:ascii="Times New Roman" w:hAnsi="Times New Roman"/>
                <w:szCs w:val="21"/>
              </w:rPr>
              <w:t>CMCC(B)26069</w:t>
            </w:r>
          </w:p>
        </w:tc>
        <w:tc>
          <w:tcPr>
            <w:tcW w:w="2194" w:type="dxa"/>
            <w:vMerge w:val="continue"/>
            <w:tcBorders>
              <w:bottom w:val="single" w:color="auto" w:sz="4" w:space="0"/>
            </w:tcBorders>
            <w:noWrap w:val="0"/>
            <w:vAlign w:val="center"/>
          </w:tcPr>
          <w:p w14:paraId="1B87E4B3">
            <w:pPr>
              <w:spacing w:line="300" w:lineRule="auto"/>
              <w:jc w:val="center"/>
              <w:rPr>
                <w:rFonts w:ascii="Times New Roman" w:hAnsi="Times New Roman"/>
                <w:szCs w:val="21"/>
              </w:rPr>
            </w:pPr>
          </w:p>
        </w:tc>
        <w:tc>
          <w:tcPr>
            <w:tcW w:w="2122" w:type="dxa"/>
            <w:tcBorders>
              <w:top w:val="nil"/>
              <w:bottom w:val="single" w:color="auto" w:sz="4" w:space="0"/>
            </w:tcBorders>
            <w:noWrap w:val="0"/>
            <w:vAlign w:val="center"/>
          </w:tcPr>
          <w:p w14:paraId="4F0CDC24">
            <w:pPr>
              <w:spacing w:line="300" w:lineRule="auto"/>
              <w:jc w:val="center"/>
              <w:rPr>
                <w:rFonts w:ascii="Times New Roman" w:hAnsi="Times New Roman"/>
                <w:szCs w:val="21"/>
              </w:rPr>
            </w:pPr>
            <w:r>
              <w:rPr>
                <w:rFonts w:ascii="Times New Roman" w:hAnsi="Times New Roman"/>
                <w:szCs w:val="21"/>
              </w:rPr>
              <w:t>阴性，血浆不凝固</w:t>
            </w:r>
          </w:p>
        </w:tc>
      </w:tr>
      <w:tr w14:paraId="0EEDB5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restart"/>
            <w:tcBorders>
              <w:top w:val="single" w:color="auto" w:sz="4" w:space="0"/>
              <w:bottom w:val="nil"/>
            </w:tcBorders>
            <w:noWrap w:val="0"/>
            <w:vAlign w:val="center"/>
          </w:tcPr>
          <w:p w14:paraId="4CA306F3">
            <w:pPr>
              <w:spacing w:line="300" w:lineRule="auto"/>
              <w:jc w:val="center"/>
              <w:rPr>
                <w:rFonts w:ascii="Times New Roman" w:hAnsi="Times New Roman"/>
                <w:szCs w:val="21"/>
              </w:rPr>
            </w:pPr>
            <w:r>
              <w:rPr>
                <w:rFonts w:ascii="Times New Roman" w:hAnsi="Times New Roman"/>
                <w:szCs w:val="21"/>
              </w:rPr>
              <w:t>蛋白胨水</w:t>
            </w:r>
            <w:r>
              <w:rPr>
                <w:rFonts w:hint="eastAsia" w:ascii="Times New Roman" w:hAnsi="Times New Roman"/>
                <w:szCs w:val="21"/>
              </w:rPr>
              <w:t>培养基</w:t>
            </w:r>
          </w:p>
        </w:tc>
        <w:tc>
          <w:tcPr>
            <w:tcW w:w="2426" w:type="dxa"/>
            <w:tcBorders>
              <w:top w:val="single" w:color="auto" w:sz="4" w:space="0"/>
              <w:bottom w:val="nil"/>
            </w:tcBorders>
            <w:noWrap w:val="0"/>
            <w:vAlign w:val="center"/>
          </w:tcPr>
          <w:p w14:paraId="6289E959">
            <w:pPr>
              <w:spacing w:line="300" w:lineRule="auto"/>
              <w:jc w:val="center"/>
              <w:rPr>
                <w:rFonts w:ascii="Times New Roman" w:hAnsi="Times New Roman"/>
                <w:szCs w:val="21"/>
              </w:rPr>
            </w:pPr>
            <w:r>
              <w:rPr>
                <w:rFonts w:ascii="Times New Roman" w:hAnsi="Times New Roman"/>
                <w:szCs w:val="21"/>
              </w:rPr>
              <w:t>大肠埃希氏菌</w:t>
            </w:r>
          </w:p>
          <w:p w14:paraId="707F44E8">
            <w:pPr>
              <w:spacing w:line="300" w:lineRule="auto"/>
              <w:jc w:val="center"/>
              <w:rPr>
                <w:rFonts w:ascii="Times New Roman" w:hAnsi="Times New Roman"/>
                <w:szCs w:val="21"/>
              </w:rPr>
            </w:pPr>
            <w:r>
              <w:rPr>
                <w:rFonts w:ascii="Times New Roman" w:hAnsi="Times New Roman"/>
                <w:szCs w:val="21"/>
              </w:rPr>
              <w:t>CMCC(B)44102</w:t>
            </w:r>
          </w:p>
        </w:tc>
        <w:tc>
          <w:tcPr>
            <w:tcW w:w="2194" w:type="dxa"/>
            <w:vMerge w:val="restart"/>
            <w:tcBorders>
              <w:top w:val="single" w:color="auto" w:sz="4" w:space="0"/>
              <w:bottom w:val="nil"/>
            </w:tcBorders>
            <w:noWrap w:val="0"/>
            <w:vAlign w:val="center"/>
          </w:tcPr>
          <w:p w14:paraId="7D0A0CA3">
            <w:pPr>
              <w:spacing w:line="300" w:lineRule="auto"/>
              <w:jc w:val="center"/>
              <w:rPr>
                <w:rFonts w:ascii="Times New Roman" w:hAnsi="Times New Roman"/>
                <w:szCs w:val="21"/>
              </w:rPr>
            </w:pPr>
            <w:r>
              <w:rPr>
                <w:rFonts w:ascii="Times New Roman" w:hAnsi="Times New Roman"/>
                <w:szCs w:val="21"/>
              </w:rPr>
              <w:t>36±1 ℃，24±2 h</w:t>
            </w:r>
          </w:p>
        </w:tc>
        <w:tc>
          <w:tcPr>
            <w:tcW w:w="2122" w:type="dxa"/>
            <w:tcBorders>
              <w:top w:val="single" w:color="auto" w:sz="4" w:space="0"/>
              <w:bottom w:val="nil"/>
            </w:tcBorders>
            <w:noWrap w:val="0"/>
            <w:vAlign w:val="center"/>
          </w:tcPr>
          <w:p w14:paraId="2C4FBB49">
            <w:pPr>
              <w:spacing w:line="300" w:lineRule="auto"/>
              <w:jc w:val="center"/>
              <w:rPr>
                <w:rFonts w:ascii="Times New Roman" w:hAnsi="Times New Roman"/>
                <w:szCs w:val="21"/>
              </w:rPr>
            </w:pPr>
            <w:r>
              <w:rPr>
                <w:rFonts w:ascii="Times New Roman" w:hAnsi="Times New Roman"/>
                <w:szCs w:val="21"/>
              </w:rPr>
              <w:t>阳性，滴加靛基质试剂，显红色</w:t>
            </w:r>
          </w:p>
        </w:tc>
      </w:tr>
      <w:tr w14:paraId="39B8A5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continue"/>
            <w:tcBorders>
              <w:top w:val="nil"/>
              <w:bottom w:val="single" w:color="auto" w:sz="4" w:space="0"/>
            </w:tcBorders>
            <w:noWrap w:val="0"/>
            <w:vAlign w:val="center"/>
          </w:tcPr>
          <w:p w14:paraId="55CC622C">
            <w:pPr>
              <w:spacing w:line="300" w:lineRule="auto"/>
              <w:jc w:val="center"/>
              <w:rPr>
                <w:rFonts w:ascii="Times New Roman" w:hAnsi="Times New Roman"/>
                <w:szCs w:val="21"/>
              </w:rPr>
            </w:pPr>
          </w:p>
        </w:tc>
        <w:tc>
          <w:tcPr>
            <w:tcW w:w="2426" w:type="dxa"/>
            <w:tcBorders>
              <w:top w:val="nil"/>
              <w:bottom w:val="single" w:color="auto" w:sz="4" w:space="0"/>
            </w:tcBorders>
            <w:noWrap w:val="0"/>
            <w:vAlign w:val="center"/>
          </w:tcPr>
          <w:p w14:paraId="6DE9C587">
            <w:pPr>
              <w:spacing w:line="300" w:lineRule="auto"/>
              <w:jc w:val="center"/>
              <w:rPr>
                <w:rFonts w:ascii="Times New Roman" w:hAnsi="Times New Roman"/>
                <w:szCs w:val="21"/>
              </w:rPr>
            </w:pPr>
            <w:r>
              <w:rPr>
                <w:rFonts w:ascii="Times New Roman" w:hAnsi="Times New Roman"/>
                <w:szCs w:val="21"/>
              </w:rPr>
              <w:t>产气克雷伯氏菌CMCC(B)45108</w:t>
            </w:r>
          </w:p>
        </w:tc>
        <w:tc>
          <w:tcPr>
            <w:tcW w:w="2194" w:type="dxa"/>
            <w:vMerge w:val="continue"/>
            <w:tcBorders>
              <w:top w:val="nil"/>
              <w:bottom w:val="single" w:color="auto" w:sz="4" w:space="0"/>
            </w:tcBorders>
            <w:noWrap w:val="0"/>
            <w:vAlign w:val="center"/>
          </w:tcPr>
          <w:p w14:paraId="5C678CD0">
            <w:pPr>
              <w:spacing w:line="300" w:lineRule="auto"/>
              <w:jc w:val="center"/>
              <w:rPr>
                <w:rFonts w:ascii="Times New Roman" w:hAnsi="Times New Roman"/>
                <w:szCs w:val="21"/>
              </w:rPr>
            </w:pPr>
          </w:p>
        </w:tc>
        <w:tc>
          <w:tcPr>
            <w:tcW w:w="2122" w:type="dxa"/>
            <w:tcBorders>
              <w:top w:val="nil"/>
              <w:bottom w:val="single" w:color="auto" w:sz="4" w:space="0"/>
            </w:tcBorders>
            <w:noWrap w:val="0"/>
            <w:vAlign w:val="center"/>
          </w:tcPr>
          <w:p w14:paraId="4BE89FA6">
            <w:pPr>
              <w:spacing w:line="300" w:lineRule="auto"/>
              <w:jc w:val="center"/>
              <w:rPr>
                <w:rFonts w:ascii="Times New Roman" w:hAnsi="Times New Roman"/>
                <w:szCs w:val="21"/>
              </w:rPr>
            </w:pPr>
            <w:r>
              <w:rPr>
                <w:rFonts w:ascii="Times New Roman" w:hAnsi="Times New Roman"/>
                <w:szCs w:val="21"/>
              </w:rPr>
              <w:t>阴性，滴加靛基质试剂，黄色</w:t>
            </w:r>
          </w:p>
        </w:tc>
      </w:tr>
      <w:tr w14:paraId="25B566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restart"/>
            <w:tcBorders>
              <w:top w:val="single" w:color="auto" w:sz="4" w:space="0"/>
              <w:bottom w:val="nil"/>
            </w:tcBorders>
            <w:noWrap w:val="0"/>
            <w:vAlign w:val="center"/>
          </w:tcPr>
          <w:p w14:paraId="3A41C5F7">
            <w:pPr>
              <w:spacing w:line="300" w:lineRule="auto"/>
              <w:jc w:val="center"/>
              <w:rPr>
                <w:rFonts w:ascii="Times New Roman" w:hAnsi="Times New Roman"/>
                <w:szCs w:val="21"/>
              </w:rPr>
            </w:pPr>
            <w:r>
              <w:rPr>
                <w:rFonts w:ascii="Times New Roman" w:hAnsi="Times New Roman"/>
                <w:szCs w:val="21"/>
              </w:rPr>
              <w:t>绿脓菌素测定用培养基</w:t>
            </w:r>
          </w:p>
        </w:tc>
        <w:tc>
          <w:tcPr>
            <w:tcW w:w="2426" w:type="dxa"/>
            <w:tcBorders>
              <w:top w:val="single" w:color="auto" w:sz="4" w:space="0"/>
              <w:bottom w:val="nil"/>
            </w:tcBorders>
            <w:noWrap w:val="0"/>
            <w:vAlign w:val="center"/>
          </w:tcPr>
          <w:p w14:paraId="67CB4547">
            <w:pPr>
              <w:spacing w:line="300" w:lineRule="auto"/>
              <w:jc w:val="center"/>
              <w:rPr>
                <w:rFonts w:ascii="Times New Roman" w:hAnsi="Times New Roman"/>
                <w:szCs w:val="21"/>
              </w:rPr>
            </w:pPr>
            <w:r>
              <w:rPr>
                <w:rFonts w:ascii="Times New Roman" w:hAnsi="Times New Roman"/>
                <w:szCs w:val="21"/>
              </w:rPr>
              <w:t>铜绿假单胞菌</w:t>
            </w:r>
          </w:p>
          <w:p w14:paraId="37670F08">
            <w:pPr>
              <w:spacing w:line="300" w:lineRule="auto"/>
              <w:jc w:val="center"/>
              <w:rPr>
                <w:rFonts w:ascii="Times New Roman" w:hAnsi="Times New Roman"/>
                <w:szCs w:val="21"/>
              </w:rPr>
            </w:pPr>
            <w:r>
              <w:rPr>
                <w:rFonts w:ascii="Times New Roman" w:hAnsi="Times New Roman"/>
                <w:szCs w:val="21"/>
              </w:rPr>
              <w:t>CMCC(B)10104</w:t>
            </w:r>
          </w:p>
        </w:tc>
        <w:tc>
          <w:tcPr>
            <w:tcW w:w="2194" w:type="dxa"/>
            <w:vMerge w:val="restart"/>
            <w:tcBorders>
              <w:top w:val="single" w:color="auto" w:sz="4" w:space="0"/>
              <w:bottom w:val="nil"/>
            </w:tcBorders>
            <w:noWrap w:val="0"/>
            <w:vAlign w:val="center"/>
          </w:tcPr>
          <w:p w14:paraId="0874C5E5">
            <w:pPr>
              <w:spacing w:line="300" w:lineRule="auto"/>
              <w:jc w:val="center"/>
              <w:rPr>
                <w:rFonts w:ascii="Times New Roman" w:hAnsi="Times New Roman"/>
                <w:szCs w:val="21"/>
              </w:rPr>
            </w:pPr>
            <w:r>
              <w:rPr>
                <w:rFonts w:ascii="Times New Roman" w:hAnsi="Times New Roman"/>
                <w:szCs w:val="21"/>
              </w:rPr>
              <w:t>36±1 ℃，24±2 h</w:t>
            </w:r>
          </w:p>
        </w:tc>
        <w:tc>
          <w:tcPr>
            <w:tcW w:w="2122" w:type="dxa"/>
            <w:tcBorders>
              <w:top w:val="single" w:color="auto" w:sz="4" w:space="0"/>
              <w:bottom w:val="nil"/>
            </w:tcBorders>
            <w:noWrap w:val="0"/>
            <w:vAlign w:val="center"/>
          </w:tcPr>
          <w:p w14:paraId="5E016746">
            <w:pPr>
              <w:spacing w:line="300" w:lineRule="auto"/>
              <w:jc w:val="center"/>
              <w:rPr>
                <w:rFonts w:ascii="Times New Roman" w:hAnsi="Times New Roman"/>
                <w:szCs w:val="21"/>
              </w:rPr>
            </w:pPr>
            <w:r>
              <w:rPr>
                <w:rFonts w:ascii="Times New Roman" w:hAnsi="Times New Roman"/>
                <w:szCs w:val="21"/>
              </w:rPr>
              <w:t>阳性，上层盐酸液呈粉红色到紫红色</w:t>
            </w:r>
          </w:p>
        </w:tc>
      </w:tr>
      <w:tr w14:paraId="540056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continue"/>
            <w:tcBorders>
              <w:top w:val="nil"/>
              <w:bottom w:val="single" w:color="auto" w:sz="4" w:space="0"/>
            </w:tcBorders>
            <w:noWrap w:val="0"/>
            <w:vAlign w:val="center"/>
          </w:tcPr>
          <w:p w14:paraId="0770BA43">
            <w:pPr>
              <w:spacing w:line="300" w:lineRule="auto"/>
              <w:jc w:val="center"/>
              <w:rPr>
                <w:rFonts w:ascii="Times New Roman" w:hAnsi="Times New Roman"/>
                <w:szCs w:val="21"/>
              </w:rPr>
            </w:pPr>
          </w:p>
        </w:tc>
        <w:tc>
          <w:tcPr>
            <w:tcW w:w="2426" w:type="dxa"/>
            <w:tcBorders>
              <w:top w:val="nil"/>
              <w:bottom w:val="single" w:color="auto" w:sz="4" w:space="0"/>
            </w:tcBorders>
            <w:noWrap w:val="0"/>
            <w:vAlign w:val="center"/>
          </w:tcPr>
          <w:p w14:paraId="49D5558B">
            <w:pPr>
              <w:spacing w:line="300" w:lineRule="auto"/>
              <w:jc w:val="center"/>
              <w:rPr>
                <w:rFonts w:ascii="Times New Roman" w:hAnsi="Times New Roman"/>
                <w:szCs w:val="21"/>
              </w:rPr>
            </w:pPr>
            <w:r>
              <w:rPr>
                <w:rFonts w:ascii="Times New Roman" w:hAnsi="Times New Roman"/>
                <w:szCs w:val="21"/>
              </w:rPr>
              <w:t>大肠埃希氏菌</w:t>
            </w:r>
          </w:p>
          <w:p w14:paraId="17170AB8">
            <w:pPr>
              <w:spacing w:line="300" w:lineRule="auto"/>
              <w:jc w:val="center"/>
              <w:rPr>
                <w:rFonts w:ascii="Times New Roman" w:hAnsi="Times New Roman"/>
                <w:szCs w:val="21"/>
              </w:rPr>
            </w:pPr>
            <w:r>
              <w:rPr>
                <w:rFonts w:ascii="Times New Roman" w:hAnsi="Times New Roman"/>
                <w:szCs w:val="21"/>
              </w:rPr>
              <w:t>CMCC(B)44102</w:t>
            </w:r>
          </w:p>
        </w:tc>
        <w:tc>
          <w:tcPr>
            <w:tcW w:w="2194" w:type="dxa"/>
            <w:vMerge w:val="continue"/>
            <w:tcBorders>
              <w:top w:val="nil"/>
              <w:bottom w:val="single" w:color="auto" w:sz="4" w:space="0"/>
            </w:tcBorders>
            <w:noWrap w:val="0"/>
            <w:vAlign w:val="center"/>
          </w:tcPr>
          <w:p w14:paraId="3177DEE5">
            <w:pPr>
              <w:spacing w:line="300" w:lineRule="auto"/>
              <w:jc w:val="center"/>
              <w:rPr>
                <w:rFonts w:ascii="Times New Roman" w:hAnsi="Times New Roman"/>
                <w:szCs w:val="21"/>
              </w:rPr>
            </w:pPr>
          </w:p>
        </w:tc>
        <w:tc>
          <w:tcPr>
            <w:tcW w:w="2122" w:type="dxa"/>
            <w:tcBorders>
              <w:top w:val="nil"/>
              <w:bottom w:val="single" w:color="auto" w:sz="4" w:space="0"/>
            </w:tcBorders>
            <w:noWrap w:val="0"/>
            <w:vAlign w:val="center"/>
          </w:tcPr>
          <w:p w14:paraId="3AAB7ECB">
            <w:pPr>
              <w:spacing w:line="300" w:lineRule="auto"/>
              <w:jc w:val="center"/>
              <w:rPr>
                <w:rFonts w:ascii="Times New Roman" w:hAnsi="Times New Roman"/>
                <w:szCs w:val="21"/>
              </w:rPr>
            </w:pPr>
            <w:r>
              <w:rPr>
                <w:rFonts w:ascii="Times New Roman" w:hAnsi="Times New Roman"/>
                <w:szCs w:val="21"/>
              </w:rPr>
              <w:t>阴性，盐酸液不变色</w:t>
            </w:r>
          </w:p>
        </w:tc>
      </w:tr>
      <w:tr w14:paraId="0C0CE5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restart"/>
            <w:tcBorders>
              <w:top w:val="single" w:color="auto" w:sz="4" w:space="0"/>
              <w:bottom w:val="nil"/>
            </w:tcBorders>
            <w:noWrap w:val="0"/>
            <w:vAlign w:val="center"/>
          </w:tcPr>
          <w:p w14:paraId="27471E6B">
            <w:pPr>
              <w:spacing w:line="300" w:lineRule="auto"/>
              <w:jc w:val="center"/>
              <w:rPr>
                <w:rFonts w:ascii="Times New Roman" w:hAnsi="Times New Roman"/>
                <w:szCs w:val="21"/>
              </w:rPr>
            </w:pPr>
            <w:r>
              <w:rPr>
                <w:rFonts w:ascii="Times New Roman" w:hAnsi="Times New Roman"/>
                <w:szCs w:val="21"/>
              </w:rPr>
              <w:t>硝酸盐蛋白胨水</w:t>
            </w:r>
          </w:p>
        </w:tc>
        <w:tc>
          <w:tcPr>
            <w:tcW w:w="2426" w:type="dxa"/>
            <w:tcBorders>
              <w:top w:val="single" w:color="auto" w:sz="4" w:space="0"/>
              <w:bottom w:val="nil"/>
            </w:tcBorders>
            <w:noWrap w:val="0"/>
            <w:vAlign w:val="center"/>
          </w:tcPr>
          <w:p w14:paraId="3B9C82F2">
            <w:pPr>
              <w:spacing w:line="300" w:lineRule="auto"/>
              <w:jc w:val="center"/>
              <w:rPr>
                <w:rFonts w:ascii="Times New Roman" w:hAnsi="Times New Roman"/>
                <w:szCs w:val="21"/>
              </w:rPr>
            </w:pPr>
            <w:r>
              <w:rPr>
                <w:rFonts w:ascii="Times New Roman" w:hAnsi="Times New Roman"/>
                <w:szCs w:val="21"/>
              </w:rPr>
              <w:t>铜绿假单胞菌</w:t>
            </w:r>
          </w:p>
          <w:p w14:paraId="55B835E6">
            <w:pPr>
              <w:spacing w:line="300" w:lineRule="auto"/>
              <w:jc w:val="center"/>
              <w:rPr>
                <w:rFonts w:ascii="Times New Roman" w:hAnsi="Times New Roman"/>
                <w:szCs w:val="21"/>
              </w:rPr>
            </w:pPr>
            <w:r>
              <w:rPr>
                <w:rFonts w:ascii="Times New Roman" w:hAnsi="Times New Roman"/>
                <w:szCs w:val="21"/>
              </w:rPr>
              <w:t>CMCC(B)10104</w:t>
            </w:r>
          </w:p>
        </w:tc>
        <w:tc>
          <w:tcPr>
            <w:tcW w:w="2194" w:type="dxa"/>
            <w:vMerge w:val="restart"/>
            <w:tcBorders>
              <w:top w:val="single" w:color="auto" w:sz="4" w:space="0"/>
              <w:bottom w:val="nil"/>
            </w:tcBorders>
            <w:noWrap w:val="0"/>
            <w:vAlign w:val="center"/>
          </w:tcPr>
          <w:p w14:paraId="1B034E7D">
            <w:pPr>
              <w:spacing w:line="300" w:lineRule="auto"/>
              <w:jc w:val="center"/>
              <w:rPr>
                <w:rFonts w:ascii="Times New Roman" w:hAnsi="Times New Roman"/>
                <w:szCs w:val="21"/>
              </w:rPr>
            </w:pPr>
            <w:r>
              <w:rPr>
                <w:rFonts w:ascii="Times New Roman" w:hAnsi="Times New Roman"/>
                <w:szCs w:val="21"/>
              </w:rPr>
              <w:t>36±1 ℃，24±2 h</w:t>
            </w:r>
          </w:p>
        </w:tc>
        <w:tc>
          <w:tcPr>
            <w:tcW w:w="2122" w:type="dxa"/>
            <w:tcBorders>
              <w:top w:val="single" w:color="auto" w:sz="4" w:space="0"/>
              <w:bottom w:val="nil"/>
            </w:tcBorders>
            <w:noWrap w:val="0"/>
            <w:vAlign w:val="center"/>
          </w:tcPr>
          <w:p w14:paraId="4536B89B">
            <w:pPr>
              <w:spacing w:line="300" w:lineRule="auto"/>
              <w:jc w:val="center"/>
              <w:rPr>
                <w:rFonts w:ascii="Times New Roman" w:hAnsi="Times New Roman"/>
                <w:szCs w:val="21"/>
              </w:rPr>
            </w:pPr>
            <w:r>
              <w:rPr>
                <w:rFonts w:ascii="Times New Roman" w:hAnsi="Times New Roman"/>
                <w:szCs w:val="21"/>
              </w:rPr>
              <w:t>生长良好，产气</w:t>
            </w:r>
          </w:p>
        </w:tc>
      </w:tr>
      <w:tr w14:paraId="47D170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continue"/>
            <w:tcBorders>
              <w:top w:val="nil"/>
              <w:bottom w:val="single" w:color="auto" w:sz="4" w:space="0"/>
            </w:tcBorders>
            <w:noWrap w:val="0"/>
            <w:vAlign w:val="center"/>
          </w:tcPr>
          <w:p w14:paraId="33309B0F">
            <w:pPr>
              <w:spacing w:line="300" w:lineRule="auto"/>
              <w:jc w:val="center"/>
              <w:rPr>
                <w:rFonts w:ascii="Times New Roman" w:hAnsi="Times New Roman"/>
                <w:szCs w:val="21"/>
              </w:rPr>
            </w:pPr>
          </w:p>
        </w:tc>
        <w:tc>
          <w:tcPr>
            <w:tcW w:w="2426" w:type="dxa"/>
            <w:tcBorders>
              <w:top w:val="nil"/>
              <w:bottom w:val="single" w:color="auto" w:sz="4" w:space="0"/>
            </w:tcBorders>
            <w:noWrap w:val="0"/>
            <w:vAlign w:val="center"/>
          </w:tcPr>
          <w:p w14:paraId="281C83DC">
            <w:pPr>
              <w:spacing w:line="300" w:lineRule="auto"/>
              <w:jc w:val="center"/>
              <w:rPr>
                <w:rFonts w:ascii="Times New Roman" w:hAnsi="Times New Roman"/>
                <w:szCs w:val="21"/>
              </w:rPr>
            </w:pPr>
            <w:r>
              <w:rPr>
                <w:rFonts w:ascii="Times New Roman" w:hAnsi="Times New Roman"/>
                <w:szCs w:val="21"/>
              </w:rPr>
              <w:t>大肠埃希氏菌</w:t>
            </w:r>
          </w:p>
          <w:p w14:paraId="1EA8DFC4">
            <w:pPr>
              <w:spacing w:line="300" w:lineRule="auto"/>
              <w:jc w:val="center"/>
              <w:rPr>
                <w:rFonts w:ascii="Times New Roman" w:hAnsi="Times New Roman"/>
                <w:szCs w:val="21"/>
              </w:rPr>
            </w:pPr>
            <w:r>
              <w:rPr>
                <w:rFonts w:ascii="Times New Roman" w:hAnsi="Times New Roman"/>
                <w:szCs w:val="21"/>
              </w:rPr>
              <w:t>CMCC(B)44102</w:t>
            </w:r>
          </w:p>
        </w:tc>
        <w:tc>
          <w:tcPr>
            <w:tcW w:w="2194" w:type="dxa"/>
            <w:vMerge w:val="continue"/>
            <w:tcBorders>
              <w:top w:val="nil"/>
              <w:bottom w:val="single" w:color="auto" w:sz="4" w:space="0"/>
            </w:tcBorders>
            <w:noWrap w:val="0"/>
            <w:vAlign w:val="center"/>
          </w:tcPr>
          <w:p w14:paraId="0B25E68D">
            <w:pPr>
              <w:spacing w:line="300" w:lineRule="auto"/>
              <w:jc w:val="center"/>
              <w:rPr>
                <w:rFonts w:ascii="Times New Roman" w:hAnsi="Times New Roman"/>
                <w:szCs w:val="21"/>
              </w:rPr>
            </w:pPr>
          </w:p>
        </w:tc>
        <w:tc>
          <w:tcPr>
            <w:tcW w:w="2122" w:type="dxa"/>
            <w:tcBorders>
              <w:top w:val="nil"/>
              <w:bottom w:val="single" w:color="auto" w:sz="4" w:space="0"/>
            </w:tcBorders>
            <w:noWrap w:val="0"/>
            <w:vAlign w:val="center"/>
          </w:tcPr>
          <w:p w14:paraId="20201534">
            <w:pPr>
              <w:spacing w:line="300" w:lineRule="auto"/>
              <w:jc w:val="center"/>
              <w:rPr>
                <w:rFonts w:ascii="Times New Roman" w:hAnsi="Times New Roman"/>
                <w:szCs w:val="21"/>
              </w:rPr>
            </w:pPr>
            <w:r>
              <w:rPr>
                <w:rFonts w:ascii="Times New Roman" w:hAnsi="Times New Roman"/>
                <w:szCs w:val="21"/>
              </w:rPr>
              <w:t>不产气</w:t>
            </w:r>
          </w:p>
        </w:tc>
      </w:tr>
      <w:tr w14:paraId="51AD52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restart"/>
            <w:tcBorders>
              <w:top w:val="single" w:color="auto" w:sz="4" w:space="0"/>
              <w:bottom w:val="nil"/>
            </w:tcBorders>
            <w:noWrap w:val="0"/>
            <w:vAlign w:val="center"/>
          </w:tcPr>
          <w:p w14:paraId="0D97061B">
            <w:pPr>
              <w:spacing w:line="300" w:lineRule="auto"/>
              <w:jc w:val="center"/>
              <w:rPr>
                <w:rFonts w:ascii="Times New Roman" w:hAnsi="Times New Roman"/>
                <w:szCs w:val="21"/>
              </w:rPr>
            </w:pPr>
            <w:r>
              <w:rPr>
                <w:rFonts w:ascii="Times New Roman" w:hAnsi="Times New Roman"/>
                <w:szCs w:val="21"/>
              </w:rPr>
              <w:t>明胶培养基</w:t>
            </w:r>
          </w:p>
        </w:tc>
        <w:tc>
          <w:tcPr>
            <w:tcW w:w="2426" w:type="dxa"/>
            <w:tcBorders>
              <w:top w:val="single" w:color="auto" w:sz="4" w:space="0"/>
              <w:bottom w:val="nil"/>
            </w:tcBorders>
            <w:noWrap w:val="0"/>
            <w:vAlign w:val="center"/>
          </w:tcPr>
          <w:p w14:paraId="7BFB6F32">
            <w:pPr>
              <w:spacing w:line="300" w:lineRule="auto"/>
              <w:jc w:val="center"/>
              <w:rPr>
                <w:rFonts w:ascii="Times New Roman" w:hAnsi="Times New Roman"/>
                <w:szCs w:val="21"/>
              </w:rPr>
            </w:pPr>
            <w:r>
              <w:rPr>
                <w:rFonts w:ascii="Times New Roman" w:hAnsi="Times New Roman"/>
                <w:szCs w:val="21"/>
              </w:rPr>
              <w:t>铜绿假单胞菌</w:t>
            </w:r>
          </w:p>
          <w:p w14:paraId="5DF03040">
            <w:pPr>
              <w:spacing w:line="300" w:lineRule="auto"/>
              <w:jc w:val="center"/>
              <w:rPr>
                <w:rFonts w:ascii="Times New Roman" w:hAnsi="Times New Roman"/>
                <w:szCs w:val="21"/>
              </w:rPr>
            </w:pPr>
            <w:r>
              <w:rPr>
                <w:rFonts w:ascii="Times New Roman" w:hAnsi="Times New Roman"/>
                <w:szCs w:val="21"/>
              </w:rPr>
              <w:t>CMCC(B)10104</w:t>
            </w:r>
          </w:p>
        </w:tc>
        <w:tc>
          <w:tcPr>
            <w:tcW w:w="2194" w:type="dxa"/>
            <w:vMerge w:val="restart"/>
            <w:tcBorders>
              <w:top w:val="single" w:color="auto" w:sz="4" w:space="0"/>
              <w:bottom w:val="nil"/>
            </w:tcBorders>
            <w:noWrap w:val="0"/>
            <w:vAlign w:val="center"/>
          </w:tcPr>
          <w:p w14:paraId="0DE72F8C">
            <w:pPr>
              <w:spacing w:line="300" w:lineRule="auto"/>
              <w:jc w:val="center"/>
              <w:rPr>
                <w:rFonts w:ascii="Times New Roman" w:hAnsi="Times New Roman"/>
                <w:szCs w:val="21"/>
              </w:rPr>
            </w:pPr>
            <w:r>
              <w:rPr>
                <w:rFonts w:ascii="Times New Roman" w:hAnsi="Times New Roman"/>
                <w:szCs w:val="21"/>
              </w:rPr>
              <w:t>36±1 ℃，24±2 h，培养后置4±2 ℃冰箱中，10~30 min</w:t>
            </w:r>
          </w:p>
        </w:tc>
        <w:tc>
          <w:tcPr>
            <w:tcW w:w="2122" w:type="dxa"/>
            <w:tcBorders>
              <w:top w:val="single" w:color="auto" w:sz="4" w:space="0"/>
              <w:bottom w:val="nil"/>
            </w:tcBorders>
            <w:noWrap w:val="0"/>
            <w:vAlign w:val="center"/>
          </w:tcPr>
          <w:p w14:paraId="3B0F707A">
            <w:pPr>
              <w:spacing w:line="300" w:lineRule="auto"/>
              <w:jc w:val="center"/>
              <w:rPr>
                <w:rFonts w:ascii="Times New Roman" w:hAnsi="Times New Roman"/>
                <w:szCs w:val="21"/>
              </w:rPr>
            </w:pPr>
            <w:r>
              <w:rPr>
                <w:rFonts w:ascii="Times New Roman" w:hAnsi="Times New Roman"/>
                <w:szCs w:val="21"/>
              </w:rPr>
              <w:t>2~8</w:t>
            </w:r>
            <w:r>
              <w:rPr>
                <w:rFonts w:hint="eastAsia" w:ascii="Times New Roman" w:hAnsi="Times New Roman"/>
                <w:szCs w:val="21"/>
              </w:rPr>
              <w:t xml:space="preserve"> </w:t>
            </w:r>
            <w:r>
              <w:rPr>
                <w:rFonts w:ascii="Times New Roman" w:hAnsi="Times New Roman"/>
                <w:szCs w:val="21"/>
              </w:rPr>
              <w:t>℃呈液态</w:t>
            </w:r>
          </w:p>
        </w:tc>
      </w:tr>
      <w:tr w14:paraId="460618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continue"/>
            <w:tcBorders>
              <w:top w:val="nil"/>
              <w:bottom w:val="single" w:color="auto" w:sz="4" w:space="0"/>
            </w:tcBorders>
            <w:noWrap w:val="0"/>
            <w:vAlign w:val="center"/>
          </w:tcPr>
          <w:p w14:paraId="0F765F09">
            <w:pPr>
              <w:spacing w:line="300" w:lineRule="auto"/>
              <w:jc w:val="center"/>
              <w:rPr>
                <w:rFonts w:ascii="Times New Roman" w:hAnsi="Times New Roman"/>
                <w:szCs w:val="21"/>
              </w:rPr>
            </w:pPr>
          </w:p>
        </w:tc>
        <w:tc>
          <w:tcPr>
            <w:tcW w:w="2426" w:type="dxa"/>
            <w:tcBorders>
              <w:top w:val="nil"/>
              <w:bottom w:val="single" w:color="auto" w:sz="4" w:space="0"/>
            </w:tcBorders>
            <w:noWrap w:val="0"/>
            <w:vAlign w:val="center"/>
          </w:tcPr>
          <w:p w14:paraId="1F84B6A5">
            <w:pPr>
              <w:spacing w:line="300" w:lineRule="auto"/>
              <w:jc w:val="center"/>
              <w:rPr>
                <w:rFonts w:ascii="Times New Roman" w:hAnsi="Times New Roman"/>
                <w:szCs w:val="21"/>
              </w:rPr>
            </w:pPr>
            <w:r>
              <w:rPr>
                <w:rFonts w:ascii="Times New Roman" w:hAnsi="Times New Roman"/>
                <w:szCs w:val="21"/>
              </w:rPr>
              <w:t>大肠埃希氏菌</w:t>
            </w:r>
          </w:p>
          <w:p w14:paraId="4814F8A2">
            <w:pPr>
              <w:spacing w:line="300" w:lineRule="auto"/>
              <w:jc w:val="center"/>
              <w:rPr>
                <w:rFonts w:ascii="Times New Roman" w:hAnsi="Times New Roman"/>
                <w:szCs w:val="21"/>
              </w:rPr>
            </w:pPr>
            <w:r>
              <w:rPr>
                <w:rFonts w:ascii="Times New Roman" w:hAnsi="Times New Roman"/>
                <w:szCs w:val="21"/>
              </w:rPr>
              <w:t>CMCC(B)44102</w:t>
            </w:r>
          </w:p>
        </w:tc>
        <w:tc>
          <w:tcPr>
            <w:tcW w:w="2194" w:type="dxa"/>
            <w:vMerge w:val="continue"/>
            <w:tcBorders>
              <w:top w:val="nil"/>
              <w:bottom w:val="single" w:color="auto" w:sz="4" w:space="0"/>
            </w:tcBorders>
            <w:noWrap w:val="0"/>
            <w:vAlign w:val="center"/>
          </w:tcPr>
          <w:p w14:paraId="3967502B">
            <w:pPr>
              <w:spacing w:line="300" w:lineRule="auto"/>
              <w:jc w:val="center"/>
              <w:rPr>
                <w:rFonts w:ascii="Times New Roman" w:hAnsi="Times New Roman"/>
                <w:szCs w:val="21"/>
              </w:rPr>
            </w:pPr>
          </w:p>
        </w:tc>
        <w:tc>
          <w:tcPr>
            <w:tcW w:w="2122" w:type="dxa"/>
            <w:tcBorders>
              <w:top w:val="nil"/>
              <w:bottom w:val="single" w:color="auto" w:sz="4" w:space="0"/>
            </w:tcBorders>
            <w:noWrap w:val="0"/>
            <w:vAlign w:val="center"/>
          </w:tcPr>
          <w:p w14:paraId="4B60EDD5">
            <w:pPr>
              <w:spacing w:line="300" w:lineRule="auto"/>
              <w:jc w:val="center"/>
              <w:rPr>
                <w:rFonts w:ascii="Times New Roman" w:hAnsi="Times New Roman"/>
                <w:szCs w:val="21"/>
              </w:rPr>
            </w:pPr>
            <w:r>
              <w:rPr>
                <w:rFonts w:ascii="Times New Roman" w:hAnsi="Times New Roman"/>
                <w:szCs w:val="21"/>
              </w:rPr>
              <w:t>2~8</w:t>
            </w:r>
            <w:r>
              <w:rPr>
                <w:rFonts w:hint="eastAsia" w:ascii="Times New Roman" w:hAnsi="Times New Roman"/>
                <w:szCs w:val="21"/>
              </w:rPr>
              <w:t xml:space="preserve"> </w:t>
            </w:r>
            <w:r>
              <w:rPr>
                <w:rFonts w:ascii="Times New Roman" w:hAnsi="Times New Roman"/>
                <w:szCs w:val="21"/>
              </w:rPr>
              <w:t>℃呈固态</w:t>
            </w:r>
          </w:p>
        </w:tc>
      </w:tr>
      <w:tr w14:paraId="7CF142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restart"/>
            <w:tcBorders>
              <w:top w:val="single" w:color="auto" w:sz="4" w:space="0"/>
            </w:tcBorders>
            <w:noWrap w:val="0"/>
            <w:vAlign w:val="center"/>
          </w:tcPr>
          <w:p w14:paraId="09CD7BA2">
            <w:pPr>
              <w:spacing w:line="300" w:lineRule="auto"/>
              <w:jc w:val="center"/>
              <w:rPr>
                <w:rFonts w:ascii="Times New Roman" w:hAnsi="Times New Roman"/>
                <w:szCs w:val="21"/>
              </w:rPr>
            </w:pPr>
            <w:r>
              <w:rPr>
                <w:rFonts w:ascii="Times New Roman" w:hAnsi="Times New Roman"/>
                <w:szCs w:val="21"/>
              </w:rPr>
              <w:t>西蒙氏枸橼酸盐</w:t>
            </w:r>
            <w:r>
              <w:rPr>
                <w:rFonts w:hint="eastAsia" w:ascii="Times New Roman" w:hAnsi="Times New Roman"/>
                <w:szCs w:val="21"/>
              </w:rPr>
              <w:t>琼脂</w:t>
            </w:r>
            <w:r>
              <w:rPr>
                <w:rFonts w:ascii="Times New Roman" w:hAnsi="Times New Roman"/>
                <w:szCs w:val="21"/>
              </w:rPr>
              <w:t>培养基</w:t>
            </w:r>
          </w:p>
        </w:tc>
        <w:tc>
          <w:tcPr>
            <w:tcW w:w="2426" w:type="dxa"/>
            <w:tcBorders>
              <w:top w:val="single" w:color="auto" w:sz="4" w:space="0"/>
            </w:tcBorders>
            <w:noWrap w:val="0"/>
            <w:vAlign w:val="center"/>
          </w:tcPr>
          <w:p w14:paraId="7F2FBE96">
            <w:pPr>
              <w:spacing w:line="300" w:lineRule="auto"/>
              <w:jc w:val="center"/>
              <w:rPr>
                <w:rFonts w:ascii="Times New Roman" w:hAnsi="Times New Roman"/>
                <w:szCs w:val="21"/>
              </w:rPr>
            </w:pPr>
            <w:r>
              <w:rPr>
                <w:rFonts w:hint="eastAsia" w:ascii="Times New Roman" w:hAnsi="Times New Roman"/>
                <w:szCs w:val="21"/>
              </w:rPr>
              <w:t>洋葱伯克霍尔德氏菌</w:t>
            </w:r>
          </w:p>
          <w:p w14:paraId="5A9B1BFA">
            <w:pPr>
              <w:spacing w:line="300" w:lineRule="auto"/>
              <w:jc w:val="center"/>
              <w:rPr>
                <w:rFonts w:ascii="Times New Roman" w:hAnsi="Times New Roman"/>
                <w:szCs w:val="21"/>
              </w:rPr>
            </w:pPr>
            <w:r>
              <w:rPr>
                <w:rFonts w:ascii="Times New Roman" w:hAnsi="Times New Roman"/>
                <w:szCs w:val="21"/>
              </w:rPr>
              <w:t>CMCC(B)23015</w:t>
            </w:r>
          </w:p>
        </w:tc>
        <w:tc>
          <w:tcPr>
            <w:tcW w:w="2194" w:type="dxa"/>
            <w:vMerge w:val="restart"/>
            <w:tcBorders>
              <w:top w:val="single" w:color="auto" w:sz="4" w:space="0"/>
            </w:tcBorders>
            <w:noWrap w:val="0"/>
            <w:vAlign w:val="center"/>
          </w:tcPr>
          <w:p w14:paraId="379F0C99">
            <w:pPr>
              <w:spacing w:line="300" w:lineRule="auto"/>
              <w:jc w:val="center"/>
              <w:rPr>
                <w:rFonts w:ascii="Times New Roman" w:hAnsi="Times New Roman"/>
                <w:szCs w:val="21"/>
              </w:rPr>
            </w:pPr>
            <w:r>
              <w:rPr>
                <w:rFonts w:ascii="Times New Roman" w:hAnsi="Times New Roman"/>
                <w:szCs w:val="21"/>
              </w:rPr>
              <w:t>36±1 ℃，24~48 h</w:t>
            </w:r>
          </w:p>
        </w:tc>
        <w:tc>
          <w:tcPr>
            <w:tcW w:w="2122" w:type="dxa"/>
            <w:tcBorders>
              <w:top w:val="single" w:color="auto" w:sz="4" w:space="0"/>
            </w:tcBorders>
            <w:noWrap w:val="0"/>
            <w:vAlign w:val="center"/>
          </w:tcPr>
          <w:p w14:paraId="5B57E95D">
            <w:pPr>
              <w:spacing w:line="300" w:lineRule="auto"/>
              <w:jc w:val="center"/>
              <w:rPr>
                <w:rFonts w:ascii="Times New Roman" w:hAnsi="Times New Roman"/>
                <w:szCs w:val="21"/>
              </w:rPr>
            </w:pPr>
            <w:r>
              <w:rPr>
                <w:rFonts w:ascii="Times New Roman" w:hAnsi="Times New Roman"/>
                <w:szCs w:val="21"/>
              </w:rPr>
              <w:t>阳性，培养基变蓝色</w:t>
            </w:r>
          </w:p>
        </w:tc>
      </w:tr>
      <w:tr w14:paraId="4D90E8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continue"/>
            <w:noWrap w:val="0"/>
            <w:vAlign w:val="center"/>
          </w:tcPr>
          <w:p w14:paraId="05D9B0CB">
            <w:pPr>
              <w:spacing w:line="300" w:lineRule="auto"/>
              <w:jc w:val="center"/>
              <w:rPr>
                <w:rFonts w:ascii="Times New Roman" w:hAnsi="Times New Roman"/>
                <w:szCs w:val="21"/>
              </w:rPr>
            </w:pPr>
          </w:p>
        </w:tc>
        <w:tc>
          <w:tcPr>
            <w:tcW w:w="2426" w:type="dxa"/>
            <w:noWrap w:val="0"/>
            <w:vAlign w:val="center"/>
          </w:tcPr>
          <w:p w14:paraId="02E9EE25">
            <w:pPr>
              <w:spacing w:line="300" w:lineRule="auto"/>
              <w:jc w:val="center"/>
              <w:rPr>
                <w:rFonts w:ascii="Times New Roman" w:hAnsi="Times New Roman"/>
                <w:szCs w:val="21"/>
              </w:rPr>
            </w:pPr>
            <w:r>
              <w:rPr>
                <w:rFonts w:ascii="Times New Roman" w:hAnsi="Times New Roman"/>
                <w:szCs w:val="21"/>
              </w:rPr>
              <w:t>新</w:t>
            </w:r>
            <w:r>
              <w:rPr>
                <w:rFonts w:hint="eastAsia" w:ascii="Times New Roman" w:hAnsi="Times New Roman"/>
                <w:szCs w:val="21"/>
              </w:rPr>
              <w:t>洋葱伯克霍尔德氏菌</w:t>
            </w:r>
          </w:p>
          <w:p w14:paraId="2F0E31BA">
            <w:pPr>
              <w:spacing w:line="300" w:lineRule="auto"/>
              <w:jc w:val="center"/>
              <w:rPr>
                <w:rFonts w:ascii="Times New Roman" w:hAnsi="Times New Roman"/>
                <w:szCs w:val="21"/>
              </w:rPr>
            </w:pPr>
            <w:r>
              <w:rPr>
                <w:rFonts w:ascii="Times New Roman" w:hAnsi="Times New Roman"/>
                <w:szCs w:val="21"/>
              </w:rPr>
              <w:t>CMCC(B)23014</w:t>
            </w:r>
          </w:p>
        </w:tc>
        <w:tc>
          <w:tcPr>
            <w:tcW w:w="2194" w:type="dxa"/>
            <w:vMerge w:val="continue"/>
            <w:noWrap w:val="0"/>
            <w:vAlign w:val="center"/>
          </w:tcPr>
          <w:p w14:paraId="13772ECC">
            <w:pPr>
              <w:spacing w:line="300" w:lineRule="auto"/>
              <w:jc w:val="center"/>
              <w:rPr>
                <w:rFonts w:ascii="Times New Roman" w:hAnsi="Times New Roman"/>
                <w:szCs w:val="21"/>
              </w:rPr>
            </w:pPr>
          </w:p>
        </w:tc>
        <w:tc>
          <w:tcPr>
            <w:tcW w:w="2122" w:type="dxa"/>
            <w:noWrap w:val="0"/>
            <w:vAlign w:val="center"/>
          </w:tcPr>
          <w:p w14:paraId="04D654F9">
            <w:pPr>
              <w:spacing w:line="300" w:lineRule="auto"/>
              <w:jc w:val="center"/>
              <w:rPr>
                <w:rFonts w:ascii="Times New Roman" w:hAnsi="Times New Roman"/>
                <w:szCs w:val="21"/>
              </w:rPr>
            </w:pPr>
            <w:r>
              <w:rPr>
                <w:rFonts w:ascii="Times New Roman" w:hAnsi="Times New Roman"/>
                <w:szCs w:val="21"/>
              </w:rPr>
              <w:t>阳性，培养基变蓝色</w:t>
            </w:r>
          </w:p>
        </w:tc>
      </w:tr>
      <w:tr w14:paraId="01CEC4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723" w:type="dxa"/>
            <w:vMerge w:val="continue"/>
            <w:noWrap w:val="0"/>
            <w:vAlign w:val="center"/>
          </w:tcPr>
          <w:p w14:paraId="5FB8219B">
            <w:pPr>
              <w:spacing w:line="300" w:lineRule="auto"/>
              <w:jc w:val="center"/>
              <w:rPr>
                <w:rFonts w:ascii="Times New Roman" w:hAnsi="Times New Roman"/>
                <w:szCs w:val="21"/>
              </w:rPr>
            </w:pPr>
          </w:p>
        </w:tc>
        <w:tc>
          <w:tcPr>
            <w:tcW w:w="2426" w:type="dxa"/>
            <w:noWrap w:val="0"/>
            <w:vAlign w:val="center"/>
          </w:tcPr>
          <w:p w14:paraId="1C0FE042">
            <w:pPr>
              <w:spacing w:line="300" w:lineRule="auto"/>
              <w:jc w:val="center"/>
              <w:rPr>
                <w:rFonts w:ascii="Times New Roman" w:hAnsi="Times New Roman"/>
                <w:szCs w:val="21"/>
              </w:rPr>
            </w:pPr>
            <w:r>
              <w:rPr>
                <w:rFonts w:ascii="Times New Roman" w:hAnsi="Times New Roman"/>
                <w:szCs w:val="21"/>
              </w:rPr>
              <w:t>铜绿假单胞菌</w:t>
            </w:r>
          </w:p>
          <w:p w14:paraId="75DE2039">
            <w:pPr>
              <w:spacing w:line="300" w:lineRule="auto"/>
              <w:jc w:val="center"/>
              <w:rPr>
                <w:rFonts w:ascii="Times New Roman" w:hAnsi="Times New Roman"/>
                <w:szCs w:val="21"/>
              </w:rPr>
            </w:pPr>
            <w:r>
              <w:rPr>
                <w:rFonts w:ascii="Times New Roman" w:hAnsi="Times New Roman"/>
                <w:szCs w:val="21"/>
              </w:rPr>
              <w:t>CMCC(B)10104</w:t>
            </w:r>
          </w:p>
        </w:tc>
        <w:tc>
          <w:tcPr>
            <w:tcW w:w="2194" w:type="dxa"/>
            <w:vMerge w:val="continue"/>
            <w:noWrap w:val="0"/>
            <w:vAlign w:val="center"/>
          </w:tcPr>
          <w:p w14:paraId="3CAEE1DD">
            <w:pPr>
              <w:spacing w:line="300" w:lineRule="auto"/>
              <w:jc w:val="center"/>
              <w:rPr>
                <w:rFonts w:ascii="Times New Roman" w:hAnsi="Times New Roman"/>
                <w:szCs w:val="21"/>
              </w:rPr>
            </w:pPr>
          </w:p>
        </w:tc>
        <w:tc>
          <w:tcPr>
            <w:tcW w:w="2122" w:type="dxa"/>
            <w:noWrap w:val="0"/>
            <w:vAlign w:val="center"/>
          </w:tcPr>
          <w:p w14:paraId="78288AB8">
            <w:pPr>
              <w:spacing w:line="300" w:lineRule="auto"/>
              <w:jc w:val="center"/>
              <w:rPr>
                <w:rFonts w:ascii="Times New Roman" w:hAnsi="Times New Roman"/>
                <w:szCs w:val="21"/>
              </w:rPr>
            </w:pPr>
            <w:r>
              <w:rPr>
                <w:rFonts w:ascii="Times New Roman" w:hAnsi="Times New Roman"/>
                <w:szCs w:val="21"/>
              </w:rPr>
              <w:t>阴性，培养基</w:t>
            </w:r>
            <w:r>
              <w:rPr>
                <w:rFonts w:hint="eastAsia" w:ascii="Times New Roman" w:hAnsi="Times New Roman"/>
                <w:szCs w:val="21"/>
              </w:rPr>
              <w:t>为绿色</w:t>
            </w:r>
          </w:p>
        </w:tc>
      </w:tr>
      <w:bookmarkEnd w:id="172"/>
      <w:bookmarkEnd w:id="173"/>
    </w:tbl>
    <w:p w14:paraId="35731C00">
      <w:pPr>
        <w:widowControl/>
        <w:jc w:val="left"/>
        <w:rPr>
          <w:rFonts w:ascii="黑体" w:hAnsi="黑体" w:eastAsia="黑体" w:cs="黑体"/>
          <w:szCs w:val="21"/>
        </w:rPr>
      </w:pPr>
      <w:bookmarkStart w:id="211" w:name="OLE_LINK237"/>
      <w:bookmarkStart w:id="212" w:name="OLE_LINK238"/>
      <w:bookmarkStart w:id="213" w:name="OLE_LINK236"/>
      <w:bookmarkStart w:id="214" w:name="OLE_LINK234"/>
      <w:bookmarkStart w:id="215" w:name="OLE_LINK233"/>
      <w:bookmarkStart w:id="216" w:name="OLE_LINK221"/>
      <w:r>
        <w:rPr>
          <w:rFonts w:hint="eastAsia" w:ascii="黑体" w:hAnsi="黑体" w:eastAsia="黑体" w:cs="黑体"/>
          <w:szCs w:val="21"/>
        </w:rPr>
        <w:br w:type="page"/>
      </w:r>
    </w:p>
    <w:p w14:paraId="5C74CAEF">
      <w:pPr>
        <w:widowControl/>
        <w:spacing w:before="159" w:beforeLines="50" w:after="159" w:afterLines="50" w:line="300" w:lineRule="auto"/>
        <w:jc w:val="center"/>
        <w:rPr>
          <w:rFonts w:ascii="黑体" w:hAnsi="黑体" w:eastAsia="黑体" w:cs="黑体"/>
          <w:szCs w:val="21"/>
        </w:rPr>
      </w:pPr>
      <w:r>
        <w:rPr>
          <w:rFonts w:hint="eastAsia" w:ascii="黑体" w:hAnsi="黑体" w:eastAsia="黑体" w:cs="黑体"/>
          <w:szCs w:val="21"/>
        </w:rPr>
        <w:t>附录</w:t>
      </w:r>
      <w:r>
        <w:rPr>
          <w:rFonts w:ascii="Times New Roman" w:hAnsi="Times New Roman" w:eastAsia="黑体"/>
          <w:szCs w:val="21"/>
        </w:rPr>
        <w:t>E</w:t>
      </w:r>
    </w:p>
    <w:p w14:paraId="5883599B">
      <w:pPr>
        <w:spacing w:before="159" w:beforeLines="50" w:after="159" w:afterLines="50" w:line="300" w:lineRule="auto"/>
        <w:jc w:val="center"/>
        <w:rPr>
          <w:rFonts w:ascii="黑体" w:hAnsi="黑体" w:eastAsia="黑体" w:cs="黑体"/>
          <w:szCs w:val="21"/>
        </w:rPr>
      </w:pPr>
      <w:r>
        <w:rPr>
          <w:rFonts w:ascii="黑体" w:hAnsi="黑体" w:eastAsia="黑体" w:cs="黑体"/>
          <w:szCs w:val="21"/>
        </w:rPr>
        <w:t>（规范性附录）</w:t>
      </w:r>
    </w:p>
    <w:bookmarkEnd w:id="211"/>
    <w:bookmarkEnd w:id="212"/>
    <w:p w14:paraId="23F617CE">
      <w:pPr>
        <w:spacing w:before="159" w:beforeLines="50" w:after="159" w:afterLines="50" w:line="300" w:lineRule="auto"/>
        <w:jc w:val="center"/>
      </w:pPr>
      <w:r>
        <w:rPr>
          <w:rFonts w:hint="eastAsia" w:ascii="黑体" w:hAnsi="黑体" w:eastAsia="黑体" w:cs="黑体"/>
          <w:szCs w:val="21"/>
        </w:rPr>
        <w:t>化妆品微生物检验方法适用性试验规程</w:t>
      </w:r>
      <w:bookmarkEnd w:id="213"/>
      <w:bookmarkEnd w:id="214"/>
      <w:bookmarkEnd w:id="215"/>
      <w:bookmarkEnd w:id="216"/>
    </w:p>
    <w:p w14:paraId="372B9071">
      <w:pPr>
        <w:pStyle w:val="3"/>
        <w:spacing w:before="159" w:beforeLines="50" w:after="159" w:afterLines="50" w:line="300" w:lineRule="auto"/>
        <w:ind w:left="0" w:leftChars="0" w:firstLine="0" w:firstLineChars="0"/>
      </w:pPr>
      <w:r>
        <w:rPr>
          <w:rFonts w:hint="eastAsia"/>
        </w:rPr>
        <w:t>E.1  菌液的制备</w:t>
      </w:r>
    </w:p>
    <w:p w14:paraId="0DF72B23">
      <w:pPr>
        <w:pStyle w:val="3"/>
        <w:spacing w:after="0" w:line="300" w:lineRule="auto"/>
        <w:ind w:left="0" w:leftChars="0" w:firstLine="437"/>
      </w:pPr>
      <w:r>
        <w:rPr>
          <w:rFonts w:hint="eastAsia"/>
        </w:rPr>
        <w:t>菌悬液及孢子悬液的制备也可采用相应的菌株标准物质。</w:t>
      </w:r>
      <w:r>
        <w:rPr>
          <w:rFonts w:hint="eastAsia"/>
          <w:color w:val="000000"/>
        </w:rPr>
        <w:t>试验用菌株的传代次数不得超过</w:t>
      </w:r>
      <w:r>
        <w:rPr>
          <w:color w:val="000000"/>
        </w:rPr>
        <w:t>5</w:t>
      </w:r>
      <w:r>
        <w:rPr>
          <w:rFonts w:hint="eastAsia"/>
          <w:color w:val="000000"/>
        </w:rPr>
        <w:t>代（从菌种保藏中心获得的标准菌株或标准物质为第</w:t>
      </w:r>
      <w:r>
        <w:rPr>
          <w:color w:val="000000"/>
        </w:rPr>
        <w:t>0</w:t>
      </w:r>
      <w:r>
        <w:rPr>
          <w:rFonts w:hint="eastAsia"/>
          <w:color w:val="000000"/>
        </w:rPr>
        <w:t>代）。</w:t>
      </w:r>
    </w:p>
    <w:p w14:paraId="16D079D8">
      <w:pPr>
        <w:pStyle w:val="3"/>
        <w:spacing w:after="0" w:line="300" w:lineRule="auto"/>
        <w:ind w:left="0" w:leftChars="0" w:firstLine="0" w:firstLineChars="0"/>
      </w:pPr>
      <w:r>
        <w:rPr>
          <w:rFonts w:hint="eastAsia"/>
        </w:rPr>
        <w:t>E.1.1 细菌悬液制备</w:t>
      </w:r>
    </w:p>
    <w:p w14:paraId="2F480ECC">
      <w:pPr>
        <w:pStyle w:val="3"/>
        <w:spacing w:after="0" w:line="300" w:lineRule="auto"/>
        <w:ind w:left="0" w:leftChars="0" w:firstLine="437"/>
        <w:rPr>
          <w:color w:val="000000"/>
        </w:rPr>
      </w:pPr>
      <w:r>
        <w:rPr>
          <w:rFonts w:hint="eastAsia"/>
          <w:color w:val="000000"/>
        </w:rPr>
        <w:t>用接种环从菌种保存管中（或试管斜面上）取适量菌体，分区划线接种于</w:t>
      </w:r>
      <w:r>
        <w:rPr>
          <w:color w:val="000000"/>
        </w:rPr>
        <w:t>TSA</w:t>
      </w:r>
      <w:r>
        <w:rPr>
          <w:rFonts w:hint="eastAsia"/>
          <w:color w:val="000000"/>
        </w:rPr>
        <w:t>平板，</w:t>
      </w:r>
      <w:r>
        <w:rPr>
          <w:color w:val="000000"/>
        </w:rPr>
        <w:t>36</w:t>
      </w:r>
      <w:r>
        <w:rPr>
          <w:szCs w:val="21"/>
        </w:rPr>
        <w:t>±</w:t>
      </w:r>
      <w:r>
        <w:rPr>
          <w:color w:val="000000"/>
        </w:rPr>
        <w:t xml:space="preserve">1 </w:t>
      </w:r>
      <w:r>
        <w:rPr>
          <w:szCs w:val="21"/>
        </w:rPr>
        <w:t>℃</w:t>
      </w:r>
      <w:r>
        <w:rPr>
          <w:rFonts w:hint="eastAsia"/>
          <w:szCs w:val="21"/>
        </w:rPr>
        <w:t xml:space="preserve"> </w:t>
      </w:r>
      <w:r>
        <w:rPr>
          <w:rFonts w:hint="eastAsia"/>
          <w:color w:val="000000"/>
        </w:rPr>
        <w:t>培养</w:t>
      </w:r>
      <w:r>
        <w:rPr>
          <w:color w:val="000000"/>
        </w:rPr>
        <w:t>18~24 h</w:t>
      </w:r>
      <w:r>
        <w:rPr>
          <w:rFonts w:hint="eastAsia"/>
          <w:color w:val="000000"/>
        </w:rPr>
        <w:t>。用接种环取第</w:t>
      </w:r>
      <w:r>
        <w:rPr>
          <w:color w:val="000000"/>
        </w:rPr>
        <w:t>1</w:t>
      </w:r>
      <w:r>
        <w:rPr>
          <w:rFonts w:hint="eastAsia"/>
          <w:color w:val="000000"/>
        </w:rPr>
        <w:t>代培养物，分区划线接种于</w:t>
      </w:r>
      <w:r>
        <w:rPr>
          <w:color w:val="000000"/>
        </w:rPr>
        <w:t>TSA</w:t>
      </w:r>
      <w:r>
        <w:rPr>
          <w:rFonts w:hint="eastAsia"/>
          <w:color w:val="000000"/>
        </w:rPr>
        <w:t>平板，</w:t>
      </w:r>
      <w:r>
        <w:rPr>
          <w:color w:val="000000"/>
        </w:rPr>
        <w:t>36</w:t>
      </w:r>
      <w:r>
        <w:rPr>
          <w:szCs w:val="21"/>
        </w:rPr>
        <w:t>±</w:t>
      </w:r>
      <w:r>
        <w:rPr>
          <w:color w:val="000000"/>
        </w:rPr>
        <w:t>1</w:t>
      </w:r>
      <w:r>
        <w:rPr>
          <w:rFonts w:hint="eastAsia"/>
          <w:color w:val="000000"/>
        </w:rPr>
        <w:t xml:space="preserve"> </w:t>
      </w:r>
      <w:r>
        <w:rPr>
          <w:szCs w:val="21"/>
        </w:rPr>
        <w:t>℃</w:t>
      </w:r>
      <w:r>
        <w:rPr>
          <w:rFonts w:hint="eastAsia"/>
          <w:szCs w:val="21"/>
        </w:rPr>
        <w:t xml:space="preserve"> </w:t>
      </w:r>
      <w:r>
        <w:rPr>
          <w:rFonts w:hint="eastAsia"/>
          <w:color w:val="000000"/>
        </w:rPr>
        <w:t>培养</w:t>
      </w:r>
      <w:r>
        <w:rPr>
          <w:color w:val="000000"/>
        </w:rPr>
        <w:t>18~24 h</w:t>
      </w:r>
      <w:r>
        <w:rPr>
          <w:rFonts w:hint="eastAsia"/>
          <w:color w:val="000000"/>
        </w:rPr>
        <w:t>。挑取上述第</w:t>
      </w:r>
      <w:r>
        <w:rPr>
          <w:color w:val="000000"/>
        </w:rPr>
        <w:t>2</w:t>
      </w:r>
      <w:r>
        <w:rPr>
          <w:rFonts w:hint="eastAsia"/>
          <w:color w:val="000000"/>
        </w:rPr>
        <w:t>代培养物中单菌落，分区划线接种于</w:t>
      </w:r>
      <w:r>
        <w:rPr>
          <w:color w:val="000000"/>
        </w:rPr>
        <w:t>TSA</w:t>
      </w:r>
      <w:r>
        <w:rPr>
          <w:rFonts w:hint="eastAsia"/>
          <w:color w:val="000000"/>
        </w:rPr>
        <w:t>平板，</w:t>
      </w:r>
      <w:r>
        <w:rPr>
          <w:color w:val="000000"/>
        </w:rPr>
        <w:t>36</w:t>
      </w:r>
      <w:r>
        <w:rPr>
          <w:szCs w:val="21"/>
        </w:rPr>
        <w:t>±</w:t>
      </w:r>
      <w:r>
        <w:rPr>
          <w:color w:val="000000"/>
        </w:rPr>
        <w:t>1</w:t>
      </w:r>
      <w:r>
        <w:rPr>
          <w:rFonts w:hint="eastAsia"/>
          <w:color w:val="000000"/>
        </w:rPr>
        <w:t xml:space="preserve"> </w:t>
      </w:r>
      <w:r>
        <w:rPr>
          <w:szCs w:val="21"/>
        </w:rPr>
        <w:t>℃</w:t>
      </w:r>
      <w:r>
        <w:rPr>
          <w:rFonts w:hint="eastAsia"/>
          <w:szCs w:val="21"/>
        </w:rPr>
        <w:t xml:space="preserve"> </w:t>
      </w:r>
      <w:r>
        <w:rPr>
          <w:rFonts w:hint="eastAsia"/>
          <w:color w:val="000000"/>
        </w:rPr>
        <w:t>培养</w:t>
      </w:r>
      <w:r>
        <w:rPr>
          <w:color w:val="000000"/>
        </w:rPr>
        <w:t>18h~24 h</w:t>
      </w:r>
      <w:r>
        <w:rPr>
          <w:rFonts w:hint="eastAsia"/>
          <w:color w:val="000000"/>
        </w:rPr>
        <w:t>，即为第</w:t>
      </w:r>
      <w:r>
        <w:rPr>
          <w:color w:val="000000"/>
        </w:rPr>
        <w:t>3</w:t>
      </w:r>
      <w:r>
        <w:rPr>
          <w:rFonts w:hint="eastAsia"/>
          <w:color w:val="000000"/>
        </w:rPr>
        <w:t>代培养物。用无菌棉签取菌苔加入无菌生理盐水中，涡旋混匀。用无菌生理盐水将其稀释成约</w:t>
      </w:r>
      <w:r>
        <w:rPr>
          <w:color w:val="000000"/>
        </w:rPr>
        <w:t>10</w:t>
      </w:r>
      <w:r>
        <w:rPr>
          <w:rFonts w:hint="eastAsia"/>
          <w:color w:val="000000"/>
          <w:vertAlign w:val="superscript"/>
        </w:rPr>
        <w:t>4</w:t>
      </w:r>
      <w:r>
        <w:rPr>
          <w:color w:val="000000"/>
        </w:rPr>
        <w:t xml:space="preserve"> CFU/mL</w:t>
      </w:r>
      <w:r>
        <w:rPr>
          <w:rFonts w:hint="eastAsia"/>
          <w:color w:val="000000"/>
        </w:rPr>
        <w:t xml:space="preserve"> 的菌悬液。制备好的菌悬液应在</w:t>
      </w:r>
      <w:r>
        <w:rPr>
          <w:color w:val="000000"/>
        </w:rPr>
        <w:t>2 h</w:t>
      </w:r>
      <w:r>
        <w:rPr>
          <w:rFonts w:hint="eastAsia"/>
          <w:color w:val="000000"/>
        </w:rPr>
        <w:t xml:space="preserve"> 内使用，或在</w:t>
      </w:r>
      <w:r>
        <w:rPr>
          <w:color w:val="000000"/>
        </w:rPr>
        <w:t>2~8</w:t>
      </w:r>
      <w:r>
        <w:rPr>
          <w:rFonts w:hint="eastAsia"/>
          <w:color w:val="000000"/>
        </w:rPr>
        <w:t xml:space="preserve"> </w:t>
      </w:r>
      <w:r>
        <w:rPr>
          <w:szCs w:val="21"/>
        </w:rPr>
        <w:t>℃</w:t>
      </w:r>
      <w:r>
        <w:rPr>
          <w:rFonts w:hint="eastAsia"/>
          <w:szCs w:val="21"/>
        </w:rPr>
        <w:t xml:space="preserve"> </w:t>
      </w:r>
      <w:r>
        <w:rPr>
          <w:rFonts w:hint="eastAsia"/>
          <w:color w:val="000000"/>
        </w:rPr>
        <w:t>保存不超过</w:t>
      </w:r>
      <w:r>
        <w:rPr>
          <w:color w:val="000000"/>
        </w:rPr>
        <w:t>24 h</w:t>
      </w:r>
      <w:r>
        <w:rPr>
          <w:rFonts w:hint="eastAsia"/>
          <w:color w:val="000000"/>
        </w:rPr>
        <w:t>。经实验验证后，可适当延长保存期限。</w:t>
      </w:r>
    </w:p>
    <w:p w14:paraId="0D8DD5FB">
      <w:pPr>
        <w:pStyle w:val="3"/>
        <w:spacing w:after="0" w:line="300" w:lineRule="auto"/>
        <w:ind w:left="0" w:leftChars="0" w:firstLine="0" w:firstLineChars="0"/>
      </w:pPr>
      <w:r>
        <w:rPr>
          <w:rFonts w:hint="eastAsia"/>
        </w:rPr>
        <w:t>E.1.2 白色念珠菌菌悬液的制备</w:t>
      </w:r>
    </w:p>
    <w:p w14:paraId="139DEC6D">
      <w:pPr>
        <w:pStyle w:val="3"/>
        <w:spacing w:after="0" w:line="300" w:lineRule="auto"/>
        <w:ind w:left="0" w:leftChars="0" w:firstLine="437"/>
        <w:rPr>
          <w:color w:val="000000"/>
        </w:rPr>
      </w:pPr>
      <w:r>
        <w:rPr>
          <w:rFonts w:hint="eastAsia"/>
          <w:color w:val="000000"/>
        </w:rPr>
        <w:t>用接种环从菌种保存管中（或试管斜面上）取适量菌体，分区划线接种于SDA平板，</w:t>
      </w:r>
      <w:r>
        <w:rPr>
          <w:color w:val="000000"/>
        </w:rPr>
        <w:t>25</w:t>
      </w:r>
      <w:r>
        <w:rPr>
          <w:szCs w:val="21"/>
        </w:rPr>
        <w:t>±</w:t>
      </w:r>
      <w:r>
        <w:rPr>
          <w:color w:val="000000"/>
        </w:rPr>
        <w:t>1</w:t>
      </w:r>
      <w:r>
        <w:rPr>
          <w:rFonts w:hint="eastAsia"/>
          <w:color w:val="000000"/>
        </w:rPr>
        <w:t xml:space="preserve"> </w:t>
      </w:r>
      <w:r>
        <w:rPr>
          <w:szCs w:val="21"/>
        </w:rPr>
        <w:t>℃</w:t>
      </w:r>
      <w:r>
        <w:rPr>
          <w:rFonts w:hint="eastAsia"/>
          <w:szCs w:val="21"/>
        </w:rPr>
        <w:t xml:space="preserve"> </w:t>
      </w:r>
      <w:r>
        <w:rPr>
          <w:rFonts w:hint="eastAsia"/>
          <w:color w:val="000000"/>
        </w:rPr>
        <w:t>培养48~72 h。用接种环取第1代培养物，分区划线接种于SDA平板，</w:t>
      </w:r>
      <w:r>
        <w:rPr>
          <w:color w:val="000000"/>
        </w:rPr>
        <w:t>25</w:t>
      </w:r>
      <w:r>
        <w:rPr>
          <w:szCs w:val="21"/>
        </w:rPr>
        <w:t>±</w:t>
      </w:r>
      <w:r>
        <w:rPr>
          <w:color w:val="000000"/>
        </w:rPr>
        <w:t>1</w:t>
      </w:r>
      <w:r>
        <w:rPr>
          <w:rFonts w:hint="eastAsia"/>
          <w:color w:val="000000"/>
        </w:rPr>
        <w:t xml:space="preserve"> </w:t>
      </w:r>
      <w:r>
        <w:rPr>
          <w:szCs w:val="21"/>
        </w:rPr>
        <w:t>℃</w:t>
      </w:r>
      <w:r>
        <w:rPr>
          <w:rFonts w:hint="eastAsia"/>
          <w:szCs w:val="21"/>
        </w:rPr>
        <w:t xml:space="preserve"> </w:t>
      </w:r>
      <w:r>
        <w:rPr>
          <w:rFonts w:hint="eastAsia"/>
          <w:color w:val="000000"/>
        </w:rPr>
        <w:t>培养48~72 h。挑取上述第2代培养物中典型菌落，分区划线接种于SDA平板，</w:t>
      </w:r>
      <w:r>
        <w:rPr>
          <w:color w:val="000000"/>
        </w:rPr>
        <w:t>25</w:t>
      </w:r>
      <w:r>
        <w:rPr>
          <w:szCs w:val="21"/>
        </w:rPr>
        <w:t>±</w:t>
      </w:r>
      <w:r>
        <w:rPr>
          <w:color w:val="000000"/>
        </w:rPr>
        <w:t>1</w:t>
      </w:r>
      <w:r>
        <w:rPr>
          <w:rFonts w:hint="eastAsia"/>
          <w:color w:val="000000"/>
        </w:rPr>
        <w:t xml:space="preserve"> </w:t>
      </w:r>
      <w:r>
        <w:rPr>
          <w:szCs w:val="21"/>
        </w:rPr>
        <w:t>℃</w:t>
      </w:r>
      <w:r>
        <w:rPr>
          <w:rFonts w:hint="eastAsia"/>
          <w:szCs w:val="21"/>
        </w:rPr>
        <w:t xml:space="preserve"> </w:t>
      </w:r>
      <w:r>
        <w:rPr>
          <w:rFonts w:hint="eastAsia"/>
          <w:color w:val="000000"/>
        </w:rPr>
        <w:t>培养48~72 h，即为第3代培养物。用无菌棉签取菌苔加入无菌生理盐水中，涡旋混匀。用无菌生理盐水将其稀释成约10</w:t>
      </w:r>
      <w:r>
        <w:rPr>
          <w:rFonts w:hint="eastAsia"/>
          <w:color w:val="000000"/>
          <w:vertAlign w:val="superscript"/>
        </w:rPr>
        <w:t>4</w:t>
      </w:r>
      <w:r>
        <w:rPr>
          <w:rFonts w:hint="eastAsia"/>
          <w:color w:val="000000"/>
        </w:rPr>
        <w:t xml:space="preserve"> CFU/mL 的菌悬液。制备好的菌悬液应在2 h 内使用，或在</w:t>
      </w:r>
      <w:r>
        <w:rPr>
          <w:color w:val="000000"/>
        </w:rPr>
        <w:t>2~8</w:t>
      </w:r>
      <w:r>
        <w:rPr>
          <w:rFonts w:hint="eastAsia"/>
          <w:color w:val="000000"/>
        </w:rPr>
        <w:t xml:space="preserve"> </w:t>
      </w:r>
      <w:r>
        <w:rPr>
          <w:szCs w:val="21"/>
        </w:rPr>
        <w:t>℃</w:t>
      </w:r>
      <w:r>
        <w:rPr>
          <w:rFonts w:hint="eastAsia"/>
          <w:szCs w:val="21"/>
        </w:rPr>
        <w:t xml:space="preserve"> </w:t>
      </w:r>
      <w:r>
        <w:rPr>
          <w:rFonts w:hint="eastAsia"/>
          <w:color w:val="000000"/>
        </w:rPr>
        <w:t>保存不超过24 h。经实验验证后，可适当延长保存期限。</w:t>
      </w:r>
    </w:p>
    <w:p w14:paraId="7578CC1B">
      <w:pPr>
        <w:pStyle w:val="3"/>
        <w:spacing w:after="0" w:line="300" w:lineRule="auto"/>
        <w:ind w:left="0" w:leftChars="0" w:firstLine="0" w:firstLineChars="0"/>
      </w:pPr>
      <w:r>
        <w:rPr>
          <w:rFonts w:hint="eastAsia"/>
        </w:rPr>
        <w:t>E.1.3 黑曲霉孢子悬液的制备</w:t>
      </w:r>
    </w:p>
    <w:p w14:paraId="21757AB8">
      <w:pPr>
        <w:pStyle w:val="3"/>
        <w:spacing w:after="0" w:line="300" w:lineRule="auto"/>
        <w:ind w:left="0" w:leftChars="0" w:firstLine="437"/>
      </w:pPr>
      <w:r>
        <w:rPr>
          <w:rFonts w:hint="eastAsia"/>
        </w:rPr>
        <w:t>用接种环从菌种保存管中（或试管斜面上）取适量的菌体，分区划线接种于SDA平板上，</w:t>
      </w:r>
      <w:bookmarkStart w:id="217" w:name="OLE_LINK222"/>
      <w:bookmarkStart w:id="218" w:name="OLE_LINK226"/>
      <w:r>
        <w:t>25</w:t>
      </w:r>
      <w:r>
        <w:rPr>
          <w:szCs w:val="21"/>
        </w:rPr>
        <w:t>±</w:t>
      </w:r>
      <w:bookmarkEnd w:id="217"/>
      <w:bookmarkEnd w:id="218"/>
      <w:r>
        <w:t>1</w:t>
      </w:r>
      <w:r>
        <w:rPr>
          <w:szCs w:val="21"/>
        </w:rPr>
        <w:t xml:space="preserve"> ℃</w:t>
      </w:r>
      <w:r>
        <w:rPr>
          <w:rFonts w:hint="eastAsia"/>
          <w:szCs w:val="21"/>
        </w:rPr>
        <w:t xml:space="preserve"> </w:t>
      </w:r>
      <w:r>
        <w:rPr>
          <w:rFonts w:hint="eastAsia"/>
        </w:rPr>
        <w:t>培养3~7 d。用无菌棉签（或无菌接种环）取菌苔加入含0.05%（v/v）聚山梨酯80无菌生理盐水中，制备孢子悬液。用含0.05%（w/v）聚山梨酯80无菌生理盐水将其稀释成约10</w:t>
      </w:r>
      <w:r>
        <w:rPr>
          <w:rFonts w:hint="eastAsia"/>
          <w:vertAlign w:val="superscript"/>
        </w:rPr>
        <w:t>4</w:t>
      </w:r>
      <w:r>
        <w:rPr>
          <w:rFonts w:hint="eastAsia"/>
        </w:rPr>
        <w:t xml:space="preserve"> CFU/mL 的孢子悬液。制备好的孢子悬液应当天使用或在</w:t>
      </w:r>
      <w:r>
        <w:t>2~8</w:t>
      </w:r>
      <w:r>
        <w:rPr>
          <w:szCs w:val="21"/>
        </w:rPr>
        <w:t xml:space="preserve"> ℃</w:t>
      </w:r>
      <w:r>
        <w:rPr>
          <w:rFonts w:hint="eastAsia"/>
          <w:szCs w:val="21"/>
        </w:rPr>
        <w:t xml:space="preserve"> </w:t>
      </w:r>
      <w:r>
        <w:rPr>
          <w:rFonts w:hint="eastAsia"/>
        </w:rPr>
        <w:t>保存不超过7 d，使用前混合均匀，并在显微镜下观察是否有孢子出芽，若有孢子出芽，则弃之不用。</w:t>
      </w:r>
    </w:p>
    <w:p w14:paraId="567B5B94">
      <w:pPr>
        <w:pStyle w:val="3"/>
        <w:spacing w:before="159" w:beforeLines="50" w:after="159" w:afterLines="50" w:line="300" w:lineRule="auto"/>
        <w:ind w:left="0" w:leftChars="0" w:firstLine="0" w:firstLineChars="0"/>
        <w:jc w:val="center"/>
        <w:rPr>
          <w:rFonts w:eastAsia="黑体"/>
          <w:kern w:val="0"/>
          <w:szCs w:val="21"/>
        </w:rPr>
      </w:pPr>
      <w:bookmarkStart w:id="219" w:name="OLE_LINK239"/>
      <w:bookmarkStart w:id="220" w:name="OLE_LINK240"/>
      <w:r>
        <w:rPr>
          <w:rFonts w:eastAsia="黑体"/>
          <w:kern w:val="0"/>
          <w:szCs w:val="21"/>
        </w:rPr>
        <w:t>表</w:t>
      </w:r>
      <w:r>
        <w:rPr>
          <w:rFonts w:hint="eastAsia" w:eastAsia="黑体"/>
          <w:b/>
          <w:bCs/>
          <w:kern w:val="0"/>
          <w:szCs w:val="21"/>
        </w:rPr>
        <w:t>E.1</w:t>
      </w:r>
      <w:r>
        <w:rPr>
          <w:rFonts w:eastAsia="黑体"/>
          <w:kern w:val="0"/>
          <w:szCs w:val="21"/>
        </w:rPr>
        <w:t xml:space="preserve"> 化妆品微生物检验方法适用性试验</w:t>
      </w:r>
      <w:bookmarkStart w:id="221" w:name="OLE_LINK261"/>
      <w:bookmarkStart w:id="222" w:name="OLE_LINK230"/>
      <w:bookmarkStart w:id="223" w:name="OLE_LINK229"/>
      <w:r>
        <w:rPr>
          <w:rFonts w:hint="eastAsia" w:eastAsia="黑体"/>
          <w:kern w:val="0"/>
          <w:szCs w:val="21"/>
        </w:rPr>
        <w:t>推荐用</w:t>
      </w:r>
      <w:bookmarkEnd w:id="221"/>
      <w:bookmarkEnd w:id="222"/>
      <w:bookmarkEnd w:id="223"/>
      <w:r>
        <w:rPr>
          <w:rFonts w:eastAsia="黑体"/>
          <w:kern w:val="0"/>
          <w:szCs w:val="21"/>
        </w:rPr>
        <w:t>菌株信息</w:t>
      </w:r>
    </w:p>
    <w:bookmarkEnd w:id="219"/>
    <w:bookmarkEnd w:id="220"/>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4"/>
        <w:gridCol w:w="2363"/>
        <w:gridCol w:w="2434"/>
        <w:gridCol w:w="2503"/>
      </w:tblGrid>
      <w:tr w14:paraId="6EE906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4" w:type="dxa"/>
            <w:tcBorders>
              <w:top w:val="single" w:color="auto" w:sz="4" w:space="0"/>
              <w:bottom w:val="single" w:color="auto" w:sz="4" w:space="0"/>
            </w:tcBorders>
            <w:noWrap w:val="0"/>
            <w:vAlign w:val="center"/>
          </w:tcPr>
          <w:p w14:paraId="613AB455">
            <w:pPr>
              <w:spacing w:line="300" w:lineRule="auto"/>
              <w:jc w:val="center"/>
              <w:rPr>
                <w:rFonts w:ascii="Times New Roman" w:hAnsi="Times New Roman"/>
                <w:color w:val="000000"/>
                <w:szCs w:val="21"/>
              </w:rPr>
            </w:pPr>
            <w:r>
              <w:rPr>
                <w:rFonts w:ascii="Times New Roman" w:hAnsi="Times New Roman"/>
                <w:color w:val="000000"/>
                <w:szCs w:val="21"/>
              </w:rPr>
              <w:t>序号</w:t>
            </w:r>
          </w:p>
        </w:tc>
        <w:tc>
          <w:tcPr>
            <w:tcW w:w="2363" w:type="dxa"/>
            <w:tcBorders>
              <w:top w:val="single" w:color="auto" w:sz="4" w:space="0"/>
              <w:bottom w:val="single" w:color="auto" w:sz="4" w:space="0"/>
            </w:tcBorders>
            <w:noWrap w:val="0"/>
            <w:vAlign w:val="center"/>
          </w:tcPr>
          <w:p w14:paraId="045F1EB9">
            <w:pPr>
              <w:spacing w:line="300" w:lineRule="auto"/>
              <w:jc w:val="center"/>
              <w:rPr>
                <w:rFonts w:ascii="Times New Roman" w:hAnsi="Times New Roman"/>
                <w:color w:val="000000"/>
                <w:szCs w:val="21"/>
              </w:rPr>
            </w:pPr>
            <w:r>
              <w:rPr>
                <w:rFonts w:ascii="Times New Roman" w:hAnsi="Times New Roman"/>
                <w:color w:val="000000"/>
                <w:szCs w:val="21"/>
              </w:rPr>
              <w:t>检验项目</w:t>
            </w:r>
          </w:p>
        </w:tc>
        <w:tc>
          <w:tcPr>
            <w:tcW w:w="2434" w:type="dxa"/>
            <w:tcBorders>
              <w:top w:val="single" w:color="auto" w:sz="4" w:space="0"/>
              <w:bottom w:val="single" w:color="auto" w:sz="4" w:space="0"/>
            </w:tcBorders>
            <w:noWrap w:val="0"/>
            <w:vAlign w:val="center"/>
          </w:tcPr>
          <w:p w14:paraId="55063446">
            <w:pPr>
              <w:spacing w:line="300" w:lineRule="auto"/>
              <w:jc w:val="center"/>
              <w:rPr>
                <w:rFonts w:ascii="Times New Roman" w:hAnsi="Times New Roman"/>
                <w:color w:val="000000"/>
                <w:szCs w:val="21"/>
              </w:rPr>
            </w:pPr>
            <w:r>
              <w:rPr>
                <w:rFonts w:ascii="Times New Roman" w:hAnsi="Times New Roman"/>
                <w:color w:val="000000"/>
                <w:szCs w:val="21"/>
              </w:rPr>
              <w:t>种属名称</w:t>
            </w:r>
          </w:p>
        </w:tc>
        <w:tc>
          <w:tcPr>
            <w:tcW w:w="2503" w:type="dxa"/>
            <w:tcBorders>
              <w:top w:val="single" w:color="auto" w:sz="4" w:space="0"/>
              <w:bottom w:val="single" w:color="auto" w:sz="4" w:space="0"/>
            </w:tcBorders>
            <w:noWrap w:val="0"/>
            <w:vAlign w:val="center"/>
          </w:tcPr>
          <w:p w14:paraId="60A8DE8A">
            <w:pPr>
              <w:spacing w:line="300" w:lineRule="auto"/>
              <w:jc w:val="center"/>
              <w:rPr>
                <w:rFonts w:ascii="Times New Roman" w:hAnsi="Times New Roman"/>
                <w:color w:val="000000"/>
                <w:szCs w:val="21"/>
              </w:rPr>
            </w:pPr>
            <w:r>
              <w:rPr>
                <w:rFonts w:ascii="Times New Roman" w:hAnsi="Times New Roman"/>
                <w:color w:val="000000"/>
                <w:szCs w:val="21"/>
              </w:rPr>
              <w:t>菌株编号*</w:t>
            </w:r>
          </w:p>
        </w:tc>
      </w:tr>
      <w:tr w14:paraId="0E93AD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34" w:type="dxa"/>
            <w:vMerge w:val="restart"/>
            <w:tcBorders>
              <w:top w:val="single" w:color="auto" w:sz="4" w:space="0"/>
            </w:tcBorders>
            <w:noWrap w:val="0"/>
            <w:vAlign w:val="center"/>
          </w:tcPr>
          <w:p w14:paraId="3EF23CA2">
            <w:pPr>
              <w:spacing w:line="300" w:lineRule="auto"/>
              <w:jc w:val="center"/>
              <w:rPr>
                <w:rFonts w:ascii="Times New Roman" w:hAnsi="Times New Roman"/>
                <w:color w:val="000000"/>
                <w:szCs w:val="21"/>
              </w:rPr>
            </w:pPr>
            <w:r>
              <w:rPr>
                <w:rFonts w:ascii="Times New Roman" w:hAnsi="Times New Roman"/>
                <w:color w:val="000000"/>
                <w:szCs w:val="21"/>
              </w:rPr>
              <w:t>1</w:t>
            </w:r>
          </w:p>
        </w:tc>
        <w:tc>
          <w:tcPr>
            <w:tcW w:w="2363" w:type="dxa"/>
            <w:vMerge w:val="restart"/>
            <w:tcBorders>
              <w:top w:val="single" w:color="auto" w:sz="4" w:space="0"/>
            </w:tcBorders>
            <w:noWrap w:val="0"/>
            <w:vAlign w:val="center"/>
          </w:tcPr>
          <w:p w14:paraId="19AC9DF0">
            <w:pPr>
              <w:spacing w:line="300" w:lineRule="auto"/>
              <w:jc w:val="center"/>
              <w:rPr>
                <w:rFonts w:ascii="Times New Roman" w:hAnsi="Times New Roman"/>
                <w:color w:val="000000"/>
                <w:szCs w:val="21"/>
              </w:rPr>
            </w:pPr>
            <w:r>
              <w:rPr>
                <w:rFonts w:ascii="Times New Roman" w:hAnsi="Times New Roman"/>
                <w:color w:val="000000"/>
                <w:szCs w:val="21"/>
              </w:rPr>
              <w:t>菌落总数</w:t>
            </w:r>
          </w:p>
        </w:tc>
        <w:tc>
          <w:tcPr>
            <w:tcW w:w="2434" w:type="dxa"/>
            <w:tcBorders>
              <w:top w:val="single" w:color="auto" w:sz="4" w:space="0"/>
            </w:tcBorders>
            <w:noWrap w:val="0"/>
            <w:vAlign w:val="center"/>
          </w:tcPr>
          <w:p w14:paraId="4D0757FD">
            <w:pPr>
              <w:spacing w:line="300" w:lineRule="auto"/>
              <w:jc w:val="center"/>
              <w:rPr>
                <w:rFonts w:ascii="Times New Roman" w:hAnsi="Times New Roman"/>
                <w:color w:val="000000"/>
                <w:szCs w:val="21"/>
              </w:rPr>
            </w:pPr>
            <w:r>
              <w:rPr>
                <w:rFonts w:ascii="Times New Roman" w:hAnsi="Times New Roman"/>
                <w:color w:val="000000"/>
                <w:szCs w:val="21"/>
              </w:rPr>
              <w:t>大肠埃希氏菌</w:t>
            </w:r>
          </w:p>
        </w:tc>
        <w:tc>
          <w:tcPr>
            <w:tcW w:w="2503" w:type="dxa"/>
            <w:tcBorders>
              <w:top w:val="single" w:color="auto" w:sz="4" w:space="0"/>
            </w:tcBorders>
            <w:noWrap w:val="0"/>
            <w:vAlign w:val="center"/>
          </w:tcPr>
          <w:p w14:paraId="72146435">
            <w:pPr>
              <w:spacing w:line="300" w:lineRule="auto"/>
              <w:jc w:val="center"/>
              <w:rPr>
                <w:rFonts w:ascii="Times New Roman" w:hAnsi="Times New Roman"/>
                <w:color w:val="000000"/>
                <w:szCs w:val="21"/>
              </w:rPr>
            </w:pPr>
            <w:r>
              <w:rPr>
                <w:rFonts w:ascii="Times New Roman" w:hAnsi="Times New Roman"/>
                <w:color w:val="000000"/>
                <w:szCs w:val="21"/>
              </w:rPr>
              <w:t>CMCC(B)44102</w:t>
            </w:r>
          </w:p>
        </w:tc>
      </w:tr>
      <w:tr w14:paraId="022F37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34" w:type="dxa"/>
            <w:vMerge w:val="continue"/>
            <w:noWrap w:val="0"/>
            <w:vAlign w:val="center"/>
          </w:tcPr>
          <w:p w14:paraId="6DF2DE81">
            <w:pPr>
              <w:spacing w:line="300" w:lineRule="auto"/>
              <w:jc w:val="center"/>
              <w:rPr>
                <w:rFonts w:ascii="Times New Roman" w:hAnsi="Times New Roman"/>
                <w:color w:val="000000"/>
                <w:szCs w:val="21"/>
              </w:rPr>
            </w:pPr>
          </w:p>
        </w:tc>
        <w:tc>
          <w:tcPr>
            <w:tcW w:w="2363" w:type="dxa"/>
            <w:vMerge w:val="continue"/>
            <w:noWrap w:val="0"/>
            <w:vAlign w:val="center"/>
          </w:tcPr>
          <w:p w14:paraId="7A0F5F21">
            <w:pPr>
              <w:spacing w:line="300" w:lineRule="auto"/>
              <w:jc w:val="center"/>
              <w:rPr>
                <w:rFonts w:ascii="Times New Roman" w:hAnsi="Times New Roman"/>
                <w:color w:val="000000"/>
                <w:szCs w:val="21"/>
              </w:rPr>
            </w:pPr>
          </w:p>
        </w:tc>
        <w:tc>
          <w:tcPr>
            <w:tcW w:w="2434" w:type="dxa"/>
            <w:noWrap w:val="0"/>
            <w:vAlign w:val="center"/>
          </w:tcPr>
          <w:p w14:paraId="3C72A2F5">
            <w:pPr>
              <w:spacing w:line="300" w:lineRule="auto"/>
              <w:jc w:val="center"/>
              <w:rPr>
                <w:rFonts w:ascii="Times New Roman" w:hAnsi="Times New Roman"/>
                <w:color w:val="000000"/>
                <w:szCs w:val="21"/>
              </w:rPr>
            </w:pPr>
            <w:r>
              <w:rPr>
                <w:rFonts w:ascii="Times New Roman" w:hAnsi="Times New Roman"/>
                <w:color w:val="000000"/>
                <w:szCs w:val="21"/>
              </w:rPr>
              <w:t>金黄色葡萄球菌</w:t>
            </w:r>
          </w:p>
        </w:tc>
        <w:tc>
          <w:tcPr>
            <w:tcW w:w="2503" w:type="dxa"/>
            <w:noWrap w:val="0"/>
            <w:vAlign w:val="center"/>
          </w:tcPr>
          <w:p w14:paraId="64626FD3">
            <w:pPr>
              <w:spacing w:line="300" w:lineRule="auto"/>
              <w:jc w:val="center"/>
              <w:rPr>
                <w:rFonts w:ascii="Times New Roman" w:hAnsi="Times New Roman"/>
                <w:color w:val="000000"/>
                <w:szCs w:val="21"/>
              </w:rPr>
            </w:pPr>
            <w:r>
              <w:rPr>
                <w:rFonts w:ascii="Times New Roman" w:hAnsi="Times New Roman"/>
                <w:color w:val="000000"/>
                <w:szCs w:val="21"/>
              </w:rPr>
              <w:t>CMCC(B)26003</w:t>
            </w:r>
          </w:p>
        </w:tc>
      </w:tr>
      <w:tr w14:paraId="75566B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34" w:type="dxa"/>
            <w:vMerge w:val="continue"/>
            <w:noWrap w:val="0"/>
            <w:vAlign w:val="center"/>
          </w:tcPr>
          <w:p w14:paraId="1BE58D60">
            <w:pPr>
              <w:spacing w:line="300" w:lineRule="auto"/>
              <w:jc w:val="center"/>
              <w:rPr>
                <w:rFonts w:ascii="Times New Roman" w:hAnsi="Times New Roman"/>
                <w:color w:val="000000"/>
                <w:szCs w:val="21"/>
              </w:rPr>
            </w:pPr>
          </w:p>
        </w:tc>
        <w:tc>
          <w:tcPr>
            <w:tcW w:w="2363" w:type="dxa"/>
            <w:vMerge w:val="continue"/>
            <w:noWrap w:val="0"/>
            <w:vAlign w:val="center"/>
          </w:tcPr>
          <w:p w14:paraId="429AA0EC">
            <w:pPr>
              <w:spacing w:line="300" w:lineRule="auto"/>
              <w:jc w:val="center"/>
              <w:rPr>
                <w:rFonts w:ascii="Times New Roman" w:hAnsi="Times New Roman"/>
                <w:color w:val="000000"/>
                <w:szCs w:val="21"/>
              </w:rPr>
            </w:pPr>
          </w:p>
        </w:tc>
        <w:tc>
          <w:tcPr>
            <w:tcW w:w="2434" w:type="dxa"/>
            <w:noWrap w:val="0"/>
            <w:vAlign w:val="center"/>
          </w:tcPr>
          <w:p w14:paraId="1D316991">
            <w:pPr>
              <w:spacing w:line="300" w:lineRule="auto"/>
              <w:jc w:val="center"/>
              <w:rPr>
                <w:rFonts w:ascii="Times New Roman" w:hAnsi="Times New Roman"/>
                <w:color w:val="000000"/>
                <w:szCs w:val="21"/>
              </w:rPr>
            </w:pPr>
            <w:r>
              <w:rPr>
                <w:rFonts w:ascii="Times New Roman" w:hAnsi="Times New Roman"/>
                <w:color w:val="000000"/>
                <w:szCs w:val="21"/>
              </w:rPr>
              <w:t>枯草芽孢杆菌</w:t>
            </w:r>
          </w:p>
        </w:tc>
        <w:tc>
          <w:tcPr>
            <w:tcW w:w="2503" w:type="dxa"/>
            <w:noWrap w:val="0"/>
            <w:vAlign w:val="center"/>
          </w:tcPr>
          <w:p w14:paraId="01E86151">
            <w:pPr>
              <w:spacing w:line="300" w:lineRule="auto"/>
              <w:jc w:val="center"/>
              <w:rPr>
                <w:rFonts w:ascii="Times New Roman" w:hAnsi="Times New Roman"/>
                <w:color w:val="000000"/>
                <w:szCs w:val="21"/>
              </w:rPr>
            </w:pPr>
            <w:r>
              <w:rPr>
                <w:rFonts w:ascii="Times New Roman" w:hAnsi="Times New Roman"/>
                <w:color w:val="000000"/>
                <w:szCs w:val="21"/>
              </w:rPr>
              <w:t>CMCC(B)63501</w:t>
            </w:r>
          </w:p>
        </w:tc>
      </w:tr>
      <w:tr w14:paraId="148EAB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34" w:type="dxa"/>
            <w:noWrap w:val="0"/>
            <w:vAlign w:val="center"/>
          </w:tcPr>
          <w:p w14:paraId="39E8D73E">
            <w:pPr>
              <w:spacing w:line="300" w:lineRule="auto"/>
              <w:jc w:val="center"/>
              <w:rPr>
                <w:rFonts w:ascii="Times New Roman" w:hAnsi="Times New Roman"/>
                <w:color w:val="000000"/>
                <w:szCs w:val="21"/>
              </w:rPr>
            </w:pPr>
            <w:r>
              <w:rPr>
                <w:rFonts w:ascii="Times New Roman" w:hAnsi="Times New Roman"/>
                <w:color w:val="000000"/>
                <w:szCs w:val="21"/>
              </w:rPr>
              <w:t>2</w:t>
            </w:r>
          </w:p>
        </w:tc>
        <w:tc>
          <w:tcPr>
            <w:tcW w:w="2363" w:type="dxa"/>
            <w:noWrap w:val="0"/>
            <w:vAlign w:val="center"/>
          </w:tcPr>
          <w:p w14:paraId="25548274">
            <w:pPr>
              <w:spacing w:line="300" w:lineRule="auto"/>
              <w:jc w:val="center"/>
              <w:rPr>
                <w:rFonts w:ascii="Times New Roman" w:hAnsi="Times New Roman"/>
                <w:color w:val="000000"/>
                <w:szCs w:val="21"/>
              </w:rPr>
            </w:pPr>
            <w:r>
              <w:rPr>
                <w:rFonts w:ascii="Times New Roman" w:hAnsi="Times New Roman"/>
                <w:color w:val="000000"/>
                <w:szCs w:val="21"/>
              </w:rPr>
              <w:t>耐热大肠菌群</w:t>
            </w:r>
          </w:p>
        </w:tc>
        <w:tc>
          <w:tcPr>
            <w:tcW w:w="2434" w:type="dxa"/>
            <w:noWrap w:val="0"/>
            <w:vAlign w:val="center"/>
          </w:tcPr>
          <w:p w14:paraId="39DC3376">
            <w:pPr>
              <w:spacing w:line="300" w:lineRule="auto"/>
              <w:jc w:val="center"/>
              <w:rPr>
                <w:rFonts w:ascii="Times New Roman" w:hAnsi="Times New Roman"/>
                <w:color w:val="000000"/>
                <w:szCs w:val="21"/>
              </w:rPr>
            </w:pPr>
            <w:r>
              <w:rPr>
                <w:rFonts w:ascii="Times New Roman" w:hAnsi="Times New Roman"/>
                <w:color w:val="000000"/>
                <w:szCs w:val="21"/>
              </w:rPr>
              <w:t>大肠埃希氏菌</w:t>
            </w:r>
          </w:p>
        </w:tc>
        <w:tc>
          <w:tcPr>
            <w:tcW w:w="2503" w:type="dxa"/>
            <w:noWrap w:val="0"/>
            <w:vAlign w:val="center"/>
          </w:tcPr>
          <w:p w14:paraId="7CB65005">
            <w:pPr>
              <w:spacing w:line="300" w:lineRule="auto"/>
              <w:jc w:val="center"/>
              <w:rPr>
                <w:rFonts w:ascii="Times New Roman" w:hAnsi="Times New Roman"/>
                <w:color w:val="000000"/>
                <w:szCs w:val="21"/>
              </w:rPr>
            </w:pPr>
            <w:r>
              <w:rPr>
                <w:rFonts w:ascii="Times New Roman" w:hAnsi="Times New Roman"/>
                <w:color w:val="000000"/>
                <w:szCs w:val="21"/>
              </w:rPr>
              <w:t>CMCC(B)44102</w:t>
            </w:r>
          </w:p>
        </w:tc>
      </w:tr>
      <w:tr w14:paraId="37DCBE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34" w:type="dxa"/>
            <w:noWrap w:val="0"/>
            <w:vAlign w:val="center"/>
          </w:tcPr>
          <w:p w14:paraId="05043A4B">
            <w:pPr>
              <w:spacing w:line="300" w:lineRule="auto"/>
              <w:jc w:val="center"/>
              <w:rPr>
                <w:rFonts w:ascii="Times New Roman" w:hAnsi="Times New Roman"/>
                <w:color w:val="000000"/>
                <w:szCs w:val="21"/>
              </w:rPr>
            </w:pPr>
            <w:r>
              <w:rPr>
                <w:rFonts w:ascii="Times New Roman" w:hAnsi="Times New Roman"/>
                <w:color w:val="000000"/>
                <w:szCs w:val="21"/>
              </w:rPr>
              <w:t>3</w:t>
            </w:r>
          </w:p>
        </w:tc>
        <w:tc>
          <w:tcPr>
            <w:tcW w:w="2363" w:type="dxa"/>
            <w:noWrap w:val="0"/>
            <w:vAlign w:val="center"/>
          </w:tcPr>
          <w:p w14:paraId="200000C3">
            <w:pPr>
              <w:spacing w:line="300" w:lineRule="auto"/>
              <w:jc w:val="center"/>
              <w:rPr>
                <w:rFonts w:ascii="Times New Roman" w:hAnsi="Times New Roman"/>
                <w:color w:val="000000"/>
                <w:szCs w:val="21"/>
              </w:rPr>
            </w:pPr>
            <w:r>
              <w:rPr>
                <w:rFonts w:ascii="Times New Roman" w:hAnsi="Times New Roman"/>
                <w:color w:val="000000"/>
                <w:szCs w:val="21"/>
              </w:rPr>
              <w:t>金黄色葡萄球菌</w:t>
            </w:r>
          </w:p>
        </w:tc>
        <w:tc>
          <w:tcPr>
            <w:tcW w:w="2434" w:type="dxa"/>
            <w:noWrap w:val="0"/>
            <w:vAlign w:val="center"/>
          </w:tcPr>
          <w:p w14:paraId="4A8D06EE">
            <w:pPr>
              <w:spacing w:line="300" w:lineRule="auto"/>
              <w:jc w:val="center"/>
              <w:rPr>
                <w:rFonts w:ascii="Times New Roman" w:hAnsi="Times New Roman"/>
                <w:color w:val="000000"/>
                <w:szCs w:val="21"/>
              </w:rPr>
            </w:pPr>
            <w:r>
              <w:rPr>
                <w:rFonts w:ascii="Times New Roman" w:hAnsi="Times New Roman"/>
                <w:color w:val="000000"/>
                <w:szCs w:val="21"/>
              </w:rPr>
              <w:t>金黄色葡萄球菌</w:t>
            </w:r>
          </w:p>
        </w:tc>
        <w:tc>
          <w:tcPr>
            <w:tcW w:w="2503" w:type="dxa"/>
            <w:noWrap w:val="0"/>
            <w:vAlign w:val="center"/>
          </w:tcPr>
          <w:p w14:paraId="28B09698">
            <w:pPr>
              <w:spacing w:line="300" w:lineRule="auto"/>
              <w:jc w:val="center"/>
              <w:rPr>
                <w:rFonts w:ascii="Times New Roman" w:hAnsi="Times New Roman"/>
                <w:color w:val="000000"/>
                <w:szCs w:val="21"/>
              </w:rPr>
            </w:pPr>
            <w:r>
              <w:rPr>
                <w:rFonts w:ascii="Times New Roman" w:hAnsi="Times New Roman"/>
                <w:color w:val="000000"/>
                <w:szCs w:val="21"/>
              </w:rPr>
              <w:t>CMCC(B)26003</w:t>
            </w:r>
          </w:p>
        </w:tc>
      </w:tr>
      <w:tr w14:paraId="10867C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34" w:type="dxa"/>
            <w:noWrap w:val="0"/>
            <w:vAlign w:val="center"/>
          </w:tcPr>
          <w:p w14:paraId="06999727">
            <w:pPr>
              <w:spacing w:line="300" w:lineRule="auto"/>
              <w:jc w:val="center"/>
              <w:rPr>
                <w:rFonts w:ascii="Times New Roman" w:hAnsi="Times New Roman"/>
                <w:color w:val="000000"/>
                <w:szCs w:val="21"/>
              </w:rPr>
            </w:pPr>
            <w:r>
              <w:rPr>
                <w:rFonts w:ascii="Times New Roman" w:hAnsi="Times New Roman"/>
                <w:color w:val="000000"/>
                <w:szCs w:val="21"/>
              </w:rPr>
              <w:t>4</w:t>
            </w:r>
          </w:p>
        </w:tc>
        <w:tc>
          <w:tcPr>
            <w:tcW w:w="2363" w:type="dxa"/>
            <w:noWrap w:val="0"/>
            <w:vAlign w:val="center"/>
          </w:tcPr>
          <w:p w14:paraId="1C6D31DC">
            <w:pPr>
              <w:spacing w:line="300" w:lineRule="auto"/>
              <w:jc w:val="center"/>
              <w:rPr>
                <w:rFonts w:ascii="Times New Roman" w:hAnsi="Times New Roman"/>
                <w:color w:val="000000"/>
                <w:szCs w:val="21"/>
              </w:rPr>
            </w:pPr>
            <w:r>
              <w:rPr>
                <w:rFonts w:ascii="Times New Roman" w:hAnsi="Times New Roman"/>
                <w:color w:val="000000"/>
                <w:szCs w:val="21"/>
              </w:rPr>
              <w:t>铜绿假单胞菌</w:t>
            </w:r>
          </w:p>
        </w:tc>
        <w:tc>
          <w:tcPr>
            <w:tcW w:w="2434" w:type="dxa"/>
            <w:noWrap w:val="0"/>
            <w:vAlign w:val="center"/>
          </w:tcPr>
          <w:p w14:paraId="3420F7EF">
            <w:pPr>
              <w:spacing w:line="300" w:lineRule="auto"/>
              <w:jc w:val="center"/>
              <w:rPr>
                <w:rFonts w:ascii="Times New Roman" w:hAnsi="Times New Roman"/>
                <w:color w:val="000000"/>
                <w:szCs w:val="21"/>
              </w:rPr>
            </w:pPr>
            <w:r>
              <w:rPr>
                <w:rFonts w:ascii="Times New Roman" w:hAnsi="Times New Roman"/>
                <w:color w:val="000000"/>
                <w:szCs w:val="21"/>
              </w:rPr>
              <w:t>铜绿假单胞菌</w:t>
            </w:r>
          </w:p>
        </w:tc>
        <w:tc>
          <w:tcPr>
            <w:tcW w:w="2503" w:type="dxa"/>
            <w:noWrap w:val="0"/>
            <w:vAlign w:val="center"/>
          </w:tcPr>
          <w:p w14:paraId="5AF5B45C">
            <w:pPr>
              <w:spacing w:line="300" w:lineRule="auto"/>
              <w:jc w:val="center"/>
              <w:rPr>
                <w:rFonts w:ascii="Times New Roman" w:hAnsi="Times New Roman"/>
                <w:color w:val="000000"/>
                <w:szCs w:val="21"/>
              </w:rPr>
            </w:pPr>
            <w:r>
              <w:rPr>
                <w:rFonts w:ascii="Times New Roman" w:hAnsi="Times New Roman"/>
                <w:color w:val="000000"/>
                <w:szCs w:val="21"/>
              </w:rPr>
              <w:t>CMCC(B)10104</w:t>
            </w:r>
          </w:p>
        </w:tc>
      </w:tr>
      <w:tr w14:paraId="491E35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34" w:type="dxa"/>
            <w:vMerge w:val="restart"/>
            <w:noWrap w:val="0"/>
            <w:vAlign w:val="center"/>
          </w:tcPr>
          <w:p w14:paraId="21A15960">
            <w:pPr>
              <w:spacing w:line="300" w:lineRule="auto"/>
              <w:jc w:val="center"/>
              <w:rPr>
                <w:rFonts w:ascii="Times New Roman" w:hAnsi="Times New Roman"/>
                <w:color w:val="000000"/>
                <w:szCs w:val="21"/>
              </w:rPr>
            </w:pPr>
            <w:r>
              <w:rPr>
                <w:rFonts w:ascii="Times New Roman" w:hAnsi="Times New Roman"/>
                <w:color w:val="000000"/>
                <w:szCs w:val="21"/>
              </w:rPr>
              <w:t>5</w:t>
            </w:r>
          </w:p>
        </w:tc>
        <w:tc>
          <w:tcPr>
            <w:tcW w:w="2363" w:type="dxa"/>
            <w:vMerge w:val="restart"/>
            <w:noWrap w:val="0"/>
            <w:vAlign w:val="center"/>
          </w:tcPr>
          <w:p w14:paraId="2AE79B54">
            <w:pPr>
              <w:spacing w:line="300" w:lineRule="auto"/>
              <w:jc w:val="center"/>
              <w:rPr>
                <w:rFonts w:ascii="Times New Roman" w:hAnsi="Times New Roman"/>
                <w:color w:val="000000"/>
                <w:szCs w:val="21"/>
              </w:rPr>
            </w:pPr>
            <w:r>
              <w:rPr>
                <w:rFonts w:ascii="Times New Roman" w:hAnsi="Times New Roman"/>
                <w:color w:val="000000"/>
                <w:szCs w:val="21"/>
              </w:rPr>
              <w:t>霉菌和酵母菌</w:t>
            </w:r>
          </w:p>
        </w:tc>
        <w:tc>
          <w:tcPr>
            <w:tcW w:w="2434" w:type="dxa"/>
            <w:noWrap w:val="0"/>
            <w:vAlign w:val="center"/>
          </w:tcPr>
          <w:p w14:paraId="7A2E3F24">
            <w:pPr>
              <w:spacing w:line="300" w:lineRule="auto"/>
              <w:jc w:val="center"/>
              <w:rPr>
                <w:rFonts w:ascii="Times New Roman" w:hAnsi="Times New Roman"/>
                <w:color w:val="000000"/>
                <w:szCs w:val="21"/>
              </w:rPr>
            </w:pPr>
            <w:r>
              <w:rPr>
                <w:rFonts w:ascii="Times New Roman" w:hAnsi="Times New Roman"/>
                <w:color w:val="000000"/>
                <w:szCs w:val="21"/>
              </w:rPr>
              <w:t>白色念珠菌</w:t>
            </w:r>
          </w:p>
        </w:tc>
        <w:tc>
          <w:tcPr>
            <w:tcW w:w="2503" w:type="dxa"/>
            <w:noWrap w:val="0"/>
            <w:vAlign w:val="center"/>
          </w:tcPr>
          <w:p w14:paraId="52394975">
            <w:pPr>
              <w:spacing w:line="300" w:lineRule="auto"/>
              <w:jc w:val="center"/>
              <w:rPr>
                <w:rFonts w:ascii="Times New Roman" w:hAnsi="Times New Roman"/>
                <w:color w:val="000000"/>
                <w:szCs w:val="21"/>
              </w:rPr>
            </w:pPr>
            <w:r>
              <w:rPr>
                <w:rFonts w:ascii="Times New Roman" w:hAnsi="Times New Roman"/>
                <w:color w:val="000000"/>
                <w:szCs w:val="21"/>
              </w:rPr>
              <w:t>CMCC(F)98001</w:t>
            </w:r>
          </w:p>
        </w:tc>
      </w:tr>
      <w:tr w14:paraId="055F79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34" w:type="dxa"/>
            <w:vMerge w:val="continue"/>
            <w:noWrap w:val="0"/>
            <w:vAlign w:val="center"/>
          </w:tcPr>
          <w:p w14:paraId="5D7D001B">
            <w:pPr>
              <w:spacing w:line="300" w:lineRule="auto"/>
              <w:jc w:val="center"/>
              <w:rPr>
                <w:rFonts w:ascii="Times New Roman" w:hAnsi="Times New Roman"/>
                <w:color w:val="000000"/>
                <w:szCs w:val="21"/>
              </w:rPr>
            </w:pPr>
          </w:p>
        </w:tc>
        <w:tc>
          <w:tcPr>
            <w:tcW w:w="2363" w:type="dxa"/>
            <w:vMerge w:val="continue"/>
            <w:noWrap w:val="0"/>
            <w:vAlign w:val="center"/>
          </w:tcPr>
          <w:p w14:paraId="0C936190">
            <w:pPr>
              <w:spacing w:line="300" w:lineRule="auto"/>
              <w:jc w:val="center"/>
              <w:rPr>
                <w:rFonts w:ascii="Times New Roman" w:hAnsi="Times New Roman"/>
                <w:color w:val="000000"/>
                <w:szCs w:val="21"/>
              </w:rPr>
            </w:pPr>
          </w:p>
        </w:tc>
        <w:tc>
          <w:tcPr>
            <w:tcW w:w="2434" w:type="dxa"/>
            <w:noWrap w:val="0"/>
            <w:vAlign w:val="center"/>
          </w:tcPr>
          <w:p w14:paraId="51B3AB87">
            <w:pPr>
              <w:spacing w:line="300" w:lineRule="auto"/>
              <w:jc w:val="center"/>
              <w:rPr>
                <w:rFonts w:ascii="Times New Roman" w:hAnsi="Times New Roman"/>
                <w:color w:val="000000"/>
                <w:szCs w:val="21"/>
              </w:rPr>
            </w:pPr>
            <w:r>
              <w:rPr>
                <w:rFonts w:ascii="Times New Roman" w:hAnsi="Times New Roman"/>
                <w:color w:val="000000"/>
                <w:szCs w:val="21"/>
              </w:rPr>
              <w:t>黑曲霉</w:t>
            </w:r>
          </w:p>
        </w:tc>
        <w:tc>
          <w:tcPr>
            <w:tcW w:w="2503" w:type="dxa"/>
            <w:noWrap w:val="0"/>
            <w:vAlign w:val="center"/>
          </w:tcPr>
          <w:p w14:paraId="73EA81AC">
            <w:pPr>
              <w:spacing w:line="300" w:lineRule="auto"/>
              <w:jc w:val="center"/>
              <w:rPr>
                <w:rFonts w:ascii="Times New Roman" w:hAnsi="Times New Roman"/>
                <w:color w:val="000000"/>
                <w:szCs w:val="21"/>
              </w:rPr>
            </w:pPr>
            <w:r>
              <w:rPr>
                <w:rFonts w:ascii="Times New Roman" w:hAnsi="Times New Roman"/>
                <w:color w:val="000000"/>
                <w:szCs w:val="21"/>
              </w:rPr>
              <w:t>CMCC(F)98003</w:t>
            </w:r>
          </w:p>
        </w:tc>
      </w:tr>
      <w:tr w14:paraId="6A806A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34" w:type="dxa"/>
            <w:vMerge w:val="restart"/>
            <w:noWrap w:val="0"/>
            <w:vAlign w:val="center"/>
          </w:tcPr>
          <w:p w14:paraId="27AC3B47">
            <w:pPr>
              <w:spacing w:line="300" w:lineRule="auto"/>
              <w:jc w:val="center"/>
              <w:rPr>
                <w:rFonts w:ascii="Times New Roman" w:hAnsi="Times New Roman"/>
                <w:color w:val="000000"/>
                <w:szCs w:val="21"/>
              </w:rPr>
            </w:pPr>
            <w:r>
              <w:rPr>
                <w:rFonts w:ascii="Times New Roman" w:hAnsi="Times New Roman"/>
                <w:color w:val="000000"/>
                <w:szCs w:val="21"/>
              </w:rPr>
              <w:t>6</w:t>
            </w:r>
          </w:p>
        </w:tc>
        <w:tc>
          <w:tcPr>
            <w:tcW w:w="2363" w:type="dxa"/>
            <w:vMerge w:val="restart"/>
            <w:noWrap w:val="0"/>
            <w:vAlign w:val="center"/>
          </w:tcPr>
          <w:p w14:paraId="55F98049">
            <w:pPr>
              <w:spacing w:line="300" w:lineRule="auto"/>
              <w:jc w:val="center"/>
              <w:rPr>
                <w:rFonts w:ascii="Times New Roman" w:hAnsi="Times New Roman"/>
                <w:color w:val="000000"/>
                <w:szCs w:val="21"/>
              </w:rPr>
            </w:pPr>
            <w:bookmarkStart w:id="224" w:name="OLE_LINK227"/>
            <w:bookmarkStart w:id="225" w:name="OLE_LINK235"/>
            <w:r>
              <w:rPr>
                <w:rFonts w:ascii="Times New Roman" w:hAnsi="Times New Roman"/>
                <w:color w:val="000000"/>
                <w:szCs w:val="21"/>
              </w:rPr>
              <w:t>洋葱伯克霍尔德菌</w:t>
            </w:r>
            <w:bookmarkEnd w:id="224"/>
            <w:bookmarkEnd w:id="225"/>
            <w:r>
              <w:rPr>
                <w:rFonts w:ascii="Times New Roman" w:hAnsi="Times New Roman"/>
                <w:color w:val="000000"/>
                <w:szCs w:val="21"/>
              </w:rPr>
              <w:t>群</w:t>
            </w:r>
          </w:p>
        </w:tc>
        <w:tc>
          <w:tcPr>
            <w:tcW w:w="2434" w:type="dxa"/>
            <w:noWrap w:val="0"/>
            <w:vAlign w:val="center"/>
          </w:tcPr>
          <w:p w14:paraId="5231A059">
            <w:pPr>
              <w:spacing w:line="300" w:lineRule="auto"/>
              <w:jc w:val="center"/>
              <w:rPr>
                <w:rFonts w:ascii="Times New Roman" w:hAnsi="Times New Roman"/>
                <w:color w:val="000000"/>
                <w:szCs w:val="21"/>
              </w:rPr>
            </w:pPr>
            <w:r>
              <w:rPr>
                <w:rFonts w:ascii="Times New Roman" w:hAnsi="Times New Roman"/>
                <w:color w:val="000000"/>
                <w:szCs w:val="21"/>
              </w:rPr>
              <w:t>洋葱伯克霍尔德菌</w:t>
            </w:r>
          </w:p>
        </w:tc>
        <w:tc>
          <w:tcPr>
            <w:tcW w:w="2503" w:type="dxa"/>
            <w:noWrap w:val="0"/>
            <w:vAlign w:val="center"/>
          </w:tcPr>
          <w:p w14:paraId="369AF52E">
            <w:pPr>
              <w:spacing w:line="300" w:lineRule="auto"/>
              <w:jc w:val="center"/>
              <w:rPr>
                <w:rFonts w:ascii="Times New Roman" w:hAnsi="Times New Roman"/>
                <w:color w:val="000000"/>
                <w:szCs w:val="21"/>
              </w:rPr>
            </w:pPr>
            <w:r>
              <w:rPr>
                <w:rFonts w:ascii="Times New Roman" w:hAnsi="Times New Roman"/>
                <w:color w:val="000000"/>
                <w:szCs w:val="21"/>
              </w:rPr>
              <w:t>CMCC(B)23015</w:t>
            </w:r>
          </w:p>
        </w:tc>
      </w:tr>
      <w:tr w14:paraId="550965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34" w:type="dxa"/>
            <w:vMerge w:val="continue"/>
            <w:noWrap w:val="0"/>
            <w:vAlign w:val="center"/>
          </w:tcPr>
          <w:p w14:paraId="2C40316E">
            <w:pPr>
              <w:spacing w:line="300" w:lineRule="auto"/>
              <w:jc w:val="center"/>
              <w:rPr>
                <w:rFonts w:ascii="Times New Roman" w:hAnsi="Times New Roman"/>
                <w:color w:val="000000"/>
                <w:szCs w:val="21"/>
              </w:rPr>
            </w:pPr>
          </w:p>
        </w:tc>
        <w:tc>
          <w:tcPr>
            <w:tcW w:w="2363" w:type="dxa"/>
            <w:vMerge w:val="continue"/>
            <w:noWrap w:val="0"/>
            <w:vAlign w:val="center"/>
          </w:tcPr>
          <w:p w14:paraId="22692011">
            <w:pPr>
              <w:spacing w:line="300" w:lineRule="auto"/>
              <w:jc w:val="center"/>
              <w:rPr>
                <w:rFonts w:ascii="Times New Roman" w:hAnsi="Times New Roman"/>
                <w:color w:val="000000"/>
                <w:szCs w:val="21"/>
              </w:rPr>
            </w:pPr>
          </w:p>
        </w:tc>
        <w:tc>
          <w:tcPr>
            <w:tcW w:w="2434" w:type="dxa"/>
            <w:noWrap w:val="0"/>
            <w:vAlign w:val="center"/>
          </w:tcPr>
          <w:p w14:paraId="0034CE21">
            <w:pPr>
              <w:spacing w:line="300" w:lineRule="auto"/>
              <w:jc w:val="center"/>
              <w:rPr>
                <w:rFonts w:ascii="Times New Roman" w:hAnsi="Times New Roman"/>
                <w:color w:val="000000"/>
                <w:szCs w:val="21"/>
              </w:rPr>
            </w:pPr>
            <w:r>
              <w:rPr>
                <w:rFonts w:ascii="Times New Roman" w:hAnsi="Times New Roman"/>
                <w:color w:val="000000"/>
                <w:szCs w:val="21"/>
              </w:rPr>
              <w:t>新洋葱伯克霍尔德菌</w:t>
            </w:r>
          </w:p>
        </w:tc>
        <w:tc>
          <w:tcPr>
            <w:tcW w:w="2503" w:type="dxa"/>
            <w:noWrap w:val="0"/>
            <w:vAlign w:val="center"/>
          </w:tcPr>
          <w:p w14:paraId="2C608D93">
            <w:pPr>
              <w:spacing w:line="300" w:lineRule="auto"/>
              <w:jc w:val="center"/>
              <w:rPr>
                <w:rFonts w:ascii="Times New Roman" w:hAnsi="Times New Roman"/>
                <w:color w:val="000000"/>
                <w:szCs w:val="21"/>
              </w:rPr>
            </w:pPr>
            <w:r>
              <w:rPr>
                <w:rFonts w:ascii="Times New Roman" w:hAnsi="Times New Roman"/>
                <w:color w:val="000000"/>
                <w:szCs w:val="21"/>
              </w:rPr>
              <w:t>CMCC(B)23014</w:t>
            </w:r>
          </w:p>
        </w:tc>
      </w:tr>
    </w:tbl>
    <w:p w14:paraId="636EBC67">
      <w:pPr>
        <w:spacing w:line="300" w:lineRule="auto"/>
        <w:rPr>
          <w:rFonts w:ascii="Times New Roman" w:hAnsi="Times New Roman"/>
          <w:szCs w:val="21"/>
        </w:rPr>
      </w:pPr>
      <w:r>
        <w:rPr>
          <w:rFonts w:hint="eastAsia" w:ascii="Times New Roman" w:hAnsi="Times New Roman"/>
          <w:szCs w:val="21"/>
        </w:rPr>
        <w:t>注：*</w:t>
      </w:r>
      <w:r>
        <w:rPr>
          <w:rFonts w:ascii="Times New Roman" w:hAnsi="Times New Roman"/>
          <w:szCs w:val="21"/>
        </w:rPr>
        <w:t>实验室可使用</w:t>
      </w:r>
      <w:bookmarkStart w:id="226" w:name="OLE_LINK260"/>
      <w:bookmarkStart w:id="227" w:name="OLE_LINK259"/>
      <w:r>
        <w:rPr>
          <w:rFonts w:ascii="Times New Roman" w:hAnsi="Times New Roman"/>
          <w:szCs w:val="21"/>
        </w:rPr>
        <w:t>国际同类</w:t>
      </w:r>
      <w:bookmarkStart w:id="228" w:name="OLE_LINK258"/>
      <w:bookmarkStart w:id="229" w:name="OLE_LINK257"/>
      <w:r>
        <w:rPr>
          <w:rFonts w:ascii="Times New Roman" w:hAnsi="Times New Roman"/>
          <w:szCs w:val="21"/>
        </w:rPr>
        <w:t>标准中推荐</w:t>
      </w:r>
      <w:bookmarkEnd w:id="228"/>
      <w:bookmarkEnd w:id="229"/>
      <w:r>
        <w:rPr>
          <w:rFonts w:ascii="Times New Roman" w:hAnsi="Times New Roman"/>
          <w:szCs w:val="21"/>
        </w:rPr>
        <w:t>的标准菌</w:t>
      </w:r>
      <w:bookmarkEnd w:id="226"/>
      <w:bookmarkEnd w:id="227"/>
      <w:r>
        <w:rPr>
          <w:rFonts w:ascii="Times New Roman" w:hAnsi="Times New Roman"/>
          <w:szCs w:val="21"/>
        </w:rPr>
        <w:t>种开展方法</w:t>
      </w:r>
      <w:r>
        <w:rPr>
          <w:rFonts w:hint="eastAsia" w:ascii="Times New Roman" w:hAnsi="Times New Roman"/>
          <w:szCs w:val="21"/>
        </w:rPr>
        <w:t>适用性试验。</w:t>
      </w:r>
    </w:p>
    <w:p w14:paraId="2B2F4829">
      <w:pPr>
        <w:pStyle w:val="3"/>
        <w:spacing w:before="159" w:beforeLines="50" w:after="159" w:afterLines="50" w:line="300" w:lineRule="auto"/>
        <w:ind w:left="0" w:leftChars="0" w:firstLine="0" w:firstLineChars="0"/>
      </w:pPr>
      <w:r>
        <w:rPr>
          <w:rFonts w:hint="eastAsia"/>
        </w:rPr>
        <w:t>E.2  检液的制备</w:t>
      </w:r>
    </w:p>
    <w:p w14:paraId="65EDAE35">
      <w:pPr>
        <w:pStyle w:val="3"/>
        <w:spacing w:after="0" w:line="300" w:lineRule="auto"/>
        <w:ind w:left="0" w:leftChars="0" w:firstLine="437"/>
      </w:pPr>
      <w:r>
        <w:rPr>
          <w:rFonts w:hint="eastAsia"/>
        </w:rPr>
        <w:t>参考E.1制备样品检液。</w:t>
      </w:r>
    </w:p>
    <w:p w14:paraId="5771D8D8">
      <w:pPr>
        <w:pStyle w:val="3"/>
        <w:spacing w:before="159" w:beforeLines="50" w:after="159" w:afterLines="50" w:line="300" w:lineRule="auto"/>
        <w:ind w:left="0" w:leftChars="0" w:firstLine="0" w:firstLineChars="0"/>
      </w:pPr>
      <w:r>
        <w:rPr>
          <w:rFonts w:hint="eastAsia"/>
        </w:rPr>
        <w:t>E.3  定量方法适用性试验</w:t>
      </w:r>
    </w:p>
    <w:p w14:paraId="4B99BBD4">
      <w:pPr>
        <w:pStyle w:val="3"/>
        <w:spacing w:after="0" w:line="300" w:lineRule="auto"/>
        <w:ind w:left="0" w:leftChars="0" w:firstLine="437"/>
      </w:pPr>
      <w:r>
        <w:rPr>
          <w:rFonts w:hint="eastAsia"/>
        </w:rPr>
        <w:t>定量方法包括菌落总数、霉菌和酵母菌数检验。</w:t>
      </w:r>
    </w:p>
    <w:p w14:paraId="74C916F5">
      <w:pPr>
        <w:pStyle w:val="3"/>
        <w:spacing w:after="0" w:line="300" w:lineRule="auto"/>
        <w:ind w:left="0" w:leftChars="0" w:firstLine="0" w:firstLineChars="0"/>
      </w:pPr>
      <w:r>
        <w:rPr>
          <w:rFonts w:hint="eastAsia"/>
        </w:rPr>
        <w:t>E.3.1 染菌和稀释</w:t>
      </w:r>
    </w:p>
    <w:p w14:paraId="1A6F2FA1">
      <w:pPr>
        <w:pStyle w:val="3"/>
        <w:spacing w:after="0" w:line="300" w:lineRule="auto"/>
        <w:ind w:left="0" w:leftChars="0" w:firstLine="437"/>
      </w:pPr>
      <w:r>
        <w:rPr>
          <w:rFonts w:hint="eastAsia"/>
        </w:rPr>
        <w:t>使用表E.1中适用性试验用菌株，按下列要求进行检液的染菌和稀释。</w:t>
      </w:r>
    </w:p>
    <w:p w14:paraId="5DB35165">
      <w:pPr>
        <w:pStyle w:val="3"/>
        <w:spacing w:after="0" w:line="300" w:lineRule="auto"/>
        <w:ind w:left="0" w:leftChars="0" w:firstLine="437"/>
      </w:pPr>
      <w:r>
        <w:rPr>
          <w:rFonts w:hint="eastAsia"/>
        </w:rPr>
        <w:t>试验组：取制备好的</w:t>
      </w:r>
      <w:r>
        <w:t>1</w:t>
      </w:r>
      <w:r>
        <w:rPr>
          <w:rFonts w:hint="eastAsia"/>
        </w:rPr>
        <w:t>:</w:t>
      </w:r>
      <w:r>
        <w:t>10</w:t>
      </w:r>
      <w:r>
        <w:rPr>
          <w:rFonts w:hint="eastAsia"/>
        </w:rPr>
        <w:t>检液10 mL，加入菌悬液不超过1 mL，混匀。其中细菌和酵母菌的染菌量为25</w:t>
      </w:r>
      <w:r>
        <w:t>~250</w:t>
      </w:r>
      <w:r>
        <w:rPr>
          <w:rFonts w:hint="eastAsia"/>
        </w:rPr>
        <w:t xml:space="preserve"> </w:t>
      </w:r>
      <w:r>
        <w:t>CFU</w:t>
      </w:r>
      <w:r>
        <w:rPr>
          <w:rFonts w:hint="eastAsia"/>
        </w:rPr>
        <w:t>/mL</w:t>
      </w:r>
      <w:r>
        <w:t>，</w:t>
      </w:r>
      <w:r>
        <w:rPr>
          <w:rFonts w:hint="eastAsia"/>
        </w:rPr>
        <w:t>霉菌的染菌量为15</w:t>
      </w:r>
      <w:r>
        <w:t>~150</w:t>
      </w:r>
      <w:r>
        <w:rPr>
          <w:rFonts w:hint="eastAsia"/>
        </w:rPr>
        <w:t xml:space="preserve"> </w:t>
      </w:r>
      <w:r>
        <w:t>CFU</w:t>
      </w:r>
      <w:r>
        <w:rPr>
          <w:rFonts w:hint="eastAsia"/>
        </w:rPr>
        <w:t>/mL。</w:t>
      </w:r>
    </w:p>
    <w:p w14:paraId="2EA67DA4">
      <w:pPr>
        <w:pStyle w:val="3"/>
        <w:spacing w:after="0" w:line="300" w:lineRule="auto"/>
        <w:ind w:left="0" w:leftChars="0" w:firstLine="437"/>
      </w:pPr>
      <w:r>
        <w:rPr>
          <w:rFonts w:hint="eastAsia"/>
        </w:rPr>
        <w:t>样品对照组：取制备好的</w:t>
      </w:r>
      <w:r>
        <w:t>1</w:t>
      </w:r>
      <w:r>
        <w:rPr>
          <w:rFonts w:hint="eastAsia"/>
        </w:rPr>
        <w:t>:</w:t>
      </w:r>
      <w:r>
        <w:t>10</w:t>
      </w:r>
      <w:r>
        <w:rPr>
          <w:rFonts w:hint="eastAsia"/>
        </w:rPr>
        <w:t>检液10 mL，加入与试验组等量的无菌稀释液，混匀。</w:t>
      </w:r>
    </w:p>
    <w:p w14:paraId="0E896E95">
      <w:pPr>
        <w:pStyle w:val="3"/>
        <w:spacing w:after="0" w:line="300" w:lineRule="auto"/>
        <w:ind w:left="0" w:leftChars="0" w:firstLine="437"/>
      </w:pPr>
      <w:r>
        <w:rPr>
          <w:rFonts w:hint="eastAsia"/>
        </w:rPr>
        <w:t>菌液对照组：取无菌稀释液10 ml，加入与试验组等量的菌悬液，混匀。</w:t>
      </w:r>
    </w:p>
    <w:p w14:paraId="0C56A6AC">
      <w:pPr>
        <w:pStyle w:val="3"/>
        <w:spacing w:after="0" w:line="300" w:lineRule="auto"/>
        <w:ind w:left="0" w:leftChars="0" w:firstLine="437"/>
      </w:pPr>
      <w:r>
        <w:rPr>
          <w:rFonts w:hint="eastAsia"/>
        </w:rPr>
        <w:t>将上述各组样品常温放置30</w:t>
      </w:r>
      <w:r>
        <w:rPr>
          <w:szCs w:val="21"/>
        </w:rPr>
        <w:t>±</w:t>
      </w:r>
      <w:r>
        <w:rPr>
          <w:rFonts w:hint="eastAsia"/>
        </w:rPr>
        <w:t>15 min后，按照菌落总数或/和霉菌和酵母菌数检验方法进行检验。</w:t>
      </w:r>
    </w:p>
    <w:p w14:paraId="4B365D38">
      <w:pPr>
        <w:pStyle w:val="3"/>
        <w:spacing w:after="0" w:line="300" w:lineRule="auto"/>
        <w:ind w:left="0" w:leftChars="0" w:firstLine="0" w:firstLineChars="0"/>
      </w:pPr>
      <w:r>
        <w:rPr>
          <w:rFonts w:hint="eastAsia"/>
        </w:rPr>
        <w:t>E.3.2 抑菌成分的去除或中和</w:t>
      </w:r>
    </w:p>
    <w:p w14:paraId="1379564B">
      <w:pPr>
        <w:pStyle w:val="3"/>
        <w:spacing w:after="0" w:line="300" w:lineRule="auto"/>
        <w:ind w:left="0" w:leftChars="0" w:firstLine="437"/>
      </w:pPr>
      <w:r>
        <w:rPr>
          <w:rFonts w:hint="eastAsia"/>
        </w:rPr>
        <w:t>若E.</w:t>
      </w:r>
      <w:r>
        <w:t>3</w:t>
      </w:r>
      <w:r>
        <w:rPr>
          <w:rFonts w:hint="eastAsia"/>
        </w:rPr>
        <w:t>.1中试验组菌落数减去样品对照组菌落数的差值大于菌液对照组菌落数的50%，则符合适用性的要求，反之则应采用下述方法消除样品的抑菌性：</w:t>
      </w:r>
    </w:p>
    <w:p w14:paraId="1E240220">
      <w:pPr>
        <w:pStyle w:val="3"/>
        <w:spacing w:after="0" w:line="300" w:lineRule="auto"/>
        <w:ind w:left="0" w:leftChars="0" w:firstLine="437"/>
      </w:pPr>
      <w:r>
        <w:rPr>
          <w:rFonts w:hint="eastAsia"/>
        </w:rPr>
        <w:t>（1）增加稀释液或培养基体积；</w:t>
      </w:r>
    </w:p>
    <w:p w14:paraId="195981D0">
      <w:pPr>
        <w:pStyle w:val="3"/>
        <w:spacing w:after="0" w:line="300" w:lineRule="auto"/>
        <w:ind w:left="0" w:leftChars="0" w:firstLine="437"/>
      </w:pPr>
      <w:r>
        <w:rPr>
          <w:rFonts w:hint="eastAsia"/>
        </w:rPr>
        <w:t>（2）加入适宜的中和剂；</w:t>
      </w:r>
    </w:p>
    <w:p w14:paraId="12D12343">
      <w:pPr>
        <w:pStyle w:val="3"/>
        <w:spacing w:after="0" w:line="300" w:lineRule="auto"/>
        <w:ind w:left="0" w:leftChars="0" w:firstLine="437"/>
      </w:pPr>
      <w:r>
        <w:rPr>
          <w:rFonts w:hint="eastAsia"/>
        </w:rPr>
        <w:t>若使用中和剂，试验中应设中和剂对照组，即取1 mL 稀释液加入9 mL 中和剂中，加入与试验组等量的无菌稀释液，混匀，室温放置30</w:t>
      </w:r>
      <w:r>
        <w:rPr>
          <w:szCs w:val="21"/>
        </w:rPr>
        <w:t>±</w:t>
      </w:r>
      <w:r>
        <w:rPr>
          <w:rFonts w:hint="eastAsia"/>
        </w:rPr>
        <w:t>15 min。中和剂对照组的菌落数与菌液对照组的菌落数的比值应在0.5</w:t>
      </w:r>
      <w:r>
        <w:t>~</w:t>
      </w:r>
      <w:r>
        <w:rPr>
          <w:rFonts w:hint="eastAsia"/>
        </w:rPr>
        <w:t>2范围内。</w:t>
      </w:r>
    </w:p>
    <w:p w14:paraId="5F30E0B7">
      <w:pPr>
        <w:pStyle w:val="3"/>
        <w:spacing w:after="0" w:line="300" w:lineRule="auto"/>
        <w:ind w:left="0" w:leftChars="0" w:firstLine="437"/>
      </w:pPr>
      <w:r>
        <w:rPr>
          <w:rFonts w:hint="eastAsia"/>
        </w:rPr>
        <w:t>（3）将方法</w:t>
      </w:r>
      <w:r>
        <w:t>（1）（2）</w:t>
      </w:r>
      <w:r>
        <w:rPr>
          <w:rFonts w:hint="eastAsia"/>
        </w:rPr>
        <w:t>联合使用；</w:t>
      </w:r>
    </w:p>
    <w:p w14:paraId="231DB87D">
      <w:pPr>
        <w:pStyle w:val="3"/>
        <w:spacing w:after="0" w:line="300" w:lineRule="auto"/>
        <w:ind w:left="0" w:leftChars="0" w:firstLine="437"/>
      </w:pPr>
      <w:r>
        <w:t>（</w:t>
      </w:r>
      <w:r>
        <w:rPr>
          <w:rFonts w:hint="eastAsia"/>
        </w:rPr>
        <w:t>4）采用薄膜过滤法。</w:t>
      </w:r>
    </w:p>
    <w:p w14:paraId="44FF5F13">
      <w:pPr>
        <w:widowControl/>
        <w:spacing w:line="300" w:lineRule="auto"/>
        <w:ind w:firstLine="420" w:firstLineChars="200"/>
        <w:rPr>
          <w:rFonts w:ascii="Times New Roman" w:hAnsi="Times New Roman"/>
          <w:szCs w:val="21"/>
          <w:lang w:bidi="ar"/>
        </w:rPr>
      </w:pPr>
      <w:r>
        <w:rPr>
          <w:rFonts w:ascii="Times New Roman" w:hAnsi="Times New Roman"/>
          <w:szCs w:val="21"/>
          <w:lang w:bidi="ar"/>
        </w:rPr>
        <w:t>薄膜过滤法所采用的滤膜孔径应不大于0.45 μm，直径一般为50 mm，若采用其他直径的滤膜，冲洗量应进行相应的调整。样品及其溶剂应不影响滤膜材质对微生物的截留。滤</w:t>
      </w:r>
      <w:bookmarkStart w:id="230" w:name="OLE_LINK251"/>
      <w:bookmarkStart w:id="231" w:name="OLE_LINK250"/>
      <w:bookmarkStart w:id="232" w:name="OLE_LINK252"/>
      <w:r>
        <w:rPr>
          <w:rFonts w:ascii="Times New Roman" w:hAnsi="Times New Roman"/>
          <w:szCs w:val="21"/>
          <w:lang w:bidi="ar"/>
        </w:rPr>
        <w:t>器及滤膜使用前应经过灭菌。使用时，应保证滤膜在过滤前后的完整性。</w:t>
      </w:r>
    </w:p>
    <w:p w14:paraId="2BD82098">
      <w:pPr>
        <w:widowControl/>
        <w:spacing w:line="300" w:lineRule="auto"/>
        <w:ind w:firstLine="420" w:firstLineChars="200"/>
        <w:rPr>
          <w:rFonts w:ascii="Times New Roman" w:hAnsi="Times New Roman"/>
          <w:szCs w:val="21"/>
          <w:lang w:bidi="ar"/>
        </w:rPr>
      </w:pPr>
      <w:r>
        <w:rPr>
          <w:rFonts w:ascii="Times New Roman" w:hAnsi="Times New Roman"/>
          <w:szCs w:val="21"/>
          <w:lang w:bidi="ar"/>
        </w:rPr>
        <w:t>水溶性检液过滤前先将少量的冲洗液过滤以润湿滤膜。疏水性检液，其滤膜和滤器在使用前应充分干燥。为发挥滤膜的最大过滤效率，应注意保持检液及冲洗液覆盖整个滤膜表面。检液经薄膜过滤后，若需要用</w:t>
      </w:r>
      <w:r>
        <w:rPr>
          <w:rFonts w:ascii="Times New Roman" w:hAnsi="Times New Roman"/>
          <w:color w:val="000000"/>
        </w:rPr>
        <w:t>灭菌生理盐水或含有中和剂的稀释液</w:t>
      </w:r>
      <w:r>
        <w:rPr>
          <w:rFonts w:ascii="Times New Roman" w:hAnsi="Times New Roman"/>
          <w:szCs w:val="21"/>
          <w:lang w:bidi="ar"/>
        </w:rPr>
        <w:t xml:space="preserve">冲洗滤膜，每张滤膜每次冲洗量一般为100 </w:t>
      </w:r>
      <w:r>
        <w:rPr>
          <w:rFonts w:ascii="Times New Roman" w:hAnsi="Times New Roman"/>
          <w:szCs w:val="21"/>
        </w:rPr>
        <w:t>mL</w:t>
      </w:r>
      <w:r>
        <w:rPr>
          <w:rFonts w:ascii="Times New Roman" w:hAnsi="Times New Roman"/>
          <w:szCs w:val="21"/>
          <w:lang w:bidi="ar"/>
        </w:rPr>
        <w:t xml:space="preserve">。总冲洗量一般不超过500 </w:t>
      </w:r>
      <w:r>
        <w:rPr>
          <w:rFonts w:ascii="Times New Roman" w:hAnsi="Times New Roman"/>
          <w:szCs w:val="21"/>
        </w:rPr>
        <w:t>mL</w:t>
      </w:r>
      <w:r>
        <w:rPr>
          <w:rFonts w:ascii="Times New Roman" w:hAnsi="Times New Roman"/>
          <w:szCs w:val="21"/>
          <w:lang w:bidi="ar"/>
        </w:rPr>
        <w:t xml:space="preserve">，最多不得超过1000 </w:t>
      </w:r>
      <w:r>
        <w:rPr>
          <w:rFonts w:ascii="Times New Roman" w:hAnsi="Times New Roman"/>
          <w:szCs w:val="21"/>
        </w:rPr>
        <w:t>mL</w:t>
      </w:r>
      <w:r>
        <w:rPr>
          <w:rFonts w:ascii="Times New Roman" w:hAnsi="Times New Roman"/>
          <w:szCs w:val="21"/>
          <w:lang w:bidi="ar"/>
        </w:rPr>
        <w:t>，以避免滤膜上的微生物受损伤。</w:t>
      </w:r>
    </w:p>
    <w:p w14:paraId="0072645A">
      <w:pPr>
        <w:spacing w:line="300" w:lineRule="auto"/>
        <w:ind w:firstLine="420" w:firstLineChars="200"/>
        <w:rPr>
          <w:rFonts w:ascii="Times New Roman" w:hAnsi="Times New Roman"/>
          <w:szCs w:val="21"/>
          <w:highlight w:val="yellow"/>
        </w:rPr>
      </w:pPr>
      <w:r>
        <w:rPr>
          <w:rFonts w:ascii="Times New Roman" w:hAnsi="Times New Roman"/>
          <w:szCs w:val="21"/>
        </w:rPr>
        <w:t>取1:10检液1 mL（若样品中所含的菌数较多时，可取1:100、1:1000</w:t>
      </w:r>
      <w:r>
        <w:rPr>
          <w:rFonts w:hint="eastAsia" w:ascii="Times New Roman" w:hAnsi="Times New Roman"/>
          <w:szCs w:val="21"/>
        </w:rPr>
        <w:t>……等梯度稀释</w:t>
      </w:r>
      <w:r>
        <w:rPr>
          <w:rFonts w:ascii="Times New Roman" w:hAnsi="Times New Roman"/>
          <w:szCs w:val="21"/>
        </w:rPr>
        <w:t>检液），加至100 mL的</w:t>
      </w:r>
      <w:r>
        <w:rPr>
          <w:rFonts w:ascii="Times New Roman" w:hAnsi="Times New Roman"/>
          <w:color w:val="000000"/>
        </w:rPr>
        <w:t>灭菌生理盐水或含有中和剂的稀释液</w:t>
      </w:r>
      <w:r>
        <w:rPr>
          <w:rFonts w:ascii="Times New Roman" w:hAnsi="Times New Roman"/>
          <w:szCs w:val="21"/>
        </w:rPr>
        <w:t>中，混匀，过滤。用适量</w:t>
      </w:r>
      <w:r>
        <w:rPr>
          <w:rFonts w:ascii="Times New Roman" w:hAnsi="Times New Roman"/>
          <w:color w:val="000000"/>
        </w:rPr>
        <w:t>灭菌生理盐水或含有中和剂的稀释液</w:t>
      </w:r>
      <w:r>
        <w:rPr>
          <w:rFonts w:ascii="Times New Roman" w:hAnsi="Times New Roman"/>
          <w:szCs w:val="21"/>
        </w:rPr>
        <w:t>冲洗滤膜，冲洗完成后，将滤膜取出，过滤面朝上贴于培养基平板上，按对应检验方法的规定温度和时间进行培养。</w:t>
      </w:r>
    </w:p>
    <w:p w14:paraId="2E8E1398">
      <w:pPr>
        <w:pStyle w:val="3"/>
        <w:spacing w:after="0" w:line="300" w:lineRule="auto"/>
        <w:ind w:left="0" w:leftChars="0" w:firstLine="437"/>
        <w:rPr>
          <w:color w:val="FF0000"/>
          <w:highlight w:val="yellow"/>
        </w:rPr>
      </w:pPr>
      <w:r>
        <w:rPr>
          <w:color w:val="0F1115"/>
          <w:shd w:val="clear" w:color="auto" w:fill="FFFFFF"/>
        </w:rPr>
        <w:t>若上述方法均无法有效消除样品的抑菌作用，可判定该样品对试验菌具有较强的抗菌性，表明其不易受到此类微生物污染。在此情况下，可从所述四种方法中选择抑菌成分消除效果相对较彻底的方法，进行后续的样品检验。</w:t>
      </w:r>
    </w:p>
    <w:p w14:paraId="59E74160">
      <w:pPr>
        <w:pStyle w:val="3"/>
        <w:spacing w:before="159" w:beforeLines="50" w:after="159" w:afterLines="50" w:line="300" w:lineRule="auto"/>
        <w:ind w:left="0" w:leftChars="0" w:firstLine="0" w:firstLineChars="0"/>
      </w:pPr>
      <w:r>
        <w:rPr>
          <w:rFonts w:hint="eastAsia"/>
        </w:rPr>
        <w:t>E.4  定性方法适用性试验</w:t>
      </w:r>
    </w:p>
    <w:p w14:paraId="7C3893DB">
      <w:pPr>
        <w:pStyle w:val="3"/>
        <w:spacing w:after="0" w:line="300" w:lineRule="auto"/>
        <w:ind w:left="0" w:leftChars="0" w:firstLine="437"/>
      </w:pPr>
      <w:r>
        <w:rPr>
          <w:rFonts w:hint="eastAsia"/>
        </w:rPr>
        <w:t>定性方法包括金黄色葡萄球菌、铜绿假单胞菌、耐热大肠菌群和洋葱伯克霍尔德菌群检测。</w:t>
      </w:r>
    </w:p>
    <w:p w14:paraId="09851078">
      <w:pPr>
        <w:pStyle w:val="3"/>
        <w:spacing w:after="0" w:line="300" w:lineRule="auto"/>
        <w:ind w:left="0" w:leftChars="0" w:firstLine="437"/>
      </w:pPr>
      <w:r>
        <w:rPr>
          <w:rFonts w:hint="eastAsia"/>
        </w:rPr>
        <w:t>取1:10检液（或其他稀释度检液）10 mL，使用表E.1中推荐的相应质控菌株进行染菌，染菌量为10~100 CFU，常温放置30</w:t>
      </w:r>
      <w:r>
        <w:rPr>
          <w:szCs w:val="21"/>
        </w:rPr>
        <w:t>±</w:t>
      </w:r>
      <w:r>
        <w:rPr>
          <w:rFonts w:hint="eastAsia"/>
        </w:rPr>
        <w:t>15 min后，按照相应定性检验方法进行检验。若能从染菌液中检出质控菌株，则表明此检液制备法和检查方法适用，可用于后续样品检验；若未检出，则应参考E.3.2方法消除样品的抑菌成分，并重新进行方法适用性试验。</w:t>
      </w:r>
    </w:p>
    <w:bookmarkEnd w:id="6"/>
    <w:bookmarkEnd w:id="7"/>
    <w:bookmarkEnd w:id="230"/>
    <w:bookmarkEnd w:id="231"/>
    <w:bookmarkEnd w:id="232"/>
    <w:p w14:paraId="3C757BDD">
      <w:pPr>
        <w:widowControl/>
        <w:jc w:val="left"/>
        <w:rPr>
          <w:rFonts w:ascii="黑体" w:hAnsi="黑体" w:eastAsia="黑体" w:cs="黑体"/>
          <w:szCs w:val="21"/>
        </w:rPr>
      </w:pPr>
      <w:r>
        <w:rPr>
          <w:rFonts w:hint="eastAsia" w:ascii="黑体" w:hAnsi="黑体" w:eastAsia="黑体" w:cs="黑体"/>
          <w:szCs w:val="21"/>
        </w:rPr>
        <w:br w:type="page"/>
      </w:r>
    </w:p>
    <w:p w14:paraId="2B231476">
      <w:pPr>
        <w:spacing w:before="159" w:beforeLines="50" w:after="159" w:afterLines="50" w:line="300" w:lineRule="auto"/>
        <w:jc w:val="center"/>
        <w:rPr>
          <w:rFonts w:ascii="黑体" w:hAnsi="黑体" w:eastAsia="黑体" w:cs="黑体"/>
          <w:szCs w:val="21"/>
        </w:rPr>
      </w:pPr>
      <w:r>
        <w:rPr>
          <w:rFonts w:ascii="黑体" w:hAnsi="黑体" w:eastAsia="黑体" w:cs="黑体"/>
          <w:szCs w:val="21"/>
        </w:rPr>
        <w:t>附录</w:t>
      </w:r>
      <w:r>
        <w:rPr>
          <w:rFonts w:ascii="Times New Roman" w:hAnsi="Times New Roman" w:eastAsia="黑体"/>
          <w:szCs w:val="21"/>
        </w:rPr>
        <w:t>F</w:t>
      </w:r>
    </w:p>
    <w:p w14:paraId="6C1ED119">
      <w:pPr>
        <w:spacing w:before="159" w:beforeLines="50" w:after="159" w:afterLines="50" w:line="300" w:lineRule="auto"/>
        <w:jc w:val="center"/>
        <w:rPr>
          <w:rFonts w:ascii="黑体" w:hAnsi="黑体" w:eastAsia="黑体" w:cs="黑体"/>
          <w:szCs w:val="21"/>
        </w:rPr>
      </w:pPr>
      <w:r>
        <w:rPr>
          <w:rFonts w:ascii="黑体" w:hAnsi="黑体" w:eastAsia="黑体" w:cs="黑体"/>
          <w:szCs w:val="21"/>
        </w:rPr>
        <w:t>（规范性附录）</w:t>
      </w:r>
    </w:p>
    <w:p w14:paraId="3A1E3B3F">
      <w:pPr>
        <w:spacing w:before="159" w:beforeLines="50" w:after="159" w:afterLines="50" w:line="300" w:lineRule="auto"/>
        <w:jc w:val="center"/>
        <w:rPr>
          <w:rFonts w:ascii="黑体" w:hAnsi="黑体" w:eastAsia="黑体" w:cs="黑体"/>
          <w:szCs w:val="21"/>
        </w:rPr>
      </w:pPr>
      <w:r>
        <w:rPr>
          <w:rFonts w:ascii="黑体" w:hAnsi="黑体" w:eastAsia="黑体" w:cs="黑体"/>
          <w:szCs w:val="21"/>
        </w:rPr>
        <w:t>革兰氏染色</w:t>
      </w:r>
    </w:p>
    <w:p w14:paraId="5E4BD82F">
      <w:pPr>
        <w:pStyle w:val="3"/>
        <w:spacing w:before="159" w:beforeLines="50" w:after="159" w:afterLines="50"/>
        <w:ind w:left="437" w:firstLine="0" w:firstLineChars="0"/>
        <w:rPr>
          <w:szCs w:val="21"/>
        </w:rPr>
      </w:pPr>
      <w:r>
        <w:rPr>
          <w:rFonts w:hint="eastAsia"/>
          <w:szCs w:val="21"/>
        </w:rPr>
        <w:t xml:space="preserve">F.1  </w:t>
      </w:r>
      <w:r>
        <w:rPr>
          <w:rFonts w:hint="eastAsia"/>
        </w:rPr>
        <w:t>涂片</w:t>
      </w:r>
      <w:r>
        <w:rPr>
          <w:rFonts w:hint="eastAsia"/>
          <w:szCs w:val="21"/>
        </w:rPr>
        <w:t>制备</w:t>
      </w:r>
    </w:p>
    <w:p w14:paraId="352231BE">
      <w:pPr>
        <w:widowControl/>
        <w:ind w:firstLine="420" w:firstLineChars="200"/>
        <w:jc w:val="left"/>
      </w:pPr>
      <w:r>
        <w:rPr>
          <w:rFonts w:ascii="Times New Roman" w:hAnsi="Times New Roman"/>
          <w:szCs w:val="21"/>
          <w:lang w:bidi="ar"/>
        </w:rPr>
        <w:t>取洁净载玻片，滴加1滴无菌蒸馏水。用接种环挑取少量可疑菌落，置于载玻片的水滴中，混合均匀并涂成直径约1</w:t>
      </w:r>
      <w:r>
        <w:rPr>
          <w:rFonts w:hint="eastAsia" w:ascii="Times New Roman" w:hAnsi="Times New Roman"/>
          <w:szCs w:val="21"/>
          <w:lang w:bidi="ar"/>
        </w:rPr>
        <w:t xml:space="preserve"> </w:t>
      </w:r>
      <w:r>
        <w:rPr>
          <w:rFonts w:ascii="Times New Roman" w:hAnsi="Times New Roman"/>
          <w:szCs w:val="21"/>
          <w:lang w:bidi="ar"/>
        </w:rPr>
        <w:t> cm的菌膜。</w:t>
      </w:r>
    </w:p>
    <w:p w14:paraId="0C8934A3">
      <w:pPr>
        <w:pStyle w:val="3"/>
        <w:spacing w:before="159" w:beforeLines="50" w:after="159" w:afterLines="50"/>
        <w:ind w:left="437" w:firstLine="0" w:firstLineChars="0"/>
        <w:rPr>
          <w:szCs w:val="21"/>
        </w:rPr>
      </w:pPr>
      <w:r>
        <w:rPr>
          <w:rFonts w:hint="eastAsia"/>
          <w:szCs w:val="21"/>
        </w:rPr>
        <w:t>F.2  干燥与固定</w:t>
      </w:r>
    </w:p>
    <w:p w14:paraId="6B19D3E2">
      <w:pPr>
        <w:spacing w:line="300" w:lineRule="auto"/>
        <w:ind w:firstLine="420" w:firstLineChars="200"/>
        <w:rPr>
          <w:rFonts w:ascii="Times New Roman" w:hAnsi="Times New Roman"/>
          <w:szCs w:val="21"/>
        </w:rPr>
      </w:pPr>
      <w:r>
        <w:rPr>
          <w:rFonts w:hint="eastAsia" w:ascii="Times New Roman" w:hAnsi="Times New Roman"/>
          <w:szCs w:val="21"/>
        </w:rPr>
        <w:t>将涂片在火焰上方快速通过两次，干燥。</w:t>
      </w:r>
    </w:p>
    <w:p w14:paraId="2C96278D">
      <w:pPr>
        <w:pStyle w:val="3"/>
        <w:spacing w:before="159" w:beforeLines="50" w:after="159" w:afterLines="50"/>
        <w:ind w:left="437" w:firstLine="0" w:firstLineChars="0"/>
        <w:rPr>
          <w:szCs w:val="21"/>
        </w:rPr>
      </w:pPr>
      <w:r>
        <w:rPr>
          <w:rFonts w:hint="eastAsia"/>
          <w:szCs w:val="21"/>
        </w:rPr>
        <w:t>F.3  初染与媒染</w:t>
      </w:r>
    </w:p>
    <w:p w14:paraId="3F0F4026">
      <w:pPr>
        <w:spacing w:line="300" w:lineRule="auto"/>
        <w:ind w:firstLine="420" w:firstLineChars="200"/>
        <w:rPr>
          <w:rFonts w:ascii="Times New Roman" w:hAnsi="Times New Roman"/>
          <w:szCs w:val="21"/>
        </w:rPr>
      </w:pPr>
      <w:r>
        <w:rPr>
          <w:rFonts w:hint="eastAsia" w:ascii="Times New Roman" w:hAnsi="Times New Roman"/>
          <w:szCs w:val="21"/>
        </w:rPr>
        <w:t>滴加草酸铵结晶紫染液，染色1 min，水洗；滴加卢戈氏碘液，作用1 min，水洗，用滤纸吸干。水洗时水流应避免直接冲击薄层。</w:t>
      </w:r>
    </w:p>
    <w:p w14:paraId="6865440E">
      <w:pPr>
        <w:pStyle w:val="3"/>
        <w:spacing w:before="159" w:beforeLines="50" w:after="159" w:afterLines="50"/>
        <w:ind w:left="437" w:firstLine="0" w:firstLineChars="0"/>
        <w:rPr>
          <w:szCs w:val="21"/>
        </w:rPr>
      </w:pPr>
      <w:r>
        <w:rPr>
          <w:rFonts w:hint="eastAsia"/>
          <w:szCs w:val="21"/>
        </w:rPr>
        <w:t>F.4  脱色</w:t>
      </w:r>
    </w:p>
    <w:p w14:paraId="55FDF2A5">
      <w:pPr>
        <w:spacing w:line="300" w:lineRule="auto"/>
        <w:ind w:firstLine="420" w:firstLineChars="200"/>
        <w:rPr>
          <w:rFonts w:ascii="Times New Roman" w:hAnsi="Times New Roman"/>
          <w:szCs w:val="21"/>
        </w:rPr>
      </w:pPr>
      <w:r>
        <w:rPr>
          <w:rFonts w:hint="eastAsia" w:ascii="Times New Roman" w:hAnsi="Times New Roman"/>
          <w:szCs w:val="21"/>
        </w:rPr>
        <w:t>用95%乙醇脱色约30 s，水洗，用滤纸吸干。</w:t>
      </w:r>
    </w:p>
    <w:p w14:paraId="061B8193">
      <w:pPr>
        <w:pStyle w:val="3"/>
        <w:spacing w:before="159" w:beforeLines="50" w:after="159" w:afterLines="50"/>
        <w:ind w:left="437" w:firstLine="0" w:firstLineChars="0"/>
        <w:rPr>
          <w:szCs w:val="21"/>
        </w:rPr>
      </w:pPr>
      <w:r>
        <w:rPr>
          <w:rFonts w:hint="eastAsia"/>
          <w:szCs w:val="21"/>
        </w:rPr>
        <w:t>F.5  复染</w:t>
      </w:r>
    </w:p>
    <w:p w14:paraId="7FC70E18">
      <w:pPr>
        <w:spacing w:line="300" w:lineRule="auto"/>
        <w:ind w:firstLine="420" w:firstLineChars="200"/>
        <w:rPr>
          <w:rFonts w:ascii="Times New Roman" w:hAnsi="Times New Roman"/>
          <w:szCs w:val="21"/>
        </w:rPr>
      </w:pPr>
      <w:r>
        <w:rPr>
          <w:rFonts w:hint="eastAsia" w:ascii="Times New Roman" w:hAnsi="Times New Roman"/>
          <w:szCs w:val="21"/>
        </w:rPr>
        <w:t>滴加0.5%沙黄染液或番红染液，染色30 s，水洗，用滤纸吸干。</w:t>
      </w:r>
    </w:p>
    <w:p w14:paraId="56B482AD">
      <w:pPr>
        <w:pStyle w:val="3"/>
        <w:spacing w:before="159" w:beforeLines="50" w:after="159" w:afterLines="50"/>
        <w:ind w:left="437" w:firstLine="0" w:firstLineChars="0"/>
        <w:rPr>
          <w:szCs w:val="21"/>
        </w:rPr>
      </w:pPr>
      <w:r>
        <w:rPr>
          <w:rFonts w:hint="eastAsia"/>
          <w:szCs w:val="21"/>
        </w:rPr>
        <w:t>F.6  镜检</w:t>
      </w:r>
    </w:p>
    <w:p w14:paraId="275B0B71">
      <w:pPr>
        <w:spacing w:line="300" w:lineRule="auto"/>
        <w:ind w:firstLine="420" w:firstLineChars="200"/>
        <w:rPr>
          <w:rFonts w:ascii="Times New Roman" w:hAnsi="Times New Roman"/>
          <w:szCs w:val="21"/>
        </w:rPr>
      </w:pPr>
      <w:r>
        <w:rPr>
          <w:rFonts w:hint="eastAsia" w:ascii="Times New Roman" w:hAnsi="Times New Roman"/>
          <w:szCs w:val="21"/>
        </w:rPr>
        <w:t>待涂片干燥后，用油镜观察并记录。</w:t>
      </w:r>
    </w:p>
    <w:p w14:paraId="7FB3656D">
      <w:bookmarkStart w:id="233" w:name="_GoBack"/>
      <w:bookmarkEnd w:id="23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8EC43">
    <w:pPr>
      <w:tabs>
        <w:tab w:val="center" w:pos="4155"/>
      </w:tabs>
      <w:snapToGrid w:val="0"/>
      <w:spacing w:after="160" w:line="278" w:lineRule="auto"/>
      <w:jc w:val="left"/>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7259974">
                          <w:pPr>
                            <w:pStyle w:val="2"/>
                            <w:rPr>
                              <w:rFonts w:hint="eastAsia" w:eastAsia="宋体"/>
                              <w:lang w:val="en-US" w:eastAsia="zh-CN"/>
                            </w:rPr>
                          </w:pPr>
                          <w:r>
                            <w:rPr>
                              <w:rFonts w:hint="eastAsia"/>
                              <w:color w:val="FFFFFF"/>
                              <w:sz w:val="28"/>
                              <w:szCs w:val="28"/>
                              <w:lang w:eastAsia="zh-CN"/>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rFonts w:hint="eastAsia"/>
                              <w:sz w:val="28"/>
                              <w:szCs w:val="28"/>
                              <w:lang w:val="en-US" w:eastAsia="zh-CN"/>
                            </w:rPr>
                            <w:t xml:space="preserve"> —</w:t>
                          </w:r>
                          <w:r>
                            <w:rPr>
                              <w:rFonts w:hint="eastAsia"/>
                              <w:color w:val="FFFFFF"/>
                              <w:sz w:val="28"/>
                              <w:szCs w:val="28"/>
                              <w:lang w:val="en-US"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CX2GkzAEAAKcDAAAOAAAAAAAAAAEAIAAAAB4BAABkcnMvZTJv&#10;RG9jLnhtbFBLBQYAAAAABgAGAFkBAABcBQAAAAA=&#10;">
              <v:fill on="f" focussize="0,0"/>
              <v:stroke on="f"/>
              <v:imagedata o:title=""/>
              <o:lock v:ext="edit" aspectratio="f"/>
              <v:textbox inset="0mm,0mm,0mm,0mm" style="mso-fit-shape-to-text:t;">
                <w:txbxContent>
                  <w:p w14:paraId="07259974">
                    <w:pPr>
                      <w:pStyle w:val="2"/>
                      <w:rPr>
                        <w:rFonts w:hint="eastAsia" w:eastAsia="宋体"/>
                        <w:lang w:val="en-US" w:eastAsia="zh-CN"/>
                      </w:rPr>
                    </w:pPr>
                    <w:r>
                      <w:rPr>
                        <w:rFonts w:hint="eastAsia"/>
                        <w:color w:val="FFFFFF"/>
                        <w:sz w:val="28"/>
                        <w:szCs w:val="28"/>
                        <w:lang w:eastAsia="zh-CN"/>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rFonts w:hint="eastAsia"/>
                        <w:sz w:val="28"/>
                        <w:szCs w:val="28"/>
                        <w:lang w:val="en-US" w:eastAsia="zh-CN"/>
                      </w:rPr>
                      <w:t xml:space="preserve"> —</w:t>
                    </w:r>
                    <w:r>
                      <w:rPr>
                        <w:rFonts w:hint="eastAsia"/>
                        <w:color w:val="FFFFFF"/>
                        <w:sz w:val="28"/>
                        <w:szCs w:val="28"/>
                        <w:lang w:val="en-US"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264CDD"/>
    <w:rsid w:val="5F264C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Body Text First Indent 2"/>
    <w:qFormat/>
    <w:uiPriority w:val="0"/>
    <w:pPr>
      <w:widowControl w:val="0"/>
      <w:spacing w:after="120" w:line="278" w:lineRule="auto"/>
      <w:ind w:left="420" w:leftChars="200" w:firstLine="420" w:firstLineChars="20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2026-11-02T08:42:00Z</dcterms:created>
  <dc:creator>YU</dc:creator>
  <cp:lastModifiedBy>YU</cp:lastModifiedBy>
  <dcterms:modified xsi:type="dcterms:W3CDTF">2026-11-02T08:44:01Z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73B3180131BF46A3B8CCEA5A03A31903_11</vt:lpwstr>
  </property>
  <property fmtid="{D5CDD505-2E9C-101B-9397-08002B2CF9AE}" pid="4" name="KSOTemplateDocerSaveRecord">
    <vt:lpwstr>eyJoZGlkIjoiNzUzMjcxYjI3MDRjMDIwZmVmYTgzNGM3MjE3OGJkMDMiLCJ1c2VySWQiOiIyNzgyMDExNzcifQ==</vt:lpwstr>
  </property>
</Properties>
</file>