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9EDB9">
      <w:pPr>
        <w:pStyle w:val="2"/>
        <w:spacing w:before="156" w:beforeLines="50" w:after="156" w:afterLines="50" w:line="300" w:lineRule="auto"/>
        <w:jc w:val="left"/>
        <w:rPr>
          <w:rFonts w:hint="eastAsia" w:cs="黑体"/>
          <w:szCs w:val="18"/>
        </w:rPr>
      </w:pPr>
      <w:r>
        <w:rPr>
          <w:rFonts w:hint="eastAsia" w:cs="黑体"/>
          <w:szCs w:val="18"/>
        </w:rPr>
        <w:t>附件3</w:t>
      </w:r>
    </w:p>
    <w:p w14:paraId="5FF3712C">
      <w:pPr>
        <w:pStyle w:val="2"/>
        <w:spacing w:before="156" w:beforeLines="50" w:after="156" w:afterLines="50" w:line="300" w:lineRule="auto"/>
        <w:jc w:val="center"/>
        <w:rPr>
          <w:rFonts w:cs="黑体"/>
          <w:szCs w:val="18"/>
        </w:rPr>
      </w:pPr>
      <w:r>
        <w:rPr>
          <w:rFonts w:hint="eastAsia" w:cs="黑体"/>
          <w:szCs w:val="18"/>
        </w:rPr>
        <w:t>化妆品中菌落总数的检验方法</w:t>
      </w:r>
    </w:p>
    <w:p w14:paraId="04DF14DB">
      <w:pPr>
        <w:spacing w:before="156" w:beforeLines="50" w:after="156" w:afterLines="50" w:line="300" w:lineRule="auto"/>
        <w:jc w:val="center"/>
        <w:rPr>
          <w:rFonts w:ascii="Times New Roman" w:hAnsi="Times New Roman" w:eastAsia="仿宋" w:cs="宋体"/>
          <w:szCs w:val="21"/>
        </w:rPr>
      </w:pPr>
      <w:r>
        <w:rPr>
          <w:rFonts w:ascii="Times New Roman" w:hAnsi="Times New Roman" w:eastAsia="仿宋" w:cs="宋体"/>
          <w:szCs w:val="21"/>
        </w:rPr>
        <w:t xml:space="preserve">Aerobic </w:t>
      </w:r>
      <w:r>
        <w:rPr>
          <w:rFonts w:hint="eastAsia" w:ascii="Times New Roman" w:hAnsi="Times New Roman" w:eastAsia="仿宋" w:cs="宋体"/>
          <w:szCs w:val="21"/>
        </w:rPr>
        <w:t>Plate</w:t>
      </w:r>
      <w:r>
        <w:rPr>
          <w:rFonts w:ascii="Times New Roman" w:hAnsi="Times New Roman" w:eastAsia="仿宋" w:cs="宋体"/>
          <w:szCs w:val="21"/>
        </w:rPr>
        <w:t xml:space="preserve"> Count</w:t>
      </w:r>
      <w:r>
        <w:rPr>
          <w:rFonts w:hint="eastAsia" w:ascii="Times New Roman" w:hAnsi="Times New Roman" w:eastAsia="仿宋" w:cs="宋体"/>
          <w:szCs w:val="21"/>
        </w:rPr>
        <w:t xml:space="preserve"> in Cosmetics</w:t>
      </w:r>
    </w:p>
    <w:p w14:paraId="1C3E6362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ascii="Times New Roman" w:hAnsi="Times New Roman" w:eastAsia="黑体" w:cs="宋体"/>
          <w:szCs w:val="21"/>
        </w:rPr>
        <w:t xml:space="preserve">1 </w:t>
      </w:r>
      <w:r>
        <w:rPr>
          <w:rFonts w:hint="eastAsia" w:ascii="Times New Roman" w:hAnsi="Times New Roman" w:eastAsia="黑体" w:cs="宋体"/>
          <w:szCs w:val="21"/>
        </w:rPr>
        <w:t xml:space="preserve"> </w:t>
      </w:r>
      <w:r>
        <w:rPr>
          <w:rFonts w:ascii="Times New Roman" w:hAnsi="Times New Roman" w:eastAsia="黑体" w:cs="宋体"/>
          <w:szCs w:val="21"/>
        </w:rPr>
        <w:t>范围</w:t>
      </w:r>
    </w:p>
    <w:p w14:paraId="231D385D">
      <w:pPr>
        <w:spacing w:line="300" w:lineRule="auto"/>
        <w:ind w:firstLine="420" w:firstLineChars="200"/>
        <w:jc w:val="left"/>
        <w:rPr>
          <w:rFonts w:ascii="Times New Roman" w:hAnsi="Times New Roman" w:eastAsia="黑体" w:cs="宋体"/>
          <w:b/>
          <w:szCs w:val="21"/>
        </w:rPr>
      </w:pPr>
      <w:r>
        <w:rPr>
          <w:rFonts w:ascii="Times New Roman" w:hAnsi="Times New Roman" w:cs="宋体"/>
          <w:szCs w:val="21"/>
        </w:rPr>
        <w:t>本</w:t>
      </w:r>
      <w:r>
        <w:rPr>
          <w:rFonts w:hint="eastAsia" w:ascii="Times New Roman" w:hAnsi="Times New Roman" w:cs="宋体"/>
          <w:szCs w:val="21"/>
        </w:rPr>
        <w:t>方法</w:t>
      </w:r>
      <w:r>
        <w:rPr>
          <w:rFonts w:ascii="Times New Roman" w:hAnsi="Times New Roman" w:cs="宋体"/>
          <w:szCs w:val="21"/>
        </w:rPr>
        <w:t>规定了化妆品中菌落总数的检验方法。</w:t>
      </w:r>
    </w:p>
    <w:p w14:paraId="5CA93A56">
      <w:pPr>
        <w:spacing w:line="300" w:lineRule="auto"/>
        <w:ind w:firstLine="420" w:firstLineChars="200"/>
        <w:rPr>
          <w:rFonts w:ascii="Times New Roman" w:hAnsi="Times New Roman" w:cs="宋体"/>
          <w:sz w:val="24"/>
          <w:szCs w:val="24"/>
        </w:rPr>
      </w:pPr>
      <w:r>
        <w:rPr>
          <w:rFonts w:ascii="Times New Roman" w:hAnsi="Times New Roman" w:cs="宋体"/>
          <w:szCs w:val="21"/>
        </w:rPr>
        <w:t>本</w:t>
      </w:r>
      <w:r>
        <w:rPr>
          <w:rFonts w:hint="eastAsia" w:ascii="Times New Roman" w:hAnsi="Times New Roman" w:cs="宋体"/>
          <w:szCs w:val="21"/>
        </w:rPr>
        <w:t>方法</w:t>
      </w:r>
      <w:r>
        <w:rPr>
          <w:rFonts w:ascii="Times New Roman" w:hAnsi="Times New Roman" w:cs="宋体"/>
          <w:szCs w:val="21"/>
        </w:rPr>
        <w:t>适用于化妆品</w:t>
      </w:r>
      <w:r>
        <w:rPr>
          <w:rFonts w:hint="eastAsia" w:ascii="Times New Roman" w:hAnsi="Times New Roman" w:cs="宋体"/>
          <w:szCs w:val="21"/>
        </w:rPr>
        <w:t>中</w:t>
      </w:r>
      <w:r>
        <w:rPr>
          <w:rFonts w:ascii="Times New Roman" w:hAnsi="Times New Roman" w:cs="宋体"/>
          <w:szCs w:val="21"/>
        </w:rPr>
        <w:t>菌落总数的测定。</w:t>
      </w:r>
    </w:p>
    <w:p w14:paraId="487F5786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ascii="Times New Roman" w:hAnsi="Times New Roman" w:eastAsia="黑体" w:cs="宋体"/>
          <w:szCs w:val="21"/>
        </w:rPr>
        <w:t xml:space="preserve">2 </w:t>
      </w:r>
      <w:r>
        <w:rPr>
          <w:rFonts w:hint="eastAsia" w:ascii="Times New Roman" w:hAnsi="Times New Roman" w:eastAsia="黑体" w:cs="宋体"/>
          <w:szCs w:val="21"/>
        </w:rPr>
        <w:t xml:space="preserve"> </w:t>
      </w:r>
      <w:r>
        <w:rPr>
          <w:rFonts w:ascii="Times New Roman" w:hAnsi="Times New Roman" w:eastAsia="黑体" w:cs="宋体"/>
          <w:szCs w:val="21"/>
        </w:rPr>
        <w:t>定义</w:t>
      </w:r>
    </w:p>
    <w:p w14:paraId="77E8EB25">
      <w:pPr>
        <w:widowControl/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菌落总数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Aerobic </w:t>
      </w:r>
      <w:r>
        <w:rPr>
          <w:rFonts w:hint="eastAsia" w:ascii="Times New Roman" w:hAnsi="Times New Roman" w:cs="宋体"/>
          <w:szCs w:val="21"/>
        </w:rPr>
        <w:t>plate</w:t>
      </w:r>
      <w:r>
        <w:rPr>
          <w:rFonts w:ascii="Times New Roman" w:hAnsi="Times New Roman" w:cs="宋体"/>
          <w:szCs w:val="21"/>
        </w:rPr>
        <w:t xml:space="preserve"> count</w:t>
      </w:r>
    </w:p>
    <w:p w14:paraId="1F62824B">
      <w:pPr>
        <w:widowControl/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化妆品检样经过处理，在一定条件下（如培养基、培养温度</w:t>
      </w:r>
      <w:r>
        <w:rPr>
          <w:rFonts w:hint="eastAsia" w:ascii="Times New Roman" w:hAnsi="Times New Roman" w:cs="宋体"/>
          <w:szCs w:val="21"/>
        </w:rPr>
        <w:t>和</w:t>
      </w:r>
      <w:r>
        <w:rPr>
          <w:rFonts w:ascii="Times New Roman" w:hAnsi="Times New Roman" w:cs="宋体"/>
          <w:szCs w:val="21"/>
        </w:rPr>
        <w:t>培养时间等）培养后，</w:t>
      </w:r>
      <w:r>
        <w:rPr>
          <w:rFonts w:hint="eastAsia" w:ascii="Times New Roman" w:hAnsi="Times New Roman" w:cs="宋体"/>
          <w:szCs w:val="21"/>
        </w:rPr>
        <w:t>所得每g（mL）检样中形成的微生物菌落总数，便于判明样品被微生物污染的程度及卫生情况。</w:t>
      </w:r>
    </w:p>
    <w:p w14:paraId="3C58A0C9">
      <w:pPr>
        <w:widowControl/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注：在上述试验条件下，也可检出其他类型的微生物（如：酵母菌、霉菌）。</w:t>
      </w:r>
    </w:p>
    <w:p w14:paraId="0900D288">
      <w:pPr>
        <w:spacing w:before="156" w:beforeLines="50" w:after="156" w:afterLines="50" w:line="300" w:lineRule="auto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3  仪器和设备</w:t>
      </w:r>
    </w:p>
    <w:p w14:paraId="2C4607F9">
      <w:pPr>
        <w:widowControl/>
        <w:spacing w:line="30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除微生物实验室常规灭菌及</w:t>
      </w:r>
      <w:r>
        <w:rPr>
          <w:rFonts w:ascii="Times New Roman" w:hAnsi="Times New Roman" w:cs="宋体"/>
          <w:szCs w:val="21"/>
        </w:rPr>
        <w:t>培养</w:t>
      </w:r>
      <w:r>
        <w:rPr>
          <w:rFonts w:hint="eastAsia" w:ascii="Times New Roman" w:hAnsi="Times New Roman" w:cs="宋体"/>
          <w:szCs w:val="21"/>
        </w:rPr>
        <w:t>设备</w:t>
      </w:r>
      <w:r>
        <w:rPr>
          <w:rFonts w:hint="eastAsia" w:ascii="宋体" w:hAnsi="宋体" w:cs="宋体"/>
          <w:szCs w:val="21"/>
        </w:rPr>
        <w:t>外，其他设备和材料如下：</w:t>
      </w:r>
    </w:p>
    <w:p w14:paraId="41B5EBF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3.1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 恒温培养箱：36±1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。</w:t>
      </w:r>
    </w:p>
    <w:p w14:paraId="54E04CA5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>.2  冰箱：2~8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℃。</w:t>
      </w:r>
    </w:p>
    <w:p w14:paraId="08240D88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 xml:space="preserve">  恒温水浴箱</w:t>
      </w:r>
      <w:r>
        <w:rPr>
          <w:rFonts w:hint="eastAsia" w:ascii="Times New Roman" w:hAnsi="Times New Roman" w:cs="宋体"/>
          <w:szCs w:val="21"/>
        </w:rPr>
        <w:t>：48</w:t>
      </w:r>
      <w:r>
        <w:rPr>
          <w:rFonts w:ascii="Times New Roman" w:hAnsi="Times New Roman"/>
          <w:szCs w:val="21"/>
        </w:rPr>
        <w:t>±</w:t>
      </w:r>
      <w:r>
        <w:rPr>
          <w:rFonts w:hint="eastAsia" w:ascii="Times New Roman" w:hAnsi="Times New Roman"/>
          <w:szCs w:val="21"/>
        </w:rPr>
        <w:t xml:space="preserve">2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。</w:t>
      </w:r>
    </w:p>
    <w:p w14:paraId="6A24CDA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3.4  天平：显示分度值为0.1 g。</w:t>
      </w:r>
    </w:p>
    <w:p w14:paraId="7B628B66">
      <w:pPr>
        <w:spacing w:before="156" w:beforeLines="50" w:after="156" w:afterLines="50" w:line="300" w:lineRule="auto"/>
        <w:rPr>
          <w:rFonts w:ascii="Times New Roman" w:hAnsi="Times New Roman"/>
          <w:b/>
          <w:bCs/>
          <w:szCs w:val="21"/>
        </w:rPr>
      </w:pPr>
      <w:r>
        <w:rPr>
          <w:rFonts w:hint="eastAsia" w:ascii="Times New Roman" w:hAnsi="Times New Roman"/>
          <w:szCs w:val="21"/>
        </w:rPr>
        <w:t xml:space="preserve">3.5  </w:t>
      </w:r>
      <w:r>
        <w:rPr>
          <w:rFonts w:ascii="Times New Roman" w:hAnsi="Times New Roman"/>
          <w:szCs w:val="21"/>
        </w:rPr>
        <w:t>均质器及无菌均质袋或无菌</w:t>
      </w:r>
      <w:r>
        <w:rPr>
          <w:rFonts w:hint="eastAsia" w:ascii="Times New Roman" w:hAnsi="Times New Roman"/>
          <w:szCs w:val="21"/>
        </w:rPr>
        <w:t>均质</w:t>
      </w:r>
      <w:r>
        <w:rPr>
          <w:rFonts w:ascii="Times New Roman" w:hAnsi="Times New Roman"/>
          <w:szCs w:val="21"/>
        </w:rPr>
        <w:t>杯。</w:t>
      </w:r>
    </w:p>
    <w:p w14:paraId="53A8E39D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旋涡混合器。</w:t>
      </w:r>
    </w:p>
    <w:p w14:paraId="3C04F0E9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3.</w:t>
      </w:r>
      <w:r>
        <w:rPr>
          <w:rFonts w:hint="eastAsia" w:ascii="Times New Roman" w:hAnsi="Times New Roman"/>
          <w:szCs w:val="21"/>
        </w:rPr>
        <w:t xml:space="preserve">7 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无菌吸管：1 mL（具0.01 mL刻度）、10 mL（具0.1 mL刻度）或微量移液器及配套无菌吸头。</w:t>
      </w:r>
    </w:p>
    <w:p w14:paraId="517C1676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3.</w:t>
      </w:r>
      <w:r>
        <w:rPr>
          <w:rFonts w:hint="eastAsia" w:ascii="Times New Roman" w:hAnsi="Times New Roman"/>
          <w:szCs w:val="21"/>
        </w:rPr>
        <w:t>8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无菌锥形瓶：容量</w:t>
      </w: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50 mL</w:t>
      </w:r>
      <w:r>
        <w:rPr>
          <w:rFonts w:hint="eastAsia" w:ascii="Times New Roman" w:hAnsi="Times New Roman"/>
          <w:szCs w:val="21"/>
        </w:rPr>
        <w:t>、</w:t>
      </w:r>
      <w:r>
        <w:rPr>
          <w:rFonts w:ascii="Times New Roman" w:hAnsi="Times New Roman"/>
          <w:szCs w:val="21"/>
        </w:rPr>
        <w:t>50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 xml:space="preserve"> mL。</w:t>
      </w:r>
    </w:p>
    <w:p w14:paraId="193715DC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3.9  </w:t>
      </w:r>
      <w:r>
        <w:rPr>
          <w:rFonts w:ascii="Times New Roman" w:hAnsi="Times New Roman"/>
          <w:szCs w:val="21"/>
        </w:rPr>
        <w:t>无菌试管</w:t>
      </w:r>
      <w:r>
        <w:rPr>
          <w:rFonts w:hint="eastAsia" w:ascii="Times New Roman" w:hAnsi="Times New Roman"/>
          <w:szCs w:val="21"/>
        </w:rPr>
        <w:t>:18 mm</w:t>
      </w:r>
      <w:r>
        <w:rPr>
          <w:rFonts w:ascii="Times New Roman" w:hAnsi="Times New Roman"/>
          <w:szCs w:val="21"/>
        </w:rPr>
        <w:t>×</w:t>
      </w:r>
      <w:r>
        <w:rPr>
          <w:rFonts w:hint="eastAsia" w:ascii="Times New Roman" w:hAnsi="Times New Roman"/>
          <w:szCs w:val="21"/>
        </w:rPr>
        <w:t>150 mm</w:t>
      </w:r>
      <w:r>
        <w:rPr>
          <w:rFonts w:ascii="Times New Roman" w:hAnsi="Times New Roman"/>
          <w:szCs w:val="21"/>
        </w:rPr>
        <w:t>。</w:t>
      </w:r>
    </w:p>
    <w:p w14:paraId="62793ECD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3.10  无菌平皿：直径90 mm。</w:t>
      </w:r>
    </w:p>
    <w:p w14:paraId="700970EF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3.</w:t>
      </w:r>
      <w:r>
        <w:rPr>
          <w:rFonts w:hint="eastAsia" w:ascii="Times New Roman" w:hAnsi="Times New Roman"/>
          <w:szCs w:val="21"/>
        </w:rPr>
        <w:t>11</w:t>
      </w:r>
      <w:r>
        <w:rPr>
          <w:rFonts w:ascii="Times New Roman" w:hAnsi="Times New Roman"/>
          <w:szCs w:val="21"/>
        </w:rPr>
        <w:t xml:space="preserve">  pH计或pH比色管或精密pH试纸。</w:t>
      </w:r>
    </w:p>
    <w:p w14:paraId="113D4427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ascii="Times New Roman" w:hAnsi="Times New Roman"/>
          <w:szCs w:val="21"/>
        </w:rPr>
        <w:t>3.</w:t>
      </w:r>
      <w:r>
        <w:rPr>
          <w:rFonts w:hint="eastAsia" w:ascii="Times New Roman" w:hAnsi="Times New Roman"/>
          <w:szCs w:val="21"/>
        </w:rPr>
        <w:t xml:space="preserve">12 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放大镜或菌落计数器。</w:t>
      </w:r>
    </w:p>
    <w:p w14:paraId="7FB98908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hint="eastAsia" w:ascii="Times New Roman" w:hAnsi="Times New Roman" w:eastAsia="黑体" w:cs="宋体"/>
          <w:szCs w:val="21"/>
        </w:rPr>
        <w:t>4</w:t>
      </w:r>
      <w:r>
        <w:rPr>
          <w:rFonts w:ascii="Times New Roman" w:hAnsi="Times New Roman" w:eastAsia="黑体" w:cs="宋体"/>
          <w:szCs w:val="21"/>
        </w:rPr>
        <w:t xml:space="preserve"> </w:t>
      </w:r>
      <w:r>
        <w:rPr>
          <w:rFonts w:hint="eastAsia" w:ascii="Times New Roman" w:hAnsi="Times New Roman" w:eastAsia="黑体" w:cs="宋体"/>
          <w:szCs w:val="21"/>
        </w:rPr>
        <w:t xml:space="preserve"> </w:t>
      </w:r>
      <w:r>
        <w:rPr>
          <w:rFonts w:ascii="Times New Roman" w:hAnsi="Times New Roman" w:eastAsia="黑体" w:cs="宋体"/>
          <w:szCs w:val="21"/>
        </w:rPr>
        <w:t>培养基</w:t>
      </w:r>
      <w:r>
        <w:rPr>
          <w:rFonts w:hint="eastAsia" w:ascii="Times New Roman" w:hAnsi="Times New Roman" w:eastAsia="黑体" w:cs="宋体"/>
          <w:szCs w:val="21"/>
        </w:rPr>
        <w:t>、稀释液和试剂</w:t>
      </w:r>
    </w:p>
    <w:p w14:paraId="22738EEC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4.1  生理盐水：见A.1。</w:t>
      </w:r>
    </w:p>
    <w:p w14:paraId="0641B003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4.</w:t>
      </w:r>
      <w:r>
        <w:rPr>
          <w:rFonts w:hint="eastAsia" w:ascii="Times New Roman" w:hAnsi="Times New Roman"/>
          <w:szCs w:val="21"/>
        </w:rPr>
        <w:t xml:space="preserve">2 </w:t>
      </w:r>
      <w:r>
        <w:rPr>
          <w:rFonts w:ascii="Times New Roman" w:hAnsi="Times New Roman"/>
          <w:szCs w:val="21"/>
        </w:rPr>
        <w:t xml:space="preserve"> 卵磷脂吐温80营养琼脂培养基</w:t>
      </w:r>
      <w:r>
        <w:rPr>
          <w:rFonts w:hint="eastAsia" w:ascii="Times New Roman" w:hAnsi="Times New Roman"/>
          <w:szCs w:val="21"/>
        </w:rPr>
        <w:t>：见A.2。</w:t>
      </w:r>
    </w:p>
    <w:p w14:paraId="207404E6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4.</w:t>
      </w:r>
      <w:r>
        <w:rPr>
          <w:rFonts w:hint="eastAsia" w:ascii="Times New Roman" w:hAnsi="Times New Roman"/>
          <w:szCs w:val="21"/>
        </w:rPr>
        <w:t xml:space="preserve">3  </w:t>
      </w:r>
      <w:r>
        <w:rPr>
          <w:rFonts w:hint="eastAsia" w:ascii="Times New Roman" w:hAnsi="Times New Roman" w:cs="宋体"/>
          <w:color w:val="000000"/>
          <w:szCs w:val="21"/>
        </w:rPr>
        <w:t>pH7.0无菌氯化钠-蛋白胨缓冲液：见A.3。</w:t>
      </w:r>
    </w:p>
    <w:p w14:paraId="492D5D3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4.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0.5%氯化三苯四氮唑（2,3,5-triphenyl tetrazolium chloride, TTC）</w:t>
      </w:r>
      <w:r>
        <w:rPr>
          <w:rFonts w:hint="eastAsia" w:ascii="Times New Roman" w:hAnsi="Times New Roman"/>
          <w:szCs w:val="21"/>
        </w:rPr>
        <w:t>：见A.4。</w:t>
      </w:r>
    </w:p>
    <w:p w14:paraId="3A97092E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hint="eastAsia" w:ascii="Times New Roman" w:hAnsi="Times New Roman" w:eastAsia="黑体" w:cs="宋体"/>
          <w:szCs w:val="21"/>
        </w:rPr>
        <w:t>5</w:t>
      </w:r>
      <w:r>
        <w:rPr>
          <w:rFonts w:ascii="Times New Roman" w:hAnsi="Times New Roman" w:eastAsia="黑体" w:cs="宋体"/>
          <w:szCs w:val="21"/>
        </w:rPr>
        <w:t xml:space="preserve"> </w:t>
      </w:r>
      <w:r>
        <w:rPr>
          <w:rFonts w:hint="eastAsia" w:ascii="Times New Roman" w:hAnsi="Times New Roman" w:eastAsia="黑体" w:cs="宋体"/>
          <w:szCs w:val="21"/>
        </w:rPr>
        <w:t xml:space="preserve"> </w:t>
      </w:r>
      <w:r>
        <w:rPr>
          <w:rFonts w:ascii="Times New Roman" w:hAnsi="Times New Roman" w:eastAsia="黑体" w:cs="宋体"/>
          <w:szCs w:val="21"/>
        </w:rPr>
        <w:t>操作步骤</w:t>
      </w:r>
    </w:p>
    <w:p w14:paraId="6F29580F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 xml:space="preserve">.1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样品</w:t>
      </w:r>
      <w:r>
        <w:rPr>
          <w:rFonts w:hint="eastAsia" w:ascii="Times New Roman" w:hAnsi="Times New Roman" w:cs="宋体"/>
          <w:szCs w:val="21"/>
        </w:rPr>
        <w:t>的制备</w:t>
      </w:r>
    </w:p>
    <w:p w14:paraId="59248361">
      <w:pPr>
        <w:widowControl/>
        <w:spacing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按照微生物</w:t>
      </w:r>
      <w:r>
        <w:rPr>
          <w:rFonts w:hint="eastAsia" w:ascii="Times New Roman" w:hAnsi="Times New Roman" w:cs="宋体"/>
          <w:szCs w:val="21"/>
        </w:rPr>
        <w:t>检验</w:t>
      </w:r>
      <w:r>
        <w:rPr>
          <w:rFonts w:ascii="Times New Roman" w:hAnsi="Times New Roman"/>
          <w:szCs w:val="21"/>
        </w:rPr>
        <w:t>方法总则4.3制备1:10</w:t>
      </w:r>
      <w:r>
        <w:rPr>
          <w:rFonts w:hint="eastAsia" w:ascii="Times New Roman" w:hAnsi="Times New Roman"/>
          <w:szCs w:val="21"/>
        </w:rPr>
        <w:t>的</w:t>
      </w:r>
      <w:r>
        <w:rPr>
          <w:rFonts w:ascii="Times New Roman" w:hAnsi="Times New Roman"/>
          <w:szCs w:val="21"/>
        </w:rPr>
        <w:t>检液。</w:t>
      </w:r>
    </w:p>
    <w:p w14:paraId="5FF74893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5.2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 样品的稀释</w:t>
      </w:r>
    </w:p>
    <w:p w14:paraId="461E0F11">
      <w:pPr>
        <w:spacing w:line="300" w:lineRule="auto"/>
        <w:ind w:firstLine="420" w:firstLineChars="200"/>
        <w:jc w:val="left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取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 w:eastAsia="微软雅黑"/>
          <w:szCs w:val="21"/>
        </w:rPr>
        <w:t>:</w:t>
      </w:r>
      <w:r>
        <w:rPr>
          <w:rFonts w:ascii="Times New Roman" w:hAnsi="Times New Roman"/>
          <w:szCs w:val="21"/>
        </w:rPr>
        <w:t>10</w:t>
      </w:r>
      <w:r>
        <w:rPr>
          <w:rFonts w:ascii="Times New Roman" w:hAnsi="Times New Roman" w:cs="宋体"/>
          <w:szCs w:val="21"/>
        </w:rPr>
        <w:t>的检液</w:t>
      </w:r>
      <w:r>
        <w:rPr>
          <w:rFonts w:ascii="Times New Roman" w:hAnsi="Times New Roman" w:cs="宋体"/>
          <w:kern w:val="0"/>
          <w:szCs w:val="21"/>
        </w:rPr>
        <w:t>1 mL注入到9 mL</w:t>
      </w:r>
      <w:r>
        <w:rPr>
          <w:rFonts w:hint="eastAsia" w:ascii="Times New Roman" w:hAnsi="Times New Roman" w:cs="宋体"/>
          <w:kern w:val="0"/>
          <w:szCs w:val="21"/>
        </w:rPr>
        <w:t>稀释液（</w:t>
      </w:r>
      <w:r>
        <w:rPr>
          <w:rFonts w:ascii="Times New Roman" w:hAnsi="Times New Roman" w:cs="宋体"/>
          <w:kern w:val="0"/>
          <w:szCs w:val="21"/>
        </w:rPr>
        <w:t>灭菌生理盐水</w:t>
      </w:r>
      <w:r>
        <w:rPr>
          <w:rFonts w:hint="eastAsia" w:ascii="Times New Roman" w:hAnsi="Times New Roman"/>
          <w:szCs w:val="21"/>
        </w:rPr>
        <w:t>、</w:t>
      </w:r>
      <w:r>
        <w:rPr>
          <w:rFonts w:ascii="Times New Roman" w:hAnsi="Times New Roman"/>
          <w:color w:val="000000"/>
          <w:szCs w:val="21"/>
        </w:rPr>
        <w:t>pH 7.0无菌氯化钠-蛋白胨缓冲液</w:t>
      </w:r>
      <w:r>
        <w:rPr>
          <w:rFonts w:ascii="Times New Roman" w:hAnsi="Times New Roman" w:cs="宋体"/>
          <w:kern w:val="0"/>
          <w:szCs w:val="21"/>
        </w:rPr>
        <w:t>或其他</w:t>
      </w:r>
      <w:r>
        <w:rPr>
          <w:rFonts w:hint="eastAsia" w:ascii="Times New Roman" w:hAnsi="Times New Roman" w:cs="宋体"/>
          <w:kern w:val="0"/>
          <w:szCs w:val="21"/>
        </w:rPr>
        <w:t>适宜</w:t>
      </w:r>
      <w:r>
        <w:rPr>
          <w:rFonts w:ascii="Times New Roman" w:hAnsi="Times New Roman" w:cs="宋体"/>
          <w:kern w:val="0"/>
          <w:szCs w:val="21"/>
        </w:rPr>
        <w:t>的稀释液）中（注意勿使吸管接触液面），充分混匀，制成1</w:t>
      </w:r>
      <w:r>
        <w:rPr>
          <w:rFonts w:hint="eastAsia" w:ascii="微软雅黑" w:hAnsi="微软雅黑" w:eastAsia="微软雅黑" w:cs="微软雅黑"/>
          <w:szCs w:val="21"/>
        </w:rPr>
        <w:t>:</w:t>
      </w:r>
      <w:r>
        <w:rPr>
          <w:rFonts w:ascii="Times New Roman" w:hAnsi="Times New Roman" w:cs="宋体"/>
          <w:kern w:val="0"/>
          <w:szCs w:val="21"/>
        </w:rPr>
        <w:t>100检液</w:t>
      </w:r>
      <w:r>
        <w:rPr>
          <w:rFonts w:ascii="Times New Roman" w:hAnsi="Times New Roman" w:cs="宋体"/>
          <w:szCs w:val="21"/>
        </w:rPr>
        <w:t>。</w:t>
      </w:r>
      <w:r>
        <w:rPr>
          <w:rFonts w:hint="eastAsia" w:ascii="Times New Roman" w:hAnsi="Times New Roman" w:cs="宋体"/>
          <w:kern w:val="0"/>
          <w:szCs w:val="21"/>
        </w:rPr>
        <w:t>依次制备10倍系列稀释检液。每递增稀释一次，更换1次无菌吸管或吸头</w:t>
      </w:r>
      <w:r>
        <w:rPr>
          <w:rFonts w:ascii="Times New Roman" w:hAnsi="Times New Roman" w:cs="宋体"/>
          <w:kern w:val="0"/>
          <w:szCs w:val="21"/>
        </w:rPr>
        <w:t>。</w:t>
      </w:r>
    </w:p>
    <w:p w14:paraId="4E066905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 xml:space="preserve"> 平板计数方法</w:t>
      </w:r>
    </w:p>
    <w:p w14:paraId="1E558EF0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 xml:space="preserve">5.3.1 </w:t>
      </w:r>
      <w:r>
        <w:rPr>
          <w:rFonts w:ascii="Times New Roman" w:hAnsi="Times New Roman" w:cs="宋体"/>
          <w:szCs w:val="21"/>
        </w:rPr>
        <w:t>平板倾注法</w:t>
      </w:r>
    </w:p>
    <w:p w14:paraId="3DC27353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0"/>
        </w:rPr>
        <w:t>根据对样品污染状况的估计，选择1</w:t>
      </w:r>
      <w:r>
        <w:rPr>
          <w:rFonts w:ascii="Times New Roman" w:hAnsi="Times New Roman"/>
          <w:szCs w:val="20"/>
        </w:rPr>
        <w:t>~</w:t>
      </w:r>
      <w:r>
        <w:rPr>
          <w:rFonts w:hint="eastAsia" w:ascii="Times New Roman" w:hAnsi="Times New Roman" w:cs="宋体"/>
          <w:szCs w:val="20"/>
        </w:rPr>
        <w:t>3个适宜稀释度的检液，分别吸</w:t>
      </w:r>
      <w:r>
        <w:rPr>
          <w:rFonts w:ascii="Times New Roman" w:hAnsi="Times New Roman" w:cs="宋体"/>
          <w:szCs w:val="21"/>
        </w:rPr>
        <w:t>取</w:t>
      </w:r>
      <w:r>
        <w:rPr>
          <w:rFonts w:hint="eastAsia" w:ascii="Times New Roman" w:hAnsi="Times New Roman" w:cs="宋体"/>
          <w:szCs w:val="21"/>
        </w:rPr>
        <w:t>1 mL检液于无菌平皿内，每个稀释度做两个平皿。同时，分别吸取1 mL稀释液加入两个无菌平皿内，作为空白对照。</w:t>
      </w:r>
      <w:r>
        <w:rPr>
          <w:rFonts w:ascii="Times New Roman" w:hAnsi="Times New Roman" w:cs="宋体"/>
          <w:szCs w:val="21"/>
        </w:rPr>
        <w:t>将融化并冷却至4</w:t>
      </w: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~</w:t>
      </w:r>
      <w:r>
        <w:rPr>
          <w:rFonts w:hint="eastAsia" w:ascii="Times New Roman" w:hAnsi="Times New Roman" w:cs="宋体"/>
          <w:szCs w:val="21"/>
        </w:rPr>
        <w:t xml:space="preserve">50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的卵磷脂吐温80营养琼脂培养基倾注到平皿内，每</w:t>
      </w:r>
      <w:r>
        <w:rPr>
          <w:rFonts w:hint="eastAsia" w:ascii="Times New Roman" w:hAnsi="Times New Roman" w:cs="宋体"/>
          <w:szCs w:val="21"/>
        </w:rPr>
        <w:t>平</w:t>
      </w:r>
      <w:r>
        <w:rPr>
          <w:rFonts w:ascii="Times New Roman" w:hAnsi="Times New Roman" w:cs="宋体"/>
          <w:szCs w:val="21"/>
        </w:rPr>
        <w:t>皿加入15~20 mL，使</w:t>
      </w:r>
      <w:r>
        <w:rPr>
          <w:rFonts w:hint="eastAsia" w:ascii="Times New Roman" w:hAnsi="Times New Roman" w:cs="宋体"/>
          <w:szCs w:val="21"/>
        </w:rPr>
        <w:t>检液</w:t>
      </w:r>
      <w:r>
        <w:rPr>
          <w:rFonts w:ascii="Times New Roman" w:hAnsi="Times New Roman" w:cs="宋体"/>
          <w:szCs w:val="21"/>
        </w:rPr>
        <w:t>与培养基充分混合均匀</w:t>
      </w:r>
      <w:r>
        <w:rPr>
          <w:rFonts w:hint="eastAsia" w:ascii="Times New Roman" w:hAnsi="Times New Roman" w:cs="宋体"/>
          <w:szCs w:val="21"/>
        </w:rPr>
        <w:t>。</w:t>
      </w:r>
      <w:r>
        <w:rPr>
          <w:rFonts w:ascii="Times New Roman" w:hAnsi="Times New Roman" w:cs="宋体"/>
          <w:szCs w:val="21"/>
        </w:rPr>
        <w:t>待</w:t>
      </w:r>
      <w:r>
        <w:rPr>
          <w:rFonts w:hint="eastAsia" w:ascii="Times New Roman" w:hAnsi="Times New Roman" w:cs="宋体"/>
          <w:szCs w:val="21"/>
        </w:rPr>
        <w:t>培养基</w:t>
      </w:r>
      <w:r>
        <w:rPr>
          <w:rFonts w:ascii="Times New Roman" w:hAnsi="Times New Roman" w:cs="宋体"/>
          <w:szCs w:val="21"/>
        </w:rPr>
        <w:t>凝固后，翻转平板，</w:t>
      </w:r>
      <w:r>
        <w:rPr>
          <w:rFonts w:hint="eastAsia" w:ascii="Times New Roman" w:hAnsi="Times New Roman" w:cs="宋体"/>
          <w:szCs w:val="21"/>
        </w:rPr>
        <w:t>倒</w:t>
      </w:r>
      <w:r>
        <w:rPr>
          <w:rFonts w:ascii="Times New Roman" w:hAnsi="Times New Roman" w:cs="宋体"/>
          <w:szCs w:val="21"/>
        </w:rPr>
        <w:t>置</w:t>
      </w:r>
      <w:r>
        <w:rPr>
          <w:rFonts w:hint="eastAsia" w:ascii="Times New Roman" w:hAnsi="Times New Roman" w:cs="宋体"/>
          <w:szCs w:val="21"/>
        </w:rPr>
        <w:t>于</w:t>
      </w:r>
      <w:r>
        <w:rPr>
          <w:rFonts w:ascii="Times New Roman" w:hAnsi="Times New Roman" w:cs="宋体"/>
          <w:szCs w:val="21"/>
        </w:rPr>
        <w:t>36</w:t>
      </w:r>
      <w:r>
        <w:rPr>
          <w:rFonts w:ascii="Times New Roman" w:hAnsi="Times New Roman"/>
          <w:szCs w:val="21"/>
        </w:rPr>
        <w:t>±</w:t>
      </w:r>
      <w:r>
        <w:rPr>
          <w:rFonts w:ascii="Times New Roman" w:hAnsi="Times New Roman" w:cs="宋体"/>
          <w:szCs w:val="21"/>
        </w:rPr>
        <w:t>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培养箱内培养48±2 h。</w:t>
      </w:r>
    </w:p>
    <w:p w14:paraId="6D08D1AD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为便于区别化妆品中的颗粒与菌落，</w:t>
      </w:r>
      <w:r>
        <w:rPr>
          <w:rFonts w:hint="eastAsia" w:ascii="Times New Roman" w:hAnsi="Times New Roman" w:cs="宋体"/>
          <w:szCs w:val="21"/>
        </w:rPr>
        <w:t>如有必要，</w:t>
      </w:r>
      <w:r>
        <w:rPr>
          <w:rFonts w:ascii="Times New Roman" w:hAnsi="Times New Roman" w:cs="宋体"/>
          <w:szCs w:val="21"/>
        </w:rPr>
        <w:t>可在每100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mL卵磷脂吐温80营养琼脂中加入0.1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mL 0.5%的TTC溶液</w:t>
      </w:r>
      <w:r>
        <w:rPr>
          <w:rFonts w:hint="eastAsia" w:ascii="Times New Roman" w:hAnsi="Times New Roman" w:cs="宋体"/>
          <w:szCs w:val="21"/>
        </w:rPr>
        <w:t>。</w:t>
      </w:r>
      <w:r>
        <w:rPr>
          <w:rFonts w:ascii="Times New Roman" w:hAnsi="Times New Roman" w:cs="宋体"/>
          <w:szCs w:val="21"/>
        </w:rPr>
        <w:t>如有细菌存在，培养后的菌落呈橙红色，而化妆品</w:t>
      </w:r>
      <w:r>
        <w:rPr>
          <w:rFonts w:hint="eastAsia" w:ascii="Times New Roman" w:hAnsi="Times New Roman" w:cs="宋体"/>
          <w:szCs w:val="21"/>
        </w:rPr>
        <w:t>中的</w:t>
      </w:r>
      <w:r>
        <w:rPr>
          <w:rFonts w:ascii="Times New Roman" w:hAnsi="Times New Roman" w:cs="宋体"/>
          <w:szCs w:val="21"/>
        </w:rPr>
        <w:t>颗粒颜色无变化。</w:t>
      </w:r>
    </w:p>
    <w:p w14:paraId="35CDFDD0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3.2</w:t>
      </w:r>
      <w:r>
        <w:rPr>
          <w:rFonts w:ascii="Times New Roman" w:hAnsi="Times New Roman" w:cs="宋体"/>
          <w:szCs w:val="21"/>
        </w:rPr>
        <w:t xml:space="preserve"> 薄膜过滤法</w:t>
      </w:r>
    </w:p>
    <w:p w14:paraId="570EC209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为消除样品</w:t>
      </w:r>
      <w:r>
        <w:rPr>
          <w:rFonts w:ascii="Times New Roman" w:hAnsi="Times New Roman" w:cs="宋体"/>
          <w:szCs w:val="21"/>
        </w:rPr>
        <w:t>抑菌性，若性质允许，可</w:t>
      </w:r>
      <w:r>
        <w:rPr>
          <w:rFonts w:hint="eastAsia" w:ascii="Times New Roman" w:hAnsi="Times New Roman" w:cs="宋体"/>
          <w:szCs w:val="21"/>
        </w:rPr>
        <w:t>采用微生物检验方法总则附录E中的薄膜过滤法进行计数，</w:t>
      </w:r>
      <w:r>
        <w:rPr>
          <w:rFonts w:ascii="Times New Roman" w:hAnsi="Times New Roman" w:cs="宋体"/>
          <w:szCs w:val="21"/>
        </w:rPr>
        <w:t>冲洗完成后，将滤膜取出，过滤面朝上</w:t>
      </w:r>
      <w:r>
        <w:rPr>
          <w:rFonts w:hint="eastAsia" w:ascii="Times New Roman" w:hAnsi="Times New Roman" w:cs="宋体"/>
          <w:szCs w:val="21"/>
        </w:rPr>
        <w:t>贴于卵磷脂吐温80营养琼脂平板上，</w:t>
      </w:r>
      <w:r>
        <w:rPr>
          <w:rFonts w:ascii="Times New Roman" w:hAnsi="Times New Roman" w:cs="宋体"/>
          <w:szCs w:val="21"/>
        </w:rPr>
        <w:t>翻转平板，置36</w:t>
      </w:r>
      <w:r>
        <w:rPr>
          <w:rFonts w:ascii="Times New Roman" w:hAnsi="Times New Roman"/>
          <w:szCs w:val="21"/>
        </w:rPr>
        <w:t>±</w:t>
      </w:r>
      <w:r>
        <w:rPr>
          <w:rFonts w:ascii="Times New Roman" w:hAnsi="Times New Roman" w:cs="宋体"/>
          <w:szCs w:val="21"/>
        </w:rPr>
        <w:t>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培养箱内培养48±2 h。</w:t>
      </w:r>
      <w:r>
        <w:rPr>
          <w:rFonts w:hint="eastAsia" w:ascii="Times New Roman" w:hAnsi="Times New Roman" w:cs="宋体"/>
          <w:szCs w:val="21"/>
        </w:rPr>
        <w:t>以稀释液代替检液，按照薄膜过滤法的操作步骤进行空白对照试验。</w:t>
      </w:r>
    </w:p>
    <w:p w14:paraId="1CBE4DA9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/>
          <w:szCs w:val="21"/>
        </w:rPr>
        <w:t xml:space="preserve">5.4  </w:t>
      </w:r>
      <w:r>
        <w:rPr>
          <w:rFonts w:ascii="Times New Roman" w:hAnsi="Times New Roman" w:cs="宋体"/>
          <w:szCs w:val="21"/>
        </w:rPr>
        <w:t>若实验室按</w:t>
      </w:r>
      <w:r>
        <w:rPr>
          <w:rFonts w:hint="eastAsia" w:ascii="Times New Roman" w:hAnsi="Times New Roman" w:cs="宋体"/>
          <w:szCs w:val="21"/>
        </w:rPr>
        <w:t>照</w:t>
      </w:r>
      <w:r>
        <w:rPr>
          <w:rFonts w:ascii="Times New Roman" w:hAnsi="Times New Roman" w:cs="宋体"/>
          <w:szCs w:val="21"/>
        </w:rPr>
        <w:t>微生物检验方法总则</w:t>
      </w:r>
      <w:r>
        <w:rPr>
          <w:rFonts w:hint="eastAsia" w:ascii="Times New Roman" w:hAnsi="Times New Roman" w:cs="宋体"/>
          <w:szCs w:val="21"/>
        </w:rPr>
        <w:t>附录E</w:t>
      </w:r>
      <w:r>
        <w:rPr>
          <w:rFonts w:ascii="Times New Roman" w:hAnsi="Times New Roman" w:cs="宋体"/>
          <w:szCs w:val="21"/>
        </w:rPr>
        <w:t>开展方法适用性试验，可采用经适用性试验确认的方法进行菌</w:t>
      </w:r>
      <w:r>
        <w:rPr>
          <w:rFonts w:hint="eastAsia" w:ascii="Times New Roman" w:hAnsi="Times New Roman" w:cs="宋体"/>
          <w:szCs w:val="21"/>
        </w:rPr>
        <w:t>落</w:t>
      </w:r>
      <w:r>
        <w:rPr>
          <w:rFonts w:ascii="Times New Roman" w:hAnsi="Times New Roman" w:cs="宋体"/>
          <w:szCs w:val="21"/>
        </w:rPr>
        <w:t>总数</w:t>
      </w:r>
      <w:r>
        <w:rPr>
          <w:rFonts w:hint="eastAsia" w:ascii="Times New Roman" w:hAnsi="Times New Roman" w:cs="宋体"/>
          <w:szCs w:val="21"/>
        </w:rPr>
        <w:t>的检验</w:t>
      </w:r>
      <w:r>
        <w:rPr>
          <w:rFonts w:hint="eastAsia" w:ascii="Times New Roman" w:hAnsi="Times New Roman"/>
          <w:szCs w:val="21"/>
        </w:rPr>
        <w:t>。推荐质控菌株信息详见附录B</w:t>
      </w:r>
    </w:p>
    <w:p w14:paraId="0EFFFB54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菌落计数</w:t>
      </w:r>
    </w:p>
    <w:p w14:paraId="3AA97883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.1 先用肉眼观察，必要时用放大镜或菌落计数器，记录稀释倍数和相应的菌落数量。菌落计数以菌落形成单位</w:t>
      </w:r>
      <w:r>
        <w:rPr>
          <w:rFonts w:hint="eastAsia" w:ascii="Times New Roman" w:hAnsi="Times New Roman" w:cs="宋体"/>
          <w:szCs w:val="21"/>
        </w:rPr>
        <w:t>（</w:t>
      </w:r>
      <w:r>
        <w:rPr>
          <w:rFonts w:ascii="Times New Roman" w:hAnsi="Times New Roman" w:cs="宋体"/>
          <w:szCs w:val="21"/>
        </w:rPr>
        <w:t>colony forming unit，CFU</w:t>
      </w:r>
      <w:r>
        <w:rPr>
          <w:rFonts w:hint="eastAsia" w:ascii="Times New Roman" w:hAnsi="Times New Roman" w:cs="宋体"/>
          <w:szCs w:val="21"/>
        </w:rPr>
        <w:t>）</w:t>
      </w:r>
      <w:r>
        <w:rPr>
          <w:rFonts w:ascii="Times New Roman" w:hAnsi="Times New Roman" w:cs="宋体"/>
          <w:szCs w:val="21"/>
        </w:rPr>
        <w:t>表示。</w:t>
      </w:r>
    </w:p>
    <w:p w14:paraId="7A04CA8D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.2 选取菌落数在30~300 CFU之间</w:t>
      </w:r>
      <w:r>
        <w:rPr>
          <w:rFonts w:hint="eastAsia" w:ascii="Times New Roman" w:hAnsi="Times New Roman" w:cs="宋体"/>
          <w:szCs w:val="21"/>
        </w:rPr>
        <w:t>、</w:t>
      </w:r>
      <w:r>
        <w:rPr>
          <w:rFonts w:ascii="Times New Roman" w:hAnsi="Times New Roman" w:cs="宋体"/>
          <w:szCs w:val="21"/>
        </w:rPr>
        <w:t>无蔓延菌落生长的平板计</w:t>
      </w:r>
      <w:r>
        <w:rPr>
          <w:rFonts w:hint="eastAsia" w:ascii="Times New Roman" w:hAnsi="Times New Roman" w:cs="宋体"/>
          <w:szCs w:val="21"/>
        </w:rPr>
        <w:t>算</w:t>
      </w:r>
      <w:r>
        <w:rPr>
          <w:rFonts w:ascii="Times New Roman" w:hAnsi="Times New Roman" w:cs="宋体"/>
          <w:szCs w:val="21"/>
        </w:rPr>
        <w:t>菌落总数。低于30 CFU的平板记录具体菌落数</w:t>
      </w:r>
      <w:r>
        <w:rPr>
          <w:rFonts w:hint="eastAsia" w:ascii="Times New Roman" w:hAnsi="Times New Roman" w:cs="宋体"/>
          <w:szCs w:val="21"/>
        </w:rPr>
        <w:t>；</w:t>
      </w:r>
      <w:r>
        <w:rPr>
          <w:rFonts w:ascii="Times New Roman" w:hAnsi="Times New Roman" w:cs="宋体"/>
          <w:szCs w:val="21"/>
        </w:rPr>
        <w:t>若所有稀释度的平板上菌落数均大于300 CFU</w:t>
      </w:r>
      <w:r>
        <w:rPr>
          <w:rFonts w:hint="eastAsia" w:ascii="Times New Roman" w:hAnsi="Times New Roman" w:cs="宋体"/>
          <w:szCs w:val="21"/>
        </w:rPr>
        <w:t>，</w:t>
      </w:r>
      <w:r>
        <w:rPr>
          <w:rFonts w:ascii="Times New Roman" w:hAnsi="Times New Roman" w:cs="宋体"/>
          <w:szCs w:val="21"/>
        </w:rPr>
        <w:t>则对稀释度最高的平板进行计数，其他平板可记录为多不可计。</w:t>
      </w:r>
    </w:p>
    <w:p w14:paraId="2486A25E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.3 其中一个平板有较大片状菌落生长时，则不宜采用，而应以无较大片状菌落生长的平板</w:t>
      </w:r>
      <w:r>
        <w:rPr>
          <w:rFonts w:hint="eastAsia" w:ascii="Times New Roman" w:hAnsi="Times New Roman" w:cs="宋体"/>
          <w:szCs w:val="21"/>
        </w:rPr>
        <w:t>计算</w:t>
      </w:r>
      <w:r>
        <w:rPr>
          <w:rFonts w:ascii="Times New Roman" w:hAnsi="Times New Roman" w:cs="宋体"/>
          <w:szCs w:val="21"/>
        </w:rPr>
        <w:t>该稀释度的菌落数；若片状菌落不到平板的一半，而其余一半中菌落分布又很均匀，可计算半个平板</w:t>
      </w:r>
      <w:r>
        <w:rPr>
          <w:rFonts w:hint="eastAsia" w:ascii="Times New Roman" w:hAnsi="Times New Roman" w:cs="宋体"/>
          <w:szCs w:val="21"/>
        </w:rPr>
        <w:t>菌落数</w:t>
      </w:r>
      <w:r>
        <w:rPr>
          <w:rFonts w:ascii="Times New Roman" w:hAnsi="Times New Roman" w:cs="宋体"/>
          <w:szCs w:val="21"/>
        </w:rPr>
        <w:t>后乘以2，代表一个平板菌落数。</w:t>
      </w:r>
    </w:p>
    <w:p w14:paraId="736F464F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5</w:t>
      </w:r>
      <w:r>
        <w:rPr>
          <w:rFonts w:ascii="Times New Roman" w:hAnsi="Times New Roman" w:cs="宋体"/>
          <w:szCs w:val="21"/>
        </w:rPr>
        <w:t>.4 当平板上出现菌落间无明显界线的链状生长时</w:t>
      </w:r>
      <w:r>
        <w:rPr>
          <w:rFonts w:hint="eastAsia" w:ascii="Times New Roman" w:hAnsi="Times New Roman" w:cs="宋体"/>
          <w:szCs w:val="21"/>
        </w:rPr>
        <w:t>，</w:t>
      </w:r>
      <w:r>
        <w:rPr>
          <w:rFonts w:ascii="Times New Roman" w:hAnsi="Times New Roman" w:cs="宋体"/>
          <w:szCs w:val="21"/>
        </w:rPr>
        <w:t>则将每条单链作为一个菌落计数</w:t>
      </w:r>
      <w:r>
        <w:rPr>
          <w:rFonts w:hint="eastAsia" w:ascii="Times New Roman" w:hAnsi="Times New Roman" w:cs="宋体"/>
          <w:szCs w:val="21"/>
        </w:rPr>
        <w:t>。</w:t>
      </w:r>
    </w:p>
    <w:p w14:paraId="3792FF62">
      <w:pPr>
        <w:spacing w:before="156" w:beforeLines="50" w:after="156" w:afterLines="50" w:line="300" w:lineRule="auto"/>
        <w:rPr>
          <w:rFonts w:ascii="Times New Roman" w:hAnsi="Times New Roman" w:eastAsia="黑体" w:cs="宋体"/>
          <w:szCs w:val="21"/>
        </w:rPr>
      </w:pPr>
      <w:r>
        <w:rPr>
          <w:rFonts w:hint="eastAsia" w:ascii="Times New Roman" w:hAnsi="Times New Roman" w:eastAsia="黑体" w:cs="宋体"/>
          <w:szCs w:val="21"/>
        </w:rPr>
        <w:t>6</w:t>
      </w:r>
      <w:r>
        <w:rPr>
          <w:rFonts w:ascii="Times New Roman" w:hAnsi="Times New Roman" w:eastAsia="黑体" w:cs="宋体"/>
          <w:szCs w:val="21"/>
        </w:rPr>
        <w:t xml:space="preserve"> </w:t>
      </w:r>
      <w:r>
        <w:rPr>
          <w:rFonts w:hint="eastAsia" w:ascii="Times New Roman" w:hAnsi="Times New Roman" w:eastAsia="黑体" w:cs="宋体"/>
          <w:szCs w:val="21"/>
        </w:rPr>
        <w:t xml:space="preserve"> </w:t>
      </w:r>
      <w:r>
        <w:rPr>
          <w:rFonts w:ascii="Times New Roman" w:hAnsi="Times New Roman" w:eastAsia="黑体" w:cs="宋体"/>
          <w:szCs w:val="21"/>
        </w:rPr>
        <w:t>结果与报告</w:t>
      </w:r>
    </w:p>
    <w:p w14:paraId="76991637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 xml:space="preserve">.1 </w:t>
      </w:r>
      <w:r>
        <w:rPr>
          <w:rFonts w:hint="eastAsia" w:ascii="Times New Roman" w:hAnsi="Times New Roman" w:cs="宋体"/>
          <w:szCs w:val="21"/>
        </w:rPr>
        <w:t xml:space="preserve"> 平板倾注法</w:t>
      </w:r>
      <w:r>
        <w:rPr>
          <w:rFonts w:ascii="Times New Roman" w:hAnsi="Times New Roman" w:cs="宋体"/>
          <w:szCs w:val="21"/>
        </w:rPr>
        <w:t>菌落总数的计算方法</w:t>
      </w:r>
    </w:p>
    <w:p w14:paraId="24020ED9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.1.1 若只有一个稀释度的两个平板菌落数在适宜计数范围内，计算两个平板菌落数的平均值，再将平均值乘以相应稀释倍数，作为每g</w:t>
      </w:r>
      <w:r>
        <w:rPr>
          <w:rFonts w:hint="eastAsia" w:ascii="Times New Roman" w:hAnsi="Times New Roman" w:cs="宋体"/>
          <w:szCs w:val="21"/>
        </w:rPr>
        <w:t>（</w:t>
      </w:r>
      <w:r>
        <w:rPr>
          <w:rFonts w:ascii="Times New Roman" w:hAnsi="Times New Roman" w:cs="宋体"/>
          <w:szCs w:val="21"/>
        </w:rPr>
        <w:t>mL</w:t>
      </w:r>
      <w:r>
        <w:rPr>
          <w:rFonts w:hint="eastAsia" w:ascii="Times New Roman" w:hAnsi="Times New Roman" w:cs="宋体"/>
          <w:szCs w:val="21"/>
        </w:rPr>
        <w:t>）</w:t>
      </w:r>
      <w:r>
        <w:rPr>
          <w:rFonts w:ascii="Times New Roman" w:hAnsi="Times New Roman" w:cs="宋体"/>
          <w:szCs w:val="21"/>
        </w:rPr>
        <w:t>样品中菌落总数结果</w:t>
      </w:r>
      <w:r>
        <w:rPr>
          <w:rFonts w:hint="eastAsia" w:ascii="Times New Roman" w:hAnsi="Times New Roman" w:cs="宋体"/>
          <w:szCs w:val="21"/>
        </w:rPr>
        <w:t>（见表1中例1）</w:t>
      </w:r>
      <w:r>
        <w:rPr>
          <w:rFonts w:ascii="Times New Roman" w:hAnsi="Times New Roman" w:cs="宋体"/>
          <w:szCs w:val="21"/>
        </w:rPr>
        <w:t>。</w:t>
      </w:r>
    </w:p>
    <w:p w14:paraId="1663E552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.1.2 若有两个连续稀释度的平板菌落数在适宜计数范围内，按式（1）计算</w:t>
      </w:r>
      <w:r>
        <w:rPr>
          <w:rFonts w:hint="eastAsia" w:ascii="Times New Roman" w:hAnsi="Times New Roman" w:cs="宋体"/>
          <w:szCs w:val="21"/>
        </w:rPr>
        <w:t>（见表1中例2）</w:t>
      </w:r>
      <w:r>
        <w:rPr>
          <w:rFonts w:ascii="Times New Roman" w:hAnsi="Times New Roman" w:cs="宋体"/>
          <w:szCs w:val="21"/>
        </w:rPr>
        <w:t>。</w:t>
      </w:r>
    </w:p>
    <w:p w14:paraId="529DAD4E">
      <w:pPr>
        <w:spacing w:line="300" w:lineRule="auto"/>
        <w:ind w:firstLine="3120" w:firstLineChars="1300"/>
        <w:jc w:val="right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i/>
          <w:sz w:val="24"/>
          <w:szCs w:val="24"/>
        </w:rPr>
        <w:t>N</w:t>
      </w:r>
      <w:r>
        <w:rPr>
          <w:rFonts w:ascii="Times New Roman" w:hAnsi="Times New Roman" w:cs="宋体"/>
          <w:i/>
          <w:sz w:val="24"/>
          <w:szCs w:val="24"/>
        </w:rPr>
        <w:t>=</w:t>
      </w:r>
      <w:r>
        <w:rPr>
          <w:rFonts w:ascii="Times New Roman" w:hAnsi="Times New Roman" w:cs="宋体"/>
          <w:i/>
          <w:position w:val="-30"/>
          <w:sz w:val="24"/>
          <w:szCs w:val="21"/>
        </w:rPr>
        <w:object>
          <v:shape id="_x0000_i1025" o:spt="75" type="#_x0000_t75" style="height:33.4pt;width:67.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Times New Roman" w:hAnsi="Times New Roman" w:cs="宋体"/>
          <w:szCs w:val="21"/>
        </w:rPr>
        <w:t xml:space="preserve">                          </w:t>
      </w:r>
      <w:r>
        <w:rPr>
          <w:rFonts w:ascii="Times New Roman" w:hAnsi="Times New Roman"/>
          <w:szCs w:val="21"/>
        </w:rPr>
        <w:t>（1）</w:t>
      </w:r>
    </w:p>
    <w:p w14:paraId="3718BE93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式中：</w:t>
      </w:r>
      <w:r>
        <w:rPr>
          <w:rFonts w:hint="eastAsia" w:ascii="Times New Roman" w:hAnsi="Times New Roman" w:cs="宋体"/>
          <w:i/>
          <w:sz w:val="24"/>
          <w:szCs w:val="24"/>
        </w:rPr>
        <w:t>N</w:t>
      </w:r>
      <w:r>
        <w:rPr>
          <w:rFonts w:ascii="Times New Roman" w:hAnsi="Times New Roman" w:cs="宋体"/>
          <w:szCs w:val="21"/>
        </w:rPr>
        <w:t>——样品中菌落数；</w:t>
      </w:r>
    </w:p>
    <w:p w14:paraId="61B5AF6C">
      <w:pPr>
        <w:spacing w:line="300" w:lineRule="auto"/>
        <w:ind w:firstLine="1050" w:firstLineChars="5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position w:val="-8"/>
          <w:szCs w:val="21"/>
        </w:rPr>
        <w:object>
          <v:shape id="_x0000_i1026" o:spt="75" type="#_x0000_t75" style="height:15pt;width:21.9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ascii="Times New Roman" w:hAnsi="Times New Roman" w:cs="宋体"/>
          <w:szCs w:val="21"/>
        </w:rPr>
        <w:t>——平板（含适宜范围菌落数的平板）菌落数之和；</w:t>
      </w:r>
    </w:p>
    <w:p w14:paraId="02050D77">
      <w:pPr>
        <w:spacing w:line="300" w:lineRule="auto"/>
        <w:ind w:firstLine="1050" w:firstLineChars="5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position w:val="-10"/>
          <w:szCs w:val="21"/>
        </w:rPr>
        <w:object>
          <v:shape id="_x0000_i1027" o:spt="75" type="#_x0000_t75" style="height:16.7pt;width:11.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ascii="Times New Roman" w:hAnsi="Times New Roman" w:cs="宋体"/>
          <w:szCs w:val="21"/>
        </w:rPr>
        <w:t>——第一稀释度（低稀释度）平</w:t>
      </w:r>
      <w:r>
        <w:rPr>
          <w:rFonts w:hint="eastAsia" w:ascii="Times New Roman" w:hAnsi="Times New Roman" w:cs="宋体"/>
          <w:szCs w:val="21"/>
        </w:rPr>
        <w:t>板</w:t>
      </w:r>
      <w:r>
        <w:rPr>
          <w:rFonts w:ascii="Times New Roman" w:hAnsi="Times New Roman" w:cs="宋体"/>
          <w:szCs w:val="21"/>
        </w:rPr>
        <w:t>个数；</w:t>
      </w:r>
    </w:p>
    <w:p w14:paraId="30BF0958">
      <w:pPr>
        <w:spacing w:line="300" w:lineRule="auto"/>
        <w:ind w:firstLine="1050" w:firstLineChars="5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position w:val="-10"/>
          <w:szCs w:val="21"/>
        </w:rPr>
        <w:object>
          <v:shape id="_x0000_i1028" o:spt="75" type="#_x0000_t75" style="height:16.7pt;width:14.4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ascii="Times New Roman" w:hAnsi="Times New Roman" w:cs="宋体"/>
          <w:szCs w:val="21"/>
        </w:rPr>
        <w:t>——第二稀释度（高稀释度）平</w:t>
      </w:r>
      <w:r>
        <w:rPr>
          <w:rFonts w:hint="eastAsia" w:ascii="Times New Roman" w:hAnsi="Times New Roman" w:cs="宋体"/>
          <w:szCs w:val="21"/>
        </w:rPr>
        <w:t>板</w:t>
      </w:r>
      <w:r>
        <w:rPr>
          <w:rFonts w:ascii="Times New Roman" w:hAnsi="Times New Roman" w:cs="宋体"/>
          <w:szCs w:val="21"/>
        </w:rPr>
        <w:t>个数；</w:t>
      </w:r>
    </w:p>
    <w:p w14:paraId="6F64EA2F">
      <w:pPr>
        <w:spacing w:line="300" w:lineRule="auto"/>
        <w:ind w:firstLine="1050" w:firstLineChars="5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position w:val="-6"/>
          <w:szCs w:val="21"/>
        </w:rPr>
        <w:object>
          <v:shape id="_x0000_i1029" o:spt="75" type="#_x0000_t75" style="height:14.4pt;width:10.9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rFonts w:ascii="Times New Roman" w:hAnsi="Times New Roman" w:cs="宋体"/>
          <w:szCs w:val="21"/>
        </w:rPr>
        <w:t>——稀释因子（第一稀释度）。</w:t>
      </w:r>
    </w:p>
    <w:p w14:paraId="5FC91E00">
      <w:pPr>
        <w:spacing w:line="300" w:lineRule="auto"/>
        <w:rPr>
          <w:rFonts w:ascii="Times New Roman" w:hAnsi="Times New Roman" w:cs="宋体"/>
          <w:color w:val="000000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.1.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color w:val="FF0000"/>
          <w:szCs w:val="21"/>
        </w:rPr>
        <w:t xml:space="preserve"> </w:t>
      </w:r>
      <w:r>
        <w:rPr>
          <w:rFonts w:ascii="Times New Roman" w:hAnsi="Times New Roman" w:cs="宋体"/>
          <w:color w:val="000000"/>
          <w:szCs w:val="21"/>
        </w:rPr>
        <w:t>若所有稀释度的</w:t>
      </w:r>
      <w:r>
        <w:rPr>
          <w:rFonts w:ascii="Times New Roman" w:hAnsi="Times New Roman" w:cs="宋体"/>
          <w:szCs w:val="21"/>
        </w:rPr>
        <w:t>平板</w:t>
      </w:r>
      <w:r>
        <w:rPr>
          <w:rFonts w:ascii="Times New Roman" w:hAnsi="Times New Roman" w:cs="宋体"/>
          <w:color w:val="000000"/>
          <w:szCs w:val="21"/>
        </w:rPr>
        <w:t>菌落数均小于30 CFU，则应按稀释度最低的平均菌落数乘以稀释倍数计算</w:t>
      </w:r>
      <w:r>
        <w:rPr>
          <w:rFonts w:hint="eastAsia" w:ascii="Times New Roman" w:hAnsi="Times New Roman" w:cs="宋体"/>
          <w:szCs w:val="21"/>
        </w:rPr>
        <w:t>（见表1中例3）</w:t>
      </w:r>
      <w:r>
        <w:rPr>
          <w:rFonts w:ascii="Times New Roman" w:hAnsi="Times New Roman" w:cs="宋体"/>
          <w:color w:val="000000"/>
          <w:szCs w:val="21"/>
        </w:rPr>
        <w:t>。</w:t>
      </w:r>
    </w:p>
    <w:p w14:paraId="2CD3EE47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若所有稀释度的平板上菌落数均大于300 CFU，结果按平均菌落数乘以最高稀释倍数计算（见表1中例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）。</w:t>
      </w:r>
    </w:p>
    <w:p w14:paraId="0E978FEB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.1.5 若所有稀释度平板均无菌生长</w:t>
      </w:r>
      <w:r>
        <w:rPr>
          <w:rFonts w:hint="eastAsia" w:ascii="Times New Roman" w:hAnsi="Times New Roman" w:cs="宋体"/>
          <w:szCs w:val="21"/>
        </w:rPr>
        <w:t>或平均菌落数小于1时</w:t>
      </w:r>
      <w:r>
        <w:rPr>
          <w:rFonts w:ascii="Times New Roman" w:hAnsi="Times New Roman" w:cs="宋体"/>
          <w:szCs w:val="21"/>
        </w:rPr>
        <w:t>，则以小于1乘以最低稀释倍数计算</w:t>
      </w:r>
      <w:r>
        <w:rPr>
          <w:rFonts w:hint="eastAsia" w:ascii="Times New Roman" w:hAnsi="Times New Roman" w:cs="宋体"/>
          <w:szCs w:val="21"/>
        </w:rPr>
        <w:t>（见表1中例5和例6）</w:t>
      </w:r>
      <w:r>
        <w:rPr>
          <w:rFonts w:ascii="Times New Roman" w:hAnsi="Times New Roman" w:cs="宋体"/>
          <w:szCs w:val="21"/>
        </w:rPr>
        <w:t>。</w:t>
      </w:r>
    </w:p>
    <w:p w14:paraId="0BEEB8F5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.1.6 若所有稀释度的平板菌落数均不在30~300 CFU之间，其中一部分小于30 CFU或大于300 CFU时，则以最接近30 CFU或300 CFU的平均菌落数乘以稀释倍数计算</w:t>
      </w:r>
      <w:r>
        <w:rPr>
          <w:rFonts w:hint="eastAsia" w:ascii="Times New Roman" w:hAnsi="Times New Roman" w:cs="宋体"/>
          <w:szCs w:val="21"/>
        </w:rPr>
        <w:t>（见表1中例7）</w:t>
      </w:r>
      <w:r>
        <w:rPr>
          <w:rFonts w:ascii="Times New Roman" w:hAnsi="Times New Roman" w:cs="宋体"/>
          <w:szCs w:val="21"/>
        </w:rPr>
        <w:t>。</w:t>
      </w:r>
    </w:p>
    <w:p w14:paraId="7DD6DAF3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6.2  薄膜过滤法菌落总数的计算方法</w:t>
      </w:r>
    </w:p>
    <w:p w14:paraId="5A55BEA8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薄膜过滤法</w:t>
      </w:r>
      <w:r>
        <w:rPr>
          <w:rFonts w:ascii="Times New Roman" w:hAnsi="Times New Roman" w:cs="宋体"/>
          <w:szCs w:val="21"/>
        </w:rPr>
        <w:t>选取菌落数在</w:t>
      </w:r>
      <w:r>
        <w:rPr>
          <w:rFonts w:hint="eastAsia" w:ascii="Times New Roman" w:hAnsi="Times New Roman" w:cs="宋体"/>
          <w:szCs w:val="21"/>
        </w:rPr>
        <w:t>15</w:t>
      </w:r>
      <w:r>
        <w:rPr>
          <w:rFonts w:ascii="Times New Roman" w:hAnsi="Times New Roman" w:cs="宋体"/>
          <w:szCs w:val="21"/>
        </w:rPr>
        <w:t>~</w:t>
      </w:r>
      <w:r>
        <w:rPr>
          <w:rFonts w:hint="eastAsia" w:ascii="Times New Roman" w:hAnsi="Times New Roman" w:cs="宋体"/>
          <w:szCs w:val="21"/>
        </w:rPr>
        <w:t>150</w:t>
      </w:r>
      <w:r>
        <w:rPr>
          <w:rFonts w:ascii="Times New Roman" w:hAnsi="Times New Roman" w:cs="宋体"/>
          <w:szCs w:val="21"/>
        </w:rPr>
        <w:t xml:space="preserve"> CFU的薄膜进行菌落计数</w:t>
      </w:r>
      <w:r>
        <w:rPr>
          <w:rFonts w:hint="eastAsia" w:ascii="Times New Roman" w:hAnsi="Times New Roman" w:cs="宋体"/>
          <w:szCs w:val="21"/>
        </w:rPr>
        <w:t>，计数方法和计算方法均同平板倾注法。</w:t>
      </w:r>
    </w:p>
    <w:p w14:paraId="5CC73910">
      <w:pPr>
        <w:spacing w:before="156" w:beforeLines="50" w:after="156" w:afterLines="50" w:line="300" w:lineRule="auto"/>
        <w:jc w:val="center"/>
        <w:rPr>
          <w:rFonts w:ascii="Times New Roman" w:hAnsi="Times New Roman" w:cs="宋体"/>
          <w:szCs w:val="21"/>
        </w:rPr>
      </w:pPr>
      <w:r>
        <w:rPr>
          <w:rFonts w:ascii="Times New Roman" w:hAnsi="Times New Roman" w:eastAsia="黑体" w:cs="宋体"/>
          <w:szCs w:val="21"/>
        </w:rPr>
        <w:t xml:space="preserve">表1 </w:t>
      </w:r>
      <w:r>
        <w:rPr>
          <w:rFonts w:hint="eastAsia" w:ascii="Times New Roman" w:hAnsi="Times New Roman" w:eastAsia="黑体" w:cs="宋体"/>
          <w:szCs w:val="21"/>
        </w:rPr>
        <w:t>菌落总数</w:t>
      </w:r>
      <w:r>
        <w:rPr>
          <w:rFonts w:ascii="Times New Roman" w:hAnsi="Times New Roman" w:eastAsia="黑体" w:cs="宋体"/>
          <w:szCs w:val="21"/>
        </w:rPr>
        <w:t>计数结果及报告方式</w:t>
      </w:r>
    </w:p>
    <w:tbl>
      <w:tblPr>
        <w:tblStyle w:val="3"/>
        <w:tblW w:w="495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278"/>
        <w:gridCol w:w="1266"/>
        <w:gridCol w:w="1092"/>
        <w:gridCol w:w="2139"/>
        <w:gridCol w:w="2125"/>
      </w:tblGrid>
      <w:tr w14:paraId="5F223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tblHeader/>
        </w:trPr>
        <w:tc>
          <w:tcPr>
            <w:tcW w:w="318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3816F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例次</w:t>
            </w:r>
          </w:p>
        </w:tc>
        <w:tc>
          <w:tcPr>
            <w:tcW w:w="2154" w:type="pct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CD5106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不同稀释度菌落数</w:t>
            </w:r>
          </w:p>
        </w:tc>
        <w:tc>
          <w:tcPr>
            <w:tcW w:w="1267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F6E691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菌落总数</w:t>
            </w:r>
          </w:p>
          <w:p w14:paraId="4AD64861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（CFU/mL或CFU/g）</w:t>
            </w:r>
          </w:p>
        </w:tc>
        <w:tc>
          <w:tcPr>
            <w:tcW w:w="1259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D2470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报告方式</w:t>
            </w:r>
          </w:p>
          <w:p w14:paraId="528AF64A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（CFU/mL或CFU/g）</w:t>
            </w:r>
          </w:p>
        </w:tc>
      </w:tr>
      <w:tr w14:paraId="532DB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tblHeader/>
        </w:trPr>
        <w:tc>
          <w:tcPr>
            <w:tcW w:w="318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BC8761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75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FD81C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-1</w:t>
            </w:r>
          </w:p>
        </w:tc>
        <w:tc>
          <w:tcPr>
            <w:tcW w:w="75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A3B0F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-2</w:t>
            </w:r>
          </w:p>
        </w:tc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70E443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-3</w:t>
            </w:r>
          </w:p>
        </w:tc>
        <w:tc>
          <w:tcPr>
            <w:tcW w:w="1267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EE25F7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259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280C53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 w14:paraId="11412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tcBorders>
              <w:top w:val="single" w:color="auto" w:sz="4" w:space="0"/>
            </w:tcBorders>
            <w:noWrap w:val="0"/>
            <w:vAlign w:val="center"/>
          </w:tcPr>
          <w:p w14:paraId="0BCC7AF2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</w:t>
            </w:r>
          </w:p>
        </w:tc>
        <w:tc>
          <w:tcPr>
            <w:tcW w:w="757" w:type="pct"/>
            <w:tcBorders>
              <w:top w:val="single" w:color="auto" w:sz="4" w:space="0"/>
            </w:tcBorders>
            <w:noWrap w:val="0"/>
            <w:vAlign w:val="center"/>
          </w:tcPr>
          <w:p w14:paraId="20EBDAF7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多不可计</w:t>
            </w:r>
          </w:p>
        </w:tc>
        <w:tc>
          <w:tcPr>
            <w:tcW w:w="750" w:type="pct"/>
            <w:tcBorders>
              <w:top w:val="single" w:color="auto" w:sz="4" w:space="0"/>
            </w:tcBorders>
            <w:noWrap w:val="0"/>
            <w:vAlign w:val="center"/>
          </w:tcPr>
          <w:p w14:paraId="3B8C1F0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124，138</w:t>
            </w:r>
          </w:p>
        </w:tc>
        <w:tc>
          <w:tcPr>
            <w:tcW w:w="647" w:type="pct"/>
            <w:tcBorders>
              <w:top w:val="single" w:color="auto" w:sz="4" w:space="0"/>
            </w:tcBorders>
            <w:noWrap w:val="0"/>
            <w:vAlign w:val="center"/>
          </w:tcPr>
          <w:p w14:paraId="2777B32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11，14</w:t>
            </w:r>
          </w:p>
        </w:tc>
        <w:tc>
          <w:tcPr>
            <w:tcW w:w="1267" w:type="pct"/>
            <w:tcBorders>
              <w:top w:val="single" w:color="auto" w:sz="4" w:space="0"/>
            </w:tcBorders>
            <w:noWrap w:val="0"/>
            <w:vAlign w:val="center"/>
          </w:tcPr>
          <w:p w14:paraId="2FC22E93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13100</w:t>
            </w:r>
          </w:p>
        </w:tc>
        <w:tc>
          <w:tcPr>
            <w:tcW w:w="1259" w:type="pct"/>
            <w:tcBorders>
              <w:top w:val="single" w:color="auto" w:sz="4" w:space="0"/>
            </w:tcBorders>
            <w:noWrap w:val="0"/>
            <w:vAlign w:val="center"/>
          </w:tcPr>
          <w:p w14:paraId="7CA5DFF7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13000或1.3</w:t>
            </w:r>
            <w:r>
              <w:rPr>
                <w:rFonts w:ascii="Times New Roman" w:hAnsi="Times New Roman"/>
                <w:szCs w:val="21"/>
              </w:rPr>
              <w:t>×</w:t>
            </w: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4</w:t>
            </w:r>
          </w:p>
        </w:tc>
      </w:tr>
      <w:tr w14:paraId="67401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noWrap w:val="0"/>
            <w:vAlign w:val="center"/>
          </w:tcPr>
          <w:p w14:paraId="01DCEB59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2</w:t>
            </w:r>
          </w:p>
        </w:tc>
        <w:tc>
          <w:tcPr>
            <w:tcW w:w="757" w:type="pct"/>
            <w:noWrap w:val="0"/>
            <w:vAlign w:val="center"/>
          </w:tcPr>
          <w:p w14:paraId="141C6699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多不可计</w:t>
            </w:r>
          </w:p>
        </w:tc>
        <w:tc>
          <w:tcPr>
            <w:tcW w:w="750" w:type="pct"/>
            <w:noWrap w:val="0"/>
            <w:vAlign w:val="center"/>
          </w:tcPr>
          <w:p w14:paraId="5E193682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232，244</w:t>
            </w:r>
          </w:p>
        </w:tc>
        <w:tc>
          <w:tcPr>
            <w:tcW w:w="647" w:type="pct"/>
            <w:noWrap w:val="0"/>
            <w:vAlign w:val="center"/>
          </w:tcPr>
          <w:p w14:paraId="6748A02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33，35</w:t>
            </w:r>
          </w:p>
        </w:tc>
        <w:tc>
          <w:tcPr>
            <w:tcW w:w="1267" w:type="pct"/>
            <w:noWrap w:val="0"/>
            <w:vAlign w:val="center"/>
          </w:tcPr>
          <w:p w14:paraId="3C82EB47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24727</w:t>
            </w:r>
          </w:p>
        </w:tc>
        <w:tc>
          <w:tcPr>
            <w:tcW w:w="1259" w:type="pct"/>
            <w:noWrap w:val="0"/>
            <w:vAlign w:val="center"/>
          </w:tcPr>
          <w:p w14:paraId="03E4379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25000或2.5</w:t>
            </w:r>
            <w:r>
              <w:rPr>
                <w:rFonts w:ascii="Arial" w:hAnsi="Arial" w:cs="Arial"/>
                <w:szCs w:val="21"/>
              </w:rPr>
              <w:t>×</w:t>
            </w: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4</w:t>
            </w:r>
          </w:p>
        </w:tc>
      </w:tr>
      <w:tr w14:paraId="1EB72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noWrap w:val="0"/>
            <w:vAlign w:val="center"/>
          </w:tcPr>
          <w:p w14:paraId="7610C75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3</w:t>
            </w:r>
          </w:p>
        </w:tc>
        <w:tc>
          <w:tcPr>
            <w:tcW w:w="757" w:type="pct"/>
            <w:noWrap w:val="0"/>
            <w:vAlign w:val="center"/>
          </w:tcPr>
          <w:p w14:paraId="53520E8E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8，9</w:t>
            </w:r>
          </w:p>
        </w:tc>
        <w:tc>
          <w:tcPr>
            <w:tcW w:w="750" w:type="pct"/>
            <w:noWrap w:val="0"/>
            <w:vAlign w:val="center"/>
          </w:tcPr>
          <w:p w14:paraId="763336B4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1，0</w:t>
            </w:r>
          </w:p>
        </w:tc>
        <w:tc>
          <w:tcPr>
            <w:tcW w:w="647" w:type="pct"/>
            <w:noWrap w:val="0"/>
            <w:vAlign w:val="center"/>
          </w:tcPr>
          <w:p w14:paraId="581D3826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1267" w:type="pct"/>
            <w:noWrap w:val="0"/>
            <w:vAlign w:val="center"/>
          </w:tcPr>
          <w:p w14:paraId="1F46B4B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85</w:t>
            </w:r>
          </w:p>
        </w:tc>
        <w:tc>
          <w:tcPr>
            <w:tcW w:w="1259" w:type="pct"/>
            <w:noWrap w:val="0"/>
            <w:vAlign w:val="center"/>
          </w:tcPr>
          <w:p w14:paraId="5273D1D1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85</w:t>
            </w:r>
          </w:p>
        </w:tc>
      </w:tr>
      <w:tr w14:paraId="2D247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noWrap w:val="0"/>
            <w:vAlign w:val="center"/>
          </w:tcPr>
          <w:p w14:paraId="79E37F09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4</w:t>
            </w:r>
          </w:p>
        </w:tc>
        <w:tc>
          <w:tcPr>
            <w:tcW w:w="757" w:type="pct"/>
            <w:noWrap w:val="0"/>
            <w:vAlign w:val="center"/>
          </w:tcPr>
          <w:p w14:paraId="28E89C1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多不可计</w:t>
            </w:r>
          </w:p>
        </w:tc>
        <w:tc>
          <w:tcPr>
            <w:tcW w:w="750" w:type="pct"/>
            <w:noWrap w:val="0"/>
            <w:vAlign w:val="center"/>
          </w:tcPr>
          <w:p w14:paraId="16C11508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多不可计</w:t>
            </w:r>
          </w:p>
        </w:tc>
        <w:tc>
          <w:tcPr>
            <w:tcW w:w="647" w:type="pct"/>
            <w:noWrap w:val="0"/>
            <w:vAlign w:val="center"/>
          </w:tcPr>
          <w:p w14:paraId="414DB84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442，420</w:t>
            </w:r>
          </w:p>
        </w:tc>
        <w:tc>
          <w:tcPr>
            <w:tcW w:w="1267" w:type="pct"/>
            <w:noWrap w:val="0"/>
            <w:vAlign w:val="center"/>
          </w:tcPr>
          <w:p w14:paraId="42E4CC06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431000</w:t>
            </w:r>
          </w:p>
        </w:tc>
        <w:tc>
          <w:tcPr>
            <w:tcW w:w="1259" w:type="pct"/>
            <w:noWrap w:val="0"/>
            <w:vAlign w:val="center"/>
          </w:tcPr>
          <w:p w14:paraId="094EF05A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430000或4.3</w:t>
            </w:r>
            <w:r>
              <w:rPr>
                <w:rFonts w:ascii="Times New Roman" w:hAnsi="Times New Roman" w:cs="Arial"/>
                <w:szCs w:val="21"/>
              </w:rPr>
              <w:t>×</w:t>
            </w: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5</w:t>
            </w:r>
          </w:p>
        </w:tc>
      </w:tr>
      <w:tr w14:paraId="7F920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tcBorders>
              <w:bottom w:val="nil"/>
            </w:tcBorders>
            <w:noWrap w:val="0"/>
            <w:vAlign w:val="center"/>
          </w:tcPr>
          <w:p w14:paraId="59B83F4C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5</w:t>
            </w:r>
          </w:p>
        </w:tc>
        <w:tc>
          <w:tcPr>
            <w:tcW w:w="757" w:type="pct"/>
            <w:tcBorders>
              <w:bottom w:val="nil"/>
            </w:tcBorders>
            <w:noWrap w:val="0"/>
            <w:vAlign w:val="center"/>
          </w:tcPr>
          <w:p w14:paraId="336C8AEB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750" w:type="pct"/>
            <w:tcBorders>
              <w:bottom w:val="nil"/>
            </w:tcBorders>
            <w:noWrap w:val="0"/>
            <w:vAlign w:val="center"/>
          </w:tcPr>
          <w:p w14:paraId="651338F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647" w:type="pct"/>
            <w:tcBorders>
              <w:bottom w:val="nil"/>
            </w:tcBorders>
            <w:noWrap w:val="0"/>
            <w:vAlign w:val="center"/>
          </w:tcPr>
          <w:p w14:paraId="452CC02F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1267" w:type="pct"/>
            <w:tcBorders>
              <w:bottom w:val="nil"/>
            </w:tcBorders>
            <w:noWrap w:val="0"/>
            <w:vAlign w:val="center"/>
          </w:tcPr>
          <w:p w14:paraId="68060018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＜10</w:t>
            </w:r>
          </w:p>
        </w:tc>
        <w:tc>
          <w:tcPr>
            <w:tcW w:w="1259" w:type="pct"/>
            <w:tcBorders>
              <w:bottom w:val="nil"/>
            </w:tcBorders>
            <w:noWrap w:val="0"/>
            <w:vAlign w:val="center"/>
          </w:tcPr>
          <w:p w14:paraId="2DC0967B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＜10</w:t>
            </w:r>
          </w:p>
        </w:tc>
      </w:tr>
      <w:tr w14:paraId="2BAB4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tcBorders>
              <w:top w:val="nil"/>
            </w:tcBorders>
            <w:noWrap w:val="0"/>
            <w:vAlign w:val="center"/>
          </w:tcPr>
          <w:p w14:paraId="0D3747CB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6</w:t>
            </w:r>
          </w:p>
        </w:tc>
        <w:tc>
          <w:tcPr>
            <w:tcW w:w="757" w:type="pct"/>
            <w:tcBorders>
              <w:top w:val="nil"/>
            </w:tcBorders>
            <w:noWrap w:val="0"/>
            <w:vAlign w:val="center"/>
          </w:tcPr>
          <w:p w14:paraId="632AD37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0，1</w:t>
            </w:r>
          </w:p>
        </w:tc>
        <w:tc>
          <w:tcPr>
            <w:tcW w:w="750" w:type="pct"/>
            <w:tcBorders>
              <w:top w:val="nil"/>
            </w:tcBorders>
            <w:noWrap w:val="0"/>
            <w:vAlign w:val="center"/>
          </w:tcPr>
          <w:p w14:paraId="7DE2F964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647" w:type="pct"/>
            <w:tcBorders>
              <w:top w:val="nil"/>
            </w:tcBorders>
            <w:noWrap w:val="0"/>
            <w:vAlign w:val="center"/>
          </w:tcPr>
          <w:p w14:paraId="123DFB94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0，0</w:t>
            </w:r>
          </w:p>
        </w:tc>
        <w:tc>
          <w:tcPr>
            <w:tcW w:w="1267" w:type="pct"/>
            <w:tcBorders>
              <w:top w:val="nil"/>
            </w:tcBorders>
            <w:noWrap w:val="0"/>
            <w:vAlign w:val="center"/>
          </w:tcPr>
          <w:p w14:paraId="060BF755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＜10</w:t>
            </w:r>
          </w:p>
        </w:tc>
        <w:tc>
          <w:tcPr>
            <w:tcW w:w="1259" w:type="pct"/>
            <w:tcBorders>
              <w:top w:val="nil"/>
            </w:tcBorders>
            <w:noWrap w:val="0"/>
            <w:vAlign w:val="center"/>
          </w:tcPr>
          <w:p w14:paraId="4F1ED3CA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＜10</w:t>
            </w:r>
          </w:p>
        </w:tc>
      </w:tr>
      <w:tr w14:paraId="2267B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" w:type="pct"/>
            <w:tcBorders>
              <w:bottom w:val="single" w:color="auto" w:sz="4" w:space="0"/>
            </w:tcBorders>
            <w:noWrap w:val="0"/>
            <w:vAlign w:val="center"/>
          </w:tcPr>
          <w:p w14:paraId="550DF358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7</w:t>
            </w:r>
          </w:p>
        </w:tc>
        <w:tc>
          <w:tcPr>
            <w:tcW w:w="757" w:type="pct"/>
            <w:tcBorders>
              <w:bottom w:val="single" w:color="auto" w:sz="4" w:space="0"/>
            </w:tcBorders>
            <w:noWrap w:val="0"/>
            <w:vAlign w:val="center"/>
          </w:tcPr>
          <w:p w14:paraId="5D7FA091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312，306</w:t>
            </w:r>
          </w:p>
        </w:tc>
        <w:tc>
          <w:tcPr>
            <w:tcW w:w="750" w:type="pct"/>
            <w:tcBorders>
              <w:bottom w:val="single" w:color="auto" w:sz="4" w:space="0"/>
            </w:tcBorders>
            <w:noWrap w:val="0"/>
            <w:vAlign w:val="center"/>
          </w:tcPr>
          <w:p w14:paraId="6C38CC0F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14，19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noWrap w:val="0"/>
            <w:vAlign w:val="center"/>
          </w:tcPr>
          <w:p w14:paraId="45D3D68D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2，4</w:t>
            </w:r>
          </w:p>
        </w:tc>
        <w:tc>
          <w:tcPr>
            <w:tcW w:w="1267" w:type="pct"/>
            <w:tcBorders>
              <w:bottom w:val="single" w:color="auto" w:sz="4" w:space="0"/>
            </w:tcBorders>
            <w:noWrap w:val="0"/>
            <w:vAlign w:val="center"/>
          </w:tcPr>
          <w:p w14:paraId="2ECB975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3090</w:t>
            </w:r>
          </w:p>
        </w:tc>
        <w:tc>
          <w:tcPr>
            <w:tcW w:w="1259" w:type="pct"/>
            <w:tcBorders>
              <w:bottom w:val="single" w:color="auto" w:sz="4" w:space="0"/>
            </w:tcBorders>
            <w:noWrap w:val="0"/>
            <w:vAlign w:val="center"/>
          </w:tcPr>
          <w:p w14:paraId="2F1149B0">
            <w:pPr>
              <w:spacing w:line="300" w:lineRule="auto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3100或3.1</w:t>
            </w:r>
            <w:r>
              <w:rPr>
                <w:rFonts w:ascii="Times New Roman" w:hAnsi="Times New Roman" w:cs="Arial"/>
                <w:szCs w:val="21"/>
              </w:rPr>
              <w:t>×</w:t>
            </w:r>
            <w:r>
              <w:rPr>
                <w:rFonts w:hint="eastAsia" w:ascii="Times New Roman" w:hAnsi="Times New Roman" w:cs="宋体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szCs w:val="21"/>
                <w:vertAlign w:val="superscript"/>
              </w:rPr>
              <w:t>3</w:t>
            </w:r>
          </w:p>
        </w:tc>
      </w:tr>
    </w:tbl>
    <w:p w14:paraId="18E47FB7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菌落总数的报告</w:t>
      </w:r>
    </w:p>
    <w:p w14:paraId="4EA0CF38">
      <w:pPr>
        <w:spacing w:line="300" w:lineRule="auto"/>
        <w:rPr>
          <w:rFonts w:ascii="Times New Roman" w:hAnsi="Times New Roman" w:cs="宋体"/>
          <w:color w:val="00B050"/>
          <w:szCs w:val="21"/>
        </w:rPr>
      </w:pPr>
      <w:r>
        <w:rPr>
          <w:rFonts w:hint="eastAsia" w:ascii="Times New Roman" w:hAnsi="Times New Roman" w:cs="宋体"/>
          <w:color w:val="000000"/>
          <w:szCs w:val="21"/>
        </w:rPr>
        <w:t>6</w:t>
      </w:r>
      <w:r>
        <w:rPr>
          <w:rFonts w:ascii="Times New Roman" w:hAnsi="Times New Roman" w:cs="宋体"/>
          <w:color w:val="000000"/>
          <w:szCs w:val="21"/>
        </w:rPr>
        <w:t>.</w:t>
      </w:r>
      <w:r>
        <w:rPr>
          <w:rFonts w:hint="eastAsia" w:ascii="Times New Roman" w:hAnsi="Times New Roman" w:cs="宋体"/>
          <w:color w:val="000000"/>
          <w:szCs w:val="21"/>
        </w:rPr>
        <w:t>3</w:t>
      </w:r>
      <w:r>
        <w:rPr>
          <w:rFonts w:ascii="Times New Roman" w:hAnsi="Times New Roman" w:cs="宋体"/>
          <w:color w:val="000000"/>
          <w:szCs w:val="21"/>
        </w:rPr>
        <w:t>.1 菌落总数小于100 CFU时，</w:t>
      </w:r>
      <w:r>
        <w:rPr>
          <w:rFonts w:hint="eastAsia" w:ascii="Times New Roman" w:hAnsi="Times New Roman" w:cs="宋体"/>
          <w:color w:val="000000"/>
          <w:szCs w:val="21"/>
        </w:rPr>
        <w:t>按实有数值报告</w:t>
      </w:r>
      <w:r>
        <w:rPr>
          <w:rFonts w:ascii="Times New Roman" w:hAnsi="Times New Roman" w:cs="宋体"/>
          <w:color w:val="000000"/>
          <w:szCs w:val="21"/>
        </w:rPr>
        <w:t>。</w:t>
      </w:r>
    </w:p>
    <w:p w14:paraId="3FF93663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 xml:space="preserve">6.3.2 </w:t>
      </w:r>
      <w:r>
        <w:rPr>
          <w:rFonts w:ascii="Times New Roman" w:hAnsi="Times New Roman" w:cs="宋体"/>
          <w:szCs w:val="21"/>
        </w:rPr>
        <w:t>菌落总数大于或等于100 CFU时，第三位数字</w:t>
      </w:r>
      <w:r>
        <w:rPr>
          <w:rFonts w:hint="eastAsia" w:ascii="Times New Roman" w:hAnsi="Times New Roman" w:cs="宋体"/>
          <w:szCs w:val="21"/>
        </w:rPr>
        <w:t>按</w:t>
      </w:r>
      <w:r>
        <w:rPr>
          <w:rFonts w:hint="eastAsia" w:ascii="宋体" w:hAnsi="宋体" w:cs="宋体"/>
          <w:szCs w:val="21"/>
        </w:rPr>
        <w:t>“四舍五入”</w:t>
      </w:r>
      <w:r>
        <w:rPr>
          <w:rFonts w:ascii="Times New Roman" w:hAnsi="Times New Roman" w:cs="宋体"/>
          <w:szCs w:val="21"/>
        </w:rPr>
        <w:t>原则修约后，</w:t>
      </w:r>
      <w:r>
        <w:rPr>
          <w:rFonts w:hint="eastAsia" w:ascii="Times New Roman" w:hAnsi="Times New Roman" w:cs="宋体"/>
          <w:szCs w:val="21"/>
        </w:rPr>
        <w:t>保留</w:t>
      </w:r>
      <w:r>
        <w:rPr>
          <w:rFonts w:ascii="Times New Roman" w:hAnsi="Times New Roman" w:cs="宋体"/>
          <w:szCs w:val="21"/>
        </w:rPr>
        <w:t>两位有效数字，后面</w:t>
      </w:r>
      <w:r>
        <w:rPr>
          <w:rFonts w:hint="eastAsia" w:ascii="Times New Roman" w:hAnsi="Times New Roman" w:cs="宋体"/>
          <w:szCs w:val="21"/>
        </w:rPr>
        <w:t>位数</w:t>
      </w:r>
      <w:r>
        <w:rPr>
          <w:rFonts w:ascii="Times New Roman" w:hAnsi="Times New Roman" w:cs="宋体"/>
          <w:szCs w:val="21"/>
        </w:rPr>
        <w:t>用0代替；也可用10的指数形式来表示，按</w:t>
      </w:r>
      <w:r>
        <w:rPr>
          <w:rFonts w:hint="eastAsia" w:ascii="宋体" w:hAnsi="宋体" w:cs="宋体"/>
          <w:szCs w:val="21"/>
        </w:rPr>
        <w:t>“四舍五入”</w:t>
      </w:r>
      <w:r>
        <w:rPr>
          <w:rFonts w:ascii="Times New Roman" w:hAnsi="Times New Roman" w:cs="宋体"/>
          <w:szCs w:val="21"/>
        </w:rPr>
        <w:t>原则修约后，</w:t>
      </w:r>
      <w:r>
        <w:rPr>
          <w:rFonts w:hint="eastAsia" w:ascii="Times New Roman" w:hAnsi="Times New Roman" w:cs="宋体"/>
          <w:szCs w:val="21"/>
        </w:rPr>
        <w:t>保留</w:t>
      </w:r>
      <w:r>
        <w:rPr>
          <w:rFonts w:ascii="Times New Roman" w:hAnsi="Times New Roman" w:cs="宋体"/>
          <w:szCs w:val="21"/>
        </w:rPr>
        <w:t>两位有效数字。</w:t>
      </w:r>
    </w:p>
    <w:p w14:paraId="1BC785BE">
      <w:pPr>
        <w:spacing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 xml:space="preserve"> 若空白对照上有菌落生长，则此次检验结果无效。</w:t>
      </w:r>
    </w:p>
    <w:p w14:paraId="4CCAC181">
      <w:pPr>
        <w:spacing w:line="300" w:lineRule="auto"/>
        <w:rPr>
          <w:rFonts w:ascii="黑体" w:hAnsi="黑体" w:eastAsia="黑体" w:cs="宋体"/>
          <w:sz w:val="32"/>
          <w:szCs w:val="32"/>
        </w:rPr>
      </w:pPr>
      <w:r>
        <w:rPr>
          <w:rFonts w:hint="eastAsia" w:ascii="Times New Roman" w:hAnsi="Times New Roman" w:cs="宋体"/>
          <w:szCs w:val="21"/>
        </w:rPr>
        <w:t>6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3</w:t>
      </w:r>
      <w:r>
        <w:rPr>
          <w:rFonts w:ascii="Times New Roman" w:hAnsi="Times New Roman" w:cs="宋体"/>
          <w:szCs w:val="21"/>
        </w:rPr>
        <w:t>.</w:t>
      </w:r>
      <w:r>
        <w:rPr>
          <w:rFonts w:hint="eastAsia" w:ascii="Times New Roman" w:hAnsi="Times New Roman" w:cs="宋体"/>
          <w:szCs w:val="21"/>
        </w:rPr>
        <w:t>4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>按重量取样的检样</w:t>
      </w:r>
      <w:r>
        <w:rPr>
          <w:rFonts w:ascii="Times New Roman" w:hAnsi="Times New Roman" w:cs="宋体"/>
          <w:szCs w:val="21"/>
        </w:rPr>
        <w:t>以CFU/g为单位报告</w:t>
      </w:r>
      <w:r>
        <w:rPr>
          <w:rFonts w:hint="eastAsia" w:ascii="Times New Roman" w:hAnsi="Times New Roman" w:cs="宋体"/>
          <w:szCs w:val="21"/>
        </w:rPr>
        <w:t>；按</w:t>
      </w:r>
      <w:r>
        <w:rPr>
          <w:rFonts w:ascii="Times New Roman" w:hAnsi="Times New Roman" w:cs="宋体"/>
          <w:szCs w:val="21"/>
        </w:rPr>
        <w:t>体积取样</w:t>
      </w:r>
      <w:r>
        <w:rPr>
          <w:rFonts w:hint="eastAsia" w:ascii="Times New Roman" w:hAnsi="Times New Roman" w:cs="宋体"/>
          <w:szCs w:val="21"/>
        </w:rPr>
        <w:t>的检样</w:t>
      </w:r>
      <w:r>
        <w:rPr>
          <w:rFonts w:ascii="Times New Roman" w:hAnsi="Times New Roman" w:cs="宋体"/>
          <w:szCs w:val="21"/>
        </w:rPr>
        <w:t>以CFU/mL为单位报告。</w:t>
      </w:r>
    </w:p>
    <w:p w14:paraId="13C21C2A">
      <w:pPr>
        <w:spacing w:before="0" w:beforeLines="0" w:after="0" w:afterLines="0" w:line="300" w:lineRule="auto"/>
        <w:jc w:val="center"/>
        <w:rPr>
          <w:rFonts w:ascii="Times New Roman" w:hAnsi="Times New Roman" w:eastAsia="黑体"/>
          <w:kern w:val="0"/>
          <w:szCs w:val="21"/>
        </w:rPr>
      </w:pPr>
      <w:r>
        <w:rPr>
          <w:rFonts w:ascii="Times New Roman" w:hAnsi="Times New Roman" w:eastAsia="黑体" w:cs="宋体"/>
          <w:kern w:val="0"/>
          <w:sz w:val="32"/>
          <w:szCs w:val="32"/>
        </w:rPr>
        <w:br w:type="page"/>
      </w:r>
      <w:r>
        <w:rPr>
          <w:rFonts w:ascii="Times New Roman" w:hAnsi="Times New Roman" w:eastAsia="黑体"/>
          <w:kern w:val="0"/>
          <w:szCs w:val="21"/>
        </w:rPr>
        <w:t>附录A</w:t>
      </w:r>
    </w:p>
    <w:p w14:paraId="75E33B5F">
      <w:pPr>
        <w:spacing w:before="156" w:beforeLines="50" w:after="156" w:afterLines="50" w:line="300" w:lineRule="auto"/>
        <w:jc w:val="center"/>
        <w:rPr>
          <w:rFonts w:ascii="Times New Roman" w:hAnsi="Times New Roman" w:eastAsia="黑体"/>
          <w:kern w:val="0"/>
          <w:szCs w:val="21"/>
        </w:rPr>
      </w:pPr>
      <w:r>
        <w:rPr>
          <w:rFonts w:hint="eastAsia" w:ascii="Times New Roman" w:hAnsi="Times New Roman" w:eastAsia="黑体"/>
          <w:kern w:val="0"/>
          <w:szCs w:val="21"/>
        </w:rPr>
        <w:t>（规范性附录）</w:t>
      </w:r>
    </w:p>
    <w:p w14:paraId="65024298">
      <w:pPr>
        <w:spacing w:before="156" w:beforeLines="50" w:after="156" w:afterLines="50" w:line="300" w:lineRule="auto"/>
        <w:jc w:val="center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eastAsia="黑体"/>
          <w:kern w:val="0"/>
          <w:szCs w:val="21"/>
        </w:rPr>
        <w:t>培养基和试剂</w:t>
      </w:r>
    </w:p>
    <w:p w14:paraId="79188C42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A.1  生理盐水</w:t>
      </w:r>
    </w:p>
    <w:p w14:paraId="5EF68556">
      <w:pPr>
        <w:spacing w:line="300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>见</w:t>
      </w:r>
      <w:r>
        <w:rPr>
          <w:rFonts w:ascii="Times New Roman" w:hAnsi="Times New Roman" w:cs="宋体"/>
          <w:szCs w:val="21"/>
        </w:rPr>
        <w:t>微生物</w:t>
      </w:r>
      <w:r>
        <w:rPr>
          <w:rFonts w:hint="eastAsia" w:ascii="Times New Roman" w:hAnsi="Times New Roman" w:cs="宋体"/>
          <w:szCs w:val="21"/>
        </w:rPr>
        <w:t>检验方法总则</w:t>
      </w:r>
      <w:r>
        <w:rPr>
          <w:rFonts w:hint="eastAsia" w:ascii="Times New Roman" w:hAnsi="Times New Roman" w:cs="宋体"/>
          <w:szCs w:val="21"/>
          <w:lang w:val="en-US" w:eastAsia="zh-CN"/>
        </w:rPr>
        <w:t>C</w:t>
      </w:r>
      <w:r>
        <w:rPr>
          <w:rFonts w:hint="eastAsia" w:ascii="Times New Roman" w:hAnsi="Times New Roman" w:cs="宋体"/>
          <w:szCs w:val="21"/>
        </w:rPr>
        <w:t>.4。</w:t>
      </w:r>
    </w:p>
    <w:p w14:paraId="0EABE416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 xml:space="preserve">A.2  </w:t>
      </w:r>
      <w:r>
        <w:rPr>
          <w:rFonts w:ascii="Times New Roman" w:hAnsi="Times New Roman" w:cs="宋体"/>
          <w:szCs w:val="21"/>
        </w:rPr>
        <w:t>卵磷脂吐温80营养琼脂培养基</w:t>
      </w:r>
      <w:r>
        <w:rPr>
          <w:rFonts w:hint="eastAsia" w:ascii="Times New Roman" w:hAnsi="Times New Roman" w:cs="宋体"/>
          <w:szCs w:val="21"/>
        </w:rPr>
        <w:t>。</w:t>
      </w:r>
    </w:p>
    <w:p w14:paraId="121B3666">
      <w:pPr>
        <w:spacing w:line="288" w:lineRule="auto"/>
        <w:ind w:right="0" w:rightChars="0" w:firstLine="420" w:firstLineChars="200"/>
        <w:jc w:val="both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成分：蛋白胨               </w:t>
      </w:r>
      <w:r>
        <w:rPr>
          <w:rFonts w:hint="eastAsia" w:ascii="Times New Roman" w:hAnsi="Times New Roman" w:cs="宋体"/>
          <w:szCs w:val="21"/>
        </w:rPr>
        <w:t xml:space="preserve">       </w:t>
      </w:r>
      <w:r>
        <w:rPr>
          <w:rFonts w:ascii="Times New Roman" w:hAnsi="Times New Roman" w:cs="宋体"/>
          <w:szCs w:val="21"/>
        </w:rPr>
        <w:t>20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2515B432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牛肉浸</w:t>
      </w:r>
      <w:r>
        <w:rPr>
          <w:rFonts w:hint="eastAsia" w:ascii="Times New Roman" w:hAnsi="Times New Roman" w:cs="宋体"/>
          <w:szCs w:val="21"/>
        </w:rPr>
        <w:t>粉</w:t>
      </w:r>
      <w:r>
        <w:rPr>
          <w:rFonts w:ascii="Times New Roman" w:hAnsi="Times New Roman" w:cs="宋体"/>
          <w:szCs w:val="21"/>
        </w:rPr>
        <w:t xml:space="preserve">                </w:t>
      </w:r>
      <w:r>
        <w:rPr>
          <w:rFonts w:hint="eastAsia" w:ascii="Times New Roman" w:hAnsi="Times New Roman" w:cs="宋体"/>
          <w:szCs w:val="21"/>
        </w:rPr>
        <w:t xml:space="preserve">     </w:t>
      </w:r>
      <w:r>
        <w:rPr>
          <w:rFonts w:ascii="Times New Roman" w:hAnsi="Times New Roman" w:cs="宋体"/>
          <w:szCs w:val="21"/>
        </w:rPr>
        <w:t>3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734F1845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氯化钠               </w:t>
      </w:r>
      <w:r>
        <w:rPr>
          <w:rFonts w:hint="eastAsia" w:ascii="Times New Roman" w:hAnsi="Times New Roman" w:cs="宋体"/>
          <w:szCs w:val="21"/>
        </w:rPr>
        <w:t xml:space="preserve">  </w:t>
      </w:r>
      <w:r>
        <w:rPr>
          <w:rFonts w:ascii="Times New Roman" w:hAnsi="Times New Roman" w:cs="宋体"/>
          <w:szCs w:val="21"/>
        </w:rPr>
        <w:t xml:space="preserve"> </w:t>
      </w:r>
      <w:r>
        <w:rPr>
          <w:rFonts w:hint="eastAsia" w:ascii="Times New Roman" w:hAnsi="Times New Roman" w:cs="宋体"/>
          <w:szCs w:val="21"/>
        </w:rPr>
        <w:t xml:space="preserve">     </w:t>
      </w:r>
      <w:r>
        <w:rPr>
          <w:rFonts w:ascii="Times New Roman" w:hAnsi="Times New Roman" w:cs="宋体"/>
          <w:szCs w:val="21"/>
        </w:rPr>
        <w:t>5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4906B782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琼脂            </w:t>
      </w:r>
      <w:r>
        <w:rPr>
          <w:rFonts w:hint="eastAsia" w:ascii="Times New Roman" w:hAnsi="Times New Roman" w:cs="宋体"/>
          <w:szCs w:val="21"/>
        </w:rPr>
        <w:t xml:space="preserve">  </w:t>
      </w:r>
      <w:r>
        <w:rPr>
          <w:rFonts w:ascii="Times New Roman" w:hAnsi="Times New Roman" w:cs="宋体"/>
          <w:szCs w:val="21"/>
        </w:rPr>
        <w:t xml:space="preserve">   </w:t>
      </w:r>
      <w:r>
        <w:rPr>
          <w:rFonts w:hint="eastAsia" w:ascii="Times New Roman" w:hAnsi="Times New Roman" w:cs="宋体"/>
          <w:szCs w:val="21"/>
        </w:rPr>
        <w:t xml:space="preserve">       </w:t>
      </w:r>
      <w:r>
        <w:rPr>
          <w:rFonts w:ascii="Times New Roman" w:hAnsi="Times New Roman" w:cs="宋体"/>
          <w:szCs w:val="21"/>
        </w:rPr>
        <w:t>15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17702FB3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卵磷脂     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 </w:t>
      </w:r>
      <w:r>
        <w:rPr>
          <w:rFonts w:hint="eastAsia" w:ascii="Times New Roman" w:hAnsi="Times New Roman" w:cs="宋体"/>
          <w:szCs w:val="21"/>
        </w:rPr>
        <w:t xml:space="preserve">       </w:t>
      </w:r>
      <w:r>
        <w:rPr>
          <w:rFonts w:ascii="Times New Roman" w:hAnsi="Times New Roman" w:cs="宋体"/>
          <w:szCs w:val="21"/>
        </w:rPr>
        <w:t xml:space="preserve"> 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76BA93E5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吐温80              </w:t>
      </w:r>
      <w:r>
        <w:rPr>
          <w:rFonts w:hint="eastAsia" w:ascii="Times New Roman" w:hAnsi="Times New Roman" w:cs="宋体"/>
          <w:szCs w:val="21"/>
        </w:rPr>
        <w:t xml:space="preserve">        </w:t>
      </w:r>
      <w:r>
        <w:rPr>
          <w:rFonts w:ascii="Times New Roman" w:hAnsi="Times New Roman" w:cs="宋体"/>
          <w:szCs w:val="21"/>
        </w:rPr>
        <w:t>7 g</w:t>
      </w:r>
    </w:p>
    <w:p w14:paraId="539EC5F9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蒸馏水           </w:t>
      </w:r>
      <w:r>
        <w:rPr>
          <w:rFonts w:hint="eastAsia" w:ascii="Times New Roman" w:hAnsi="Times New Roman" w:cs="宋体"/>
          <w:szCs w:val="21"/>
        </w:rPr>
        <w:t xml:space="preserve">       </w:t>
      </w:r>
      <w:r>
        <w:rPr>
          <w:rFonts w:ascii="Times New Roman" w:hAnsi="Times New Roman" w:cs="宋体"/>
          <w:szCs w:val="21"/>
        </w:rPr>
        <w:t>1000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mL</w:t>
      </w:r>
    </w:p>
    <w:p w14:paraId="55FC69DD">
      <w:pPr>
        <w:spacing w:line="288" w:lineRule="auto"/>
        <w:ind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制法：先将卵磷脂加到少量蒸馏水中，加热溶解，加入吐温80，将其他成分（除琼脂外）加到其余的</w:t>
      </w:r>
      <w:r>
        <w:rPr>
          <w:rFonts w:hint="eastAsia" w:ascii="Times New Roman" w:hAnsi="Times New Roman" w:cs="宋体"/>
          <w:szCs w:val="21"/>
        </w:rPr>
        <w:t>蒸馏水</w:t>
      </w:r>
      <w:r>
        <w:rPr>
          <w:rFonts w:ascii="Times New Roman" w:hAnsi="Times New Roman" w:cs="宋体"/>
          <w:szCs w:val="21"/>
        </w:rPr>
        <w:t>中，溶解。加入已溶解的卵磷脂、吐温80，混匀，调</w:t>
      </w:r>
      <w:r>
        <w:rPr>
          <w:rFonts w:hint="eastAsia" w:ascii="Times New Roman" w:hAnsi="Times New Roman" w:cs="宋体"/>
          <w:szCs w:val="21"/>
        </w:rPr>
        <w:t>节</w:t>
      </w:r>
      <w:r>
        <w:rPr>
          <w:rFonts w:ascii="Times New Roman" w:hAnsi="Times New Roman" w:cs="宋体"/>
          <w:szCs w:val="21"/>
        </w:rPr>
        <w:t>pH</w:t>
      </w:r>
      <w:r>
        <w:rPr>
          <w:rFonts w:hint="eastAsia" w:ascii="Times New Roman" w:hAnsi="Times New Roman" w:cs="宋体"/>
          <w:szCs w:val="21"/>
          <w:lang w:val="en-US" w:eastAsia="zh-CN"/>
        </w:rPr>
        <w:t>值</w:t>
      </w:r>
      <w:r>
        <w:rPr>
          <w:rFonts w:hint="eastAsia" w:ascii="Times New Roman" w:hAnsi="Times New Roman" w:cs="宋体"/>
          <w:szCs w:val="21"/>
        </w:rPr>
        <w:t>，</w:t>
      </w:r>
      <w:r>
        <w:rPr>
          <w:rFonts w:ascii="Times New Roman" w:hAnsi="Times New Roman" w:cs="宋体"/>
          <w:szCs w:val="21"/>
        </w:rPr>
        <w:t>加入琼脂，121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eastAsia="仿宋_GB2312"/>
          <w:szCs w:val="21"/>
        </w:rPr>
        <w:t>℃</w:t>
      </w:r>
      <w:r>
        <w:rPr>
          <w:rFonts w:ascii="Times New Roman" w:hAnsi="Times New Roman" w:cs="宋体"/>
          <w:szCs w:val="21"/>
        </w:rPr>
        <w:t>高压灭菌</w:t>
      </w:r>
      <w:r>
        <w:rPr>
          <w:rFonts w:hint="eastAsia" w:ascii="Times New Roman" w:hAnsi="Times New Roman" w:cs="宋体"/>
          <w:szCs w:val="21"/>
        </w:rPr>
        <w:t xml:space="preserve">15 </w:t>
      </w:r>
      <w:r>
        <w:rPr>
          <w:rFonts w:ascii="Times New Roman" w:hAnsi="Times New Roman" w:cs="宋体"/>
          <w:szCs w:val="21"/>
        </w:rPr>
        <w:t>min</w:t>
      </w:r>
      <w:r>
        <w:rPr>
          <w:rFonts w:hint="eastAsia" w:ascii="Times New Roman" w:hAnsi="Times New Roman" w:cs="宋体"/>
          <w:szCs w:val="21"/>
          <w:lang w:eastAsia="zh-CN"/>
        </w:rPr>
        <w:t>。</w:t>
      </w:r>
      <w:r>
        <w:rPr>
          <w:rFonts w:hint="eastAsia" w:ascii="Times New Roman" w:hAnsi="Times New Roman" w:cs="宋体"/>
          <w:szCs w:val="21"/>
          <w:lang w:val="en-US" w:eastAsia="zh-CN"/>
        </w:rPr>
        <w:t>室温下培养基</w:t>
      </w:r>
      <w:r>
        <w:rPr>
          <w:rFonts w:hint="eastAsia" w:ascii="Times New Roman" w:hAnsi="Times New Roman" w:cs="宋体"/>
          <w:szCs w:val="21"/>
        </w:rPr>
        <w:t>pH值</w:t>
      </w:r>
      <w:r>
        <w:rPr>
          <w:rFonts w:hint="eastAsia" w:ascii="Times New Roman" w:hAnsi="Times New Roman" w:cs="宋体"/>
          <w:szCs w:val="21"/>
          <w:lang w:val="en-US" w:eastAsia="zh-CN"/>
        </w:rPr>
        <w:t>应</w:t>
      </w:r>
      <w:r>
        <w:rPr>
          <w:rFonts w:ascii="Times New Roman" w:hAnsi="Times New Roman" w:cs="宋体"/>
          <w:szCs w:val="21"/>
        </w:rPr>
        <w:t>为7.2±0.2。</w:t>
      </w:r>
    </w:p>
    <w:p w14:paraId="23CD25B8">
      <w:pPr>
        <w:spacing w:before="156" w:beforeLines="50" w:after="156" w:afterLines="50" w:line="300" w:lineRule="auto"/>
        <w:rPr>
          <w:rFonts w:ascii="Times New Roman" w:hAnsi="Times New Roman" w:cs="宋体"/>
          <w:color w:val="000000"/>
          <w:szCs w:val="21"/>
        </w:rPr>
      </w:pPr>
      <w:r>
        <w:rPr>
          <w:rFonts w:hint="eastAsia" w:ascii="Times New Roman" w:hAnsi="Times New Roman" w:cs="宋体"/>
          <w:szCs w:val="21"/>
        </w:rPr>
        <w:t xml:space="preserve">A.3  </w:t>
      </w:r>
      <w:r>
        <w:rPr>
          <w:rFonts w:hint="eastAsia" w:ascii="Times New Roman" w:hAnsi="Times New Roman" w:cs="宋体"/>
          <w:color w:val="000000"/>
          <w:szCs w:val="21"/>
        </w:rPr>
        <w:t>pH7.0无菌氯化钠-蛋白胨缓冲液</w:t>
      </w:r>
    </w:p>
    <w:p w14:paraId="7D043E2B">
      <w:pPr>
        <w:spacing w:line="288" w:lineRule="auto"/>
        <w:ind w:right="0" w:rightChars="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成分：磷酸二氢钾  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  3.56 g</w:t>
      </w:r>
    </w:p>
    <w:p w14:paraId="3585E9CC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无水磷酸氢二钠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   5.77 g</w:t>
      </w:r>
    </w:p>
    <w:p w14:paraId="30051EA2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氯化钠        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4.30 g</w:t>
      </w:r>
    </w:p>
    <w:p w14:paraId="286C6F4D">
      <w:pPr>
        <w:spacing w:line="288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蛋白胨         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</w:t>
      </w:r>
      <w:r>
        <w:rPr>
          <w:rFonts w:hint="eastAsia" w:ascii="Times New Roman" w:hAnsi="Times New Roman" w:cs="宋体"/>
          <w:szCs w:val="21"/>
        </w:rPr>
        <w:t xml:space="preserve">  </w:t>
      </w:r>
      <w:r>
        <w:rPr>
          <w:rFonts w:ascii="Times New Roman" w:hAnsi="Times New Roman" w:cs="宋体"/>
          <w:szCs w:val="21"/>
        </w:rPr>
        <w:t>1.00 g</w:t>
      </w:r>
    </w:p>
    <w:p w14:paraId="19D449FF">
      <w:pPr>
        <w:spacing w:line="288" w:lineRule="auto"/>
        <w:ind w:left="630" w:leftChars="300" w:firstLine="420" w:firstLineChars="200"/>
        <w:rPr>
          <w:rFonts w:ascii="Times New Roman" w:hAnsi="Times New Roman" w:cs="宋体"/>
          <w:color w:val="000000"/>
          <w:szCs w:val="21"/>
        </w:rPr>
      </w:pPr>
      <w:r>
        <w:rPr>
          <w:rFonts w:ascii="Times New Roman" w:hAnsi="Times New Roman" w:cs="宋体"/>
          <w:szCs w:val="21"/>
        </w:rPr>
        <w:t xml:space="preserve">蒸馏水             </w:t>
      </w:r>
      <w:r>
        <w:rPr>
          <w:rFonts w:hint="eastAsia" w:ascii="Times New Roman" w:hAnsi="Times New Roman" w:cs="宋体"/>
          <w:szCs w:val="21"/>
        </w:rPr>
        <w:t xml:space="preserve">     </w:t>
      </w:r>
      <w:r>
        <w:rPr>
          <w:rFonts w:ascii="Times New Roman" w:hAnsi="Times New Roman" w:cs="宋体"/>
          <w:szCs w:val="21"/>
        </w:rPr>
        <w:t>1000 mL</w:t>
      </w:r>
    </w:p>
    <w:p w14:paraId="576720A2">
      <w:pPr>
        <w:spacing w:line="288" w:lineRule="auto"/>
        <w:ind w:firstLine="420" w:firstLineChars="200"/>
        <w:rPr>
          <w:rFonts w:ascii="Times New Roman" w:hAnsi="Times New Roman" w:cs="宋体"/>
          <w:color w:val="000000"/>
          <w:szCs w:val="21"/>
        </w:rPr>
      </w:pPr>
      <w:r>
        <w:rPr>
          <w:rFonts w:hint="eastAsia" w:ascii="Times New Roman" w:hAnsi="Times New Roman" w:cs="宋体"/>
          <w:color w:val="000000"/>
          <w:szCs w:val="21"/>
        </w:rPr>
        <w:t>制法：称取上述成分，微温溶解，必要时过滤使澄清，分装，</w:t>
      </w:r>
      <w:r>
        <w:rPr>
          <w:rFonts w:ascii="Times New Roman" w:hAnsi="Times New Roman" w:cs="宋体"/>
          <w:szCs w:val="21"/>
        </w:rPr>
        <w:t>121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高压灭菌</w:t>
      </w:r>
      <w:r>
        <w:rPr>
          <w:rFonts w:hint="eastAsia" w:ascii="Times New Roman" w:hAnsi="Times New Roman" w:cs="宋体"/>
          <w:szCs w:val="21"/>
        </w:rPr>
        <w:t xml:space="preserve">15 </w:t>
      </w:r>
      <w:r>
        <w:rPr>
          <w:rFonts w:ascii="Times New Roman" w:hAnsi="Times New Roman" w:cs="宋体"/>
          <w:szCs w:val="21"/>
        </w:rPr>
        <w:t>min</w:t>
      </w:r>
      <w:r>
        <w:rPr>
          <w:rFonts w:hint="eastAsia" w:ascii="Times New Roman" w:hAnsi="Times New Roman" w:cs="宋体"/>
          <w:szCs w:val="21"/>
        </w:rPr>
        <w:t>，备用</w:t>
      </w:r>
      <w:r>
        <w:rPr>
          <w:rFonts w:hint="eastAsia" w:ascii="Times New Roman" w:hAnsi="Times New Roman" w:cs="宋体"/>
          <w:color w:val="000000"/>
          <w:szCs w:val="21"/>
        </w:rPr>
        <w:t>。</w:t>
      </w:r>
    </w:p>
    <w:p w14:paraId="0452CCD6">
      <w:pPr>
        <w:spacing w:line="288" w:lineRule="auto"/>
        <w:ind w:firstLine="420" w:firstLineChars="200"/>
        <w:rPr>
          <w:rFonts w:ascii="Times New Roman" w:hAnsi="Times New Roman" w:cs="宋体"/>
          <w:color w:val="000000"/>
          <w:szCs w:val="21"/>
        </w:rPr>
      </w:pPr>
      <w:r>
        <w:rPr>
          <w:rFonts w:ascii="Times New Roman" w:hAnsi="Times New Roman" w:cs="宋体"/>
          <w:color w:val="000000"/>
          <w:szCs w:val="21"/>
        </w:rPr>
        <w:t>根据检样的特性，可选用生理盐水、pH7.0无菌氯化钠-蛋白胨缓冲液或其他经验证的适宜溶液作为稀释液</w:t>
      </w:r>
      <w:r>
        <w:rPr>
          <w:rFonts w:hint="eastAsia" w:ascii="Times New Roman" w:hAnsi="Times New Roman" w:cs="宋体"/>
          <w:color w:val="000000"/>
          <w:szCs w:val="21"/>
          <w:lang w:val="en-US" w:eastAsia="zh-CN"/>
        </w:rPr>
        <w:t>或</w:t>
      </w:r>
      <w:r>
        <w:rPr>
          <w:rFonts w:ascii="Times New Roman" w:hAnsi="Times New Roman" w:cs="宋体"/>
          <w:color w:val="000000"/>
          <w:szCs w:val="21"/>
        </w:rPr>
        <w:t>冲洗液。如需要，可在上述稀释液</w:t>
      </w:r>
      <w:r>
        <w:rPr>
          <w:rFonts w:hint="eastAsia" w:ascii="Times New Roman" w:hAnsi="Times New Roman" w:cs="宋体"/>
          <w:color w:val="000000"/>
          <w:szCs w:val="21"/>
          <w:lang w:val="en-US" w:eastAsia="zh-CN"/>
        </w:rPr>
        <w:t>或</w:t>
      </w:r>
      <w:r>
        <w:rPr>
          <w:rFonts w:ascii="Times New Roman" w:hAnsi="Times New Roman" w:cs="宋体"/>
          <w:color w:val="000000"/>
          <w:szCs w:val="21"/>
        </w:rPr>
        <w:t>冲洗液灭菌前或灭菌后加入表面活性剂或中和剂等。</w:t>
      </w:r>
    </w:p>
    <w:p w14:paraId="110E6A14">
      <w:pPr>
        <w:spacing w:before="156" w:beforeLines="50" w:after="156" w:afterLines="50" w:line="300" w:lineRule="auto"/>
        <w:rPr>
          <w:rFonts w:ascii="Times New Roman" w:hAnsi="Times New Roman" w:cs="宋体"/>
          <w:szCs w:val="21"/>
        </w:rPr>
      </w:pPr>
      <w:r>
        <w:rPr>
          <w:rFonts w:hint="eastAsia" w:ascii="Times New Roman" w:hAnsi="Times New Roman" w:cs="宋体"/>
          <w:szCs w:val="21"/>
        </w:rPr>
        <w:t xml:space="preserve">A.4  </w:t>
      </w:r>
      <w:r>
        <w:rPr>
          <w:rFonts w:ascii="Times New Roman" w:hAnsi="Times New Roman" w:cs="宋体"/>
          <w:szCs w:val="21"/>
        </w:rPr>
        <w:t>0.5%氯化三苯四氮唑（2,3,5-triphenyl te</w:t>
      </w:r>
      <w:r>
        <w:rPr>
          <w:rFonts w:hint="eastAsia" w:ascii="Times New Roman" w:hAnsi="Times New Roman" w:cs="宋体"/>
          <w:szCs w:val="21"/>
        </w:rPr>
        <w:t>t</w:t>
      </w:r>
      <w:r>
        <w:rPr>
          <w:rFonts w:ascii="Times New Roman" w:hAnsi="Times New Roman" w:cs="宋体"/>
          <w:szCs w:val="21"/>
        </w:rPr>
        <w:t>razolium chloride</w:t>
      </w:r>
      <w:r>
        <w:rPr>
          <w:rFonts w:hint="eastAsia" w:ascii="宋体" w:hAnsi="宋体" w:cs="宋体"/>
          <w:szCs w:val="21"/>
        </w:rPr>
        <w:t>,</w:t>
      </w:r>
      <w:r>
        <w:rPr>
          <w:rFonts w:ascii="Times New Roman" w:hAnsi="Times New Roman" w:cs="宋体"/>
          <w:szCs w:val="21"/>
        </w:rPr>
        <w:t xml:space="preserve"> TTC）</w:t>
      </w:r>
    </w:p>
    <w:p w14:paraId="55BBBBBA">
      <w:pPr>
        <w:spacing w:line="300" w:lineRule="auto"/>
        <w:ind w:right="3898" w:rightChars="1856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成分：TTC            </w:t>
      </w:r>
      <w:r>
        <w:rPr>
          <w:rFonts w:hint="eastAsia" w:ascii="Times New Roman" w:hAnsi="Times New Roman" w:cs="宋体"/>
          <w:szCs w:val="21"/>
        </w:rPr>
        <w:t xml:space="preserve">  </w:t>
      </w:r>
      <w:r>
        <w:rPr>
          <w:rFonts w:ascii="Times New Roman" w:hAnsi="Times New Roman" w:cs="宋体"/>
          <w:szCs w:val="21"/>
        </w:rPr>
        <w:t xml:space="preserve">   </w:t>
      </w:r>
      <w:r>
        <w:rPr>
          <w:rFonts w:hint="eastAsia" w:ascii="Times New Roman" w:hAnsi="Times New Roman" w:cs="宋体"/>
          <w:szCs w:val="21"/>
        </w:rPr>
        <w:t xml:space="preserve">     </w:t>
      </w:r>
      <w:r>
        <w:rPr>
          <w:rFonts w:ascii="Times New Roman" w:hAnsi="Times New Roman" w:cs="宋体"/>
          <w:szCs w:val="21"/>
        </w:rPr>
        <w:t>0.5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g</w:t>
      </w:r>
    </w:p>
    <w:p w14:paraId="2BC0437C">
      <w:pPr>
        <w:spacing w:line="300" w:lineRule="auto"/>
        <w:ind w:left="630" w:leftChars="300" w:firstLine="420" w:firstLineChars="200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 xml:space="preserve">蒸馏水          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 xml:space="preserve">    </w:t>
      </w:r>
      <w:r>
        <w:rPr>
          <w:rFonts w:hint="eastAsia" w:ascii="Times New Roman" w:hAnsi="Times New Roman" w:cs="宋体"/>
          <w:szCs w:val="21"/>
        </w:rPr>
        <w:t xml:space="preserve">  </w:t>
      </w:r>
      <w:r>
        <w:rPr>
          <w:rFonts w:ascii="Times New Roman" w:hAnsi="Times New Roman" w:cs="宋体"/>
          <w:szCs w:val="21"/>
        </w:rPr>
        <w:t xml:space="preserve"> 100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mL</w:t>
      </w:r>
    </w:p>
    <w:p w14:paraId="35928822">
      <w:pPr>
        <w:widowControl/>
        <w:spacing w:before="156" w:beforeLines="50" w:after="156" w:afterLines="50" w:line="300" w:lineRule="auto"/>
        <w:jc w:val="center"/>
        <w:rPr>
          <w:rFonts w:ascii="Times New Roman" w:hAnsi="Times New Roman" w:cs="宋体"/>
          <w:szCs w:val="21"/>
        </w:rPr>
      </w:pPr>
      <w:r>
        <w:rPr>
          <w:rFonts w:ascii="Times New Roman" w:hAnsi="Times New Roman" w:cs="宋体"/>
          <w:szCs w:val="21"/>
        </w:rPr>
        <w:t>制法：溶解后</w:t>
      </w:r>
      <w:r>
        <w:rPr>
          <w:rFonts w:hint="eastAsia" w:ascii="Times New Roman" w:hAnsi="Times New Roman" w:cs="宋体"/>
          <w:color w:val="000000"/>
          <w:szCs w:val="21"/>
        </w:rPr>
        <w:t>过滤</w:t>
      </w:r>
      <w:r>
        <w:rPr>
          <w:rFonts w:ascii="Times New Roman" w:hAnsi="Times New Roman" w:cs="宋体"/>
          <w:szCs w:val="21"/>
        </w:rPr>
        <w:t>除菌，或115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高压灭菌20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 w:cs="宋体"/>
          <w:szCs w:val="21"/>
        </w:rPr>
        <w:t>min，装于棕色试剂瓶，置4</w:t>
      </w:r>
      <w:r>
        <w:rPr>
          <w:rFonts w:hint="eastAsia" w:ascii="Times New Roman" w:hAnsi="Times New Roman" w:cs="宋体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ascii="Times New Roman" w:hAnsi="Times New Roman" w:cs="宋体"/>
          <w:szCs w:val="21"/>
        </w:rPr>
        <w:t>冰箱备用。</w:t>
      </w:r>
    </w:p>
    <w:p w14:paraId="37322E39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br w:type="page"/>
      </w:r>
      <w:r>
        <w:rPr>
          <w:rFonts w:hint="eastAsia" w:ascii="黑体" w:hAnsi="黑体" w:eastAsia="黑体" w:cs="黑体"/>
          <w:szCs w:val="21"/>
        </w:rPr>
        <w:t>附录</w:t>
      </w:r>
      <w:r>
        <w:rPr>
          <w:rFonts w:hint="eastAsia" w:ascii="Times New Roman" w:hAnsi="Times New Roman" w:eastAsia="黑体" w:cs="宋体"/>
          <w:szCs w:val="21"/>
        </w:rPr>
        <w:t>B</w:t>
      </w:r>
    </w:p>
    <w:p w14:paraId="046F1F35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（资料性附录）</w:t>
      </w:r>
    </w:p>
    <w:p w14:paraId="65F18DE8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推荐质控菌株</w:t>
      </w:r>
    </w:p>
    <w:p w14:paraId="429A31A2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表</w:t>
      </w:r>
      <w:r>
        <w:rPr>
          <w:rFonts w:hint="eastAsia" w:ascii="Times New Roman" w:hAnsi="Times New Roman" w:eastAsia="黑体" w:cs="宋体"/>
          <w:szCs w:val="21"/>
        </w:rPr>
        <w:t>B.1</w:t>
      </w:r>
      <w:r>
        <w:rPr>
          <w:rFonts w:ascii="黑体" w:hAnsi="黑体" w:eastAsia="黑体" w:cs="黑体"/>
          <w:szCs w:val="21"/>
        </w:rPr>
        <w:t xml:space="preserve"> 推荐</w:t>
      </w:r>
      <w:r>
        <w:rPr>
          <w:rFonts w:hint="eastAsia" w:ascii="黑体" w:hAnsi="黑体" w:eastAsia="黑体" w:cs="黑体"/>
          <w:szCs w:val="21"/>
        </w:rPr>
        <w:t>质控</w:t>
      </w:r>
      <w:r>
        <w:rPr>
          <w:rFonts w:ascii="黑体" w:hAnsi="黑体" w:eastAsia="黑体" w:cs="黑体"/>
          <w:szCs w:val="21"/>
        </w:rPr>
        <w:t>菌株</w:t>
      </w:r>
      <w:r>
        <w:rPr>
          <w:rFonts w:hint="eastAsia" w:ascii="黑体" w:hAnsi="黑体" w:eastAsia="黑体" w:cs="黑体"/>
          <w:szCs w:val="21"/>
        </w:rPr>
        <w:t>信息</w:t>
      </w:r>
      <w:r>
        <w:rPr>
          <w:rFonts w:ascii="黑体" w:hAnsi="黑体" w:eastAsia="黑体" w:cs="黑体"/>
          <w:szCs w:val="21"/>
        </w:rPr>
        <w:t>表</w:t>
      </w:r>
    </w:p>
    <w:tbl>
      <w:tblPr>
        <w:tblStyle w:val="3"/>
        <w:tblW w:w="51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626"/>
        <w:gridCol w:w="1966"/>
        <w:gridCol w:w="1581"/>
        <w:gridCol w:w="1328"/>
        <w:gridCol w:w="1514"/>
      </w:tblGrid>
      <w:tr w14:paraId="26BC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pct"/>
            <w:noWrap/>
            <w:vAlign w:val="center"/>
          </w:tcPr>
          <w:p w14:paraId="1931062B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sz w:val="18"/>
                <w:szCs w:val="18"/>
              </w:rPr>
              <w:t>序号</w:t>
            </w:r>
            <w:r>
              <w:rPr>
                <w:rFonts w:ascii="Times New Roman" w:hAnsi="Times New Roman" w:eastAsia="等线" w:cs="宋体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23" w:type="pct"/>
            <w:noWrap/>
            <w:vAlign w:val="center"/>
          </w:tcPr>
          <w:p w14:paraId="2A0E933D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18"/>
                <w:szCs w:val="18"/>
              </w:rPr>
              <w:t>中文名</w:t>
            </w:r>
          </w:p>
        </w:tc>
        <w:tc>
          <w:tcPr>
            <w:tcW w:w="1116" w:type="pct"/>
            <w:noWrap/>
            <w:vAlign w:val="center"/>
          </w:tcPr>
          <w:p w14:paraId="202608CF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18"/>
                <w:szCs w:val="18"/>
              </w:rPr>
              <w:t>拉丁名</w:t>
            </w:r>
          </w:p>
        </w:tc>
        <w:tc>
          <w:tcPr>
            <w:tcW w:w="898" w:type="pct"/>
            <w:noWrap/>
            <w:vAlign w:val="center"/>
          </w:tcPr>
          <w:p w14:paraId="15BA28F7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sz w:val="18"/>
                <w:szCs w:val="18"/>
              </w:rPr>
              <w:t>CMCC编号</w:t>
            </w:r>
            <w:r>
              <w:rPr>
                <w:rFonts w:ascii="Times New Roman" w:hAnsi="Times New Roman" w:eastAsia="黑体" w:cs="宋体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54" w:type="pct"/>
            <w:noWrap w:val="0"/>
            <w:vAlign w:val="center"/>
          </w:tcPr>
          <w:p w14:paraId="785AA6D3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sz w:val="18"/>
                <w:szCs w:val="18"/>
              </w:rPr>
              <w:t>CICC编号</w:t>
            </w:r>
            <w:r>
              <w:rPr>
                <w:rFonts w:ascii="Times New Roman" w:hAnsi="Times New Roman" w:cs="宋体"/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56" w:type="pct"/>
            <w:noWrap w:val="0"/>
            <w:vAlign w:val="center"/>
          </w:tcPr>
          <w:p w14:paraId="313ED0BA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宋体"/>
                <w:b/>
                <w:bCs/>
                <w:sz w:val="18"/>
                <w:szCs w:val="18"/>
              </w:rPr>
              <w:t>GDMCC编号</w:t>
            </w:r>
            <w:r>
              <w:rPr>
                <w:rFonts w:ascii="Times New Roman" w:hAnsi="Times New Roman" w:cs="宋体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</w:tr>
      <w:tr w14:paraId="290B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pct"/>
            <w:noWrap/>
            <w:vAlign w:val="center"/>
          </w:tcPr>
          <w:p w14:paraId="564F8982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1</w:t>
            </w:r>
          </w:p>
        </w:tc>
        <w:tc>
          <w:tcPr>
            <w:tcW w:w="923" w:type="pct"/>
            <w:noWrap/>
            <w:vAlign w:val="center"/>
          </w:tcPr>
          <w:p w14:paraId="5AF8E736">
            <w:pPr>
              <w:spacing w:line="300" w:lineRule="auto"/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大肠埃希氏菌</w:t>
            </w:r>
          </w:p>
        </w:tc>
        <w:tc>
          <w:tcPr>
            <w:tcW w:w="1116" w:type="pct"/>
            <w:noWrap/>
            <w:vAlign w:val="center"/>
          </w:tcPr>
          <w:p w14:paraId="7A138577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宋体"/>
                <w:i/>
                <w:iCs/>
                <w:sz w:val="18"/>
                <w:szCs w:val="18"/>
              </w:rPr>
              <w:t>Escherichia coli</w:t>
            </w:r>
          </w:p>
        </w:tc>
        <w:tc>
          <w:tcPr>
            <w:tcW w:w="898" w:type="pct"/>
            <w:noWrap/>
            <w:vAlign w:val="center"/>
          </w:tcPr>
          <w:p w14:paraId="779EE59C">
            <w:pPr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CMCC(B)44102</w:t>
            </w:r>
          </w:p>
        </w:tc>
        <w:tc>
          <w:tcPr>
            <w:tcW w:w="754" w:type="pct"/>
            <w:noWrap w:val="0"/>
            <w:vAlign w:val="center"/>
          </w:tcPr>
          <w:p w14:paraId="037F468B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CICC 24106</w:t>
            </w:r>
          </w:p>
        </w:tc>
        <w:tc>
          <w:tcPr>
            <w:tcW w:w="856" w:type="pct"/>
            <w:noWrap w:val="0"/>
            <w:vAlign w:val="center"/>
          </w:tcPr>
          <w:p w14:paraId="4A472ABA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GDMCC 1.223</w:t>
            </w:r>
          </w:p>
        </w:tc>
      </w:tr>
      <w:tr w14:paraId="4171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pct"/>
            <w:noWrap/>
            <w:vAlign w:val="center"/>
          </w:tcPr>
          <w:p w14:paraId="04EA52DC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3" w:type="pct"/>
            <w:noWrap/>
            <w:vAlign w:val="center"/>
          </w:tcPr>
          <w:p w14:paraId="0FE06702">
            <w:pPr>
              <w:spacing w:line="300" w:lineRule="auto"/>
              <w:jc w:val="center"/>
              <w:rPr>
                <w:rFonts w:ascii="Times New Roman" w:hAnsi="Times New Roman" w:cs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宋体"/>
                <w:sz w:val="18"/>
                <w:szCs w:val="18"/>
              </w:rPr>
              <w:t>金黄色葡萄球菌</w:t>
            </w:r>
          </w:p>
        </w:tc>
        <w:tc>
          <w:tcPr>
            <w:tcW w:w="1116" w:type="pct"/>
            <w:noWrap/>
            <w:vAlign w:val="center"/>
          </w:tcPr>
          <w:p w14:paraId="044D1946">
            <w:pPr>
              <w:widowControl/>
              <w:spacing w:line="300" w:lineRule="auto"/>
              <w:jc w:val="center"/>
              <w:rPr>
                <w:rFonts w:ascii="Times New Roman" w:hAnsi="Times New Roman" w:cs="宋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宋体"/>
                <w:i/>
                <w:iCs/>
                <w:color w:val="000000"/>
                <w:sz w:val="18"/>
                <w:szCs w:val="18"/>
              </w:rPr>
              <w:t>Staphylococcus aureus</w:t>
            </w:r>
          </w:p>
        </w:tc>
        <w:tc>
          <w:tcPr>
            <w:tcW w:w="898" w:type="pct"/>
            <w:noWrap w:val="0"/>
            <w:vAlign w:val="center"/>
          </w:tcPr>
          <w:p w14:paraId="02F2728B">
            <w:pPr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CMCC(B)26003</w:t>
            </w:r>
          </w:p>
        </w:tc>
        <w:tc>
          <w:tcPr>
            <w:tcW w:w="754" w:type="pct"/>
            <w:noWrap w:val="0"/>
            <w:vAlign w:val="center"/>
          </w:tcPr>
          <w:p w14:paraId="1AC178BC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CICC 10384</w:t>
            </w:r>
          </w:p>
        </w:tc>
        <w:tc>
          <w:tcPr>
            <w:tcW w:w="856" w:type="pct"/>
            <w:noWrap w:val="0"/>
            <w:vAlign w:val="center"/>
          </w:tcPr>
          <w:p w14:paraId="4B2AC52C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GDMCC 1.221</w:t>
            </w:r>
          </w:p>
        </w:tc>
      </w:tr>
      <w:tr w14:paraId="7CF4D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pct"/>
            <w:noWrap/>
            <w:vAlign w:val="center"/>
          </w:tcPr>
          <w:p w14:paraId="7A8D90D4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3" w:type="pct"/>
            <w:noWrap/>
            <w:vAlign w:val="center"/>
          </w:tcPr>
          <w:p w14:paraId="76EE226B">
            <w:pPr>
              <w:spacing w:line="300" w:lineRule="auto"/>
              <w:jc w:val="center"/>
              <w:rPr>
                <w:rFonts w:ascii="Times New Roman" w:hAnsi="Times New Roman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枯草芽孢杆菌</w:t>
            </w:r>
          </w:p>
        </w:tc>
        <w:tc>
          <w:tcPr>
            <w:tcW w:w="1116" w:type="pct"/>
            <w:noWrap/>
            <w:vAlign w:val="center"/>
          </w:tcPr>
          <w:p w14:paraId="2FC14C55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宋体"/>
                <w:i/>
                <w:iCs/>
                <w:color w:val="000000"/>
                <w:sz w:val="18"/>
                <w:szCs w:val="18"/>
              </w:rPr>
              <w:t>Bacillus subtilis</w:t>
            </w:r>
          </w:p>
        </w:tc>
        <w:tc>
          <w:tcPr>
            <w:tcW w:w="898" w:type="pct"/>
            <w:noWrap w:val="0"/>
            <w:vAlign w:val="center"/>
          </w:tcPr>
          <w:p w14:paraId="49BD6137">
            <w:pPr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CMCC(B)63501</w:t>
            </w:r>
          </w:p>
        </w:tc>
        <w:tc>
          <w:tcPr>
            <w:tcW w:w="754" w:type="pct"/>
            <w:noWrap w:val="0"/>
            <w:vAlign w:val="center"/>
          </w:tcPr>
          <w:p w14:paraId="3B48B97E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CICC 10275</w:t>
            </w:r>
          </w:p>
        </w:tc>
        <w:tc>
          <w:tcPr>
            <w:tcW w:w="856" w:type="pct"/>
            <w:noWrap w:val="0"/>
            <w:vAlign w:val="center"/>
          </w:tcPr>
          <w:p w14:paraId="03AEDC29">
            <w:pPr>
              <w:widowControl/>
              <w:spacing w:line="300" w:lineRule="auto"/>
              <w:jc w:val="center"/>
              <w:rPr>
                <w:rFonts w:ascii="Times New Roman" w:hAnsi="Times New Roman" w:eastAsia="等线" w:cs="宋体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等线" w:cs="宋体"/>
                <w:color w:val="000000"/>
                <w:sz w:val="18"/>
                <w:szCs w:val="18"/>
              </w:rPr>
              <w:t>GDMCC 1.222</w:t>
            </w:r>
          </w:p>
        </w:tc>
      </w:tr>
      <w:tr w14:paraId="238C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45B6B9A6">
            <w:pPr>
              <w:spacing w:line="300" w:lineRule="auto"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 w:cs="宋体"/>
                <w:sz w:val="18"/>
                <w:szCs w:val="18"/>
              </w:rPr>
              <w:t>a：同一序号菌种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的</w:t>
            </w:r>
            <w:r>
              <w:rPr>
                <w:rFonts w:ascii="Times New Roman" w:hAnsi="Times New Roman" w:cs="宋体"/>
                <w:sz w:val="18"/>
                <w:szCs w:val="18"/>
              </w:rPr>
              <w:t>不同编号为同一株菌在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不同</w:t>
            </w:r>
            <w:r>
              <w:rPr>
                <w:rFonts w:ascii="Times New Roman" w:hAnsi="Times New Roman" w:cs="宋体"/>
                <w:sz w:val="18"/>
                <w:szCs w:val="18"/>
              </w:rPr>
              <w:t>菌种保藏管理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机构</w:t>
            </w:r>
            <w:r>
              <w:rPr>
                <w:rFonts w:ascii="Times New Roman" w:hAnsi="Times New Roman" w:cs="宋体"/>
                <w:sz w:val="18"/>
                <w:szCs w:val="18"/>
              </w:rPr>
              <w:t>同时注册获得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；</w:t>
            </w:r>
          </w:p>
          <w:p w14:paraId="063B080E">
            <w:pPr>
              <w:spacing w:line="300" w:lineRule="auto"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 w:cs="宋体"/>
                <w:sz w:val="18"/>
                <w:szCs w:val="18"/>
              </w:rPr>
              <w:t>b：CMCC代表中国医学细菌保藏管理中心；</w:t>
            </w:r>
          </w:p>
          <w:p w14:paraId="460817B4">
            <w:pPr>
              <w:spacing w:line="300" w:lineRule="auto"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 w:cs="宋体"/>
                <w:sz w:val="18"/>
                <w:szCs w:val="18"/>
              </w:rPr>
              <w:t>c：CICC代表中国工业微生物菌种保藏管理中心；</w:t>
            </w:r>
          </w:p>
          <w:p w14:paraId="3A6F4D70">
            <w:pPr>
              <w:spacing w:line="300" w:lineRule="auto"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 w:cs="宋体"/>
                <w:sz w:val="18"/>
                <w:szCs w:val="18"/>
              </w:rPr>
              <w:t>d：GDMCC代表广东省微生物菌种保藏管理中心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。</w:t>
            </w:r>
          </w:p>
        </w:tc>
      </w:tr>
    </w:tbl>
    <w:p w14:paraId="24F239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019B5"/>
    <w:rsid w:val="3A00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widowControl/>
      <w:spacing w:line="400" w:lineRule="exact"/>
      <w:jc w:val="left"/>
      <w:outlineLvl w:val="1"/>
    </w:pPr>
    <w:rPr>
      <w:rFonts w:ascii="黑体" w:hAnsi="黑体" w:eastAsia="黑体"/>
      <w:bCs/>
      <w:iCs/>
      <w:color w:val="000000"/>
      <w:kern w:val="0"/>
      <w:sz w:val="32"/>
      <w:szCs w:val="19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2026-11-02T08:44:00Z</dcterms:created>
  <dc:creator>YU</dc:creator>
  <cp:lastModifiedBy>YU</cp:lastModifiedBy>
  <dcterms:modified xsi:type="dcterms:W3CDTF">2026-11-02T08:44:58Z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FF6E568EE00E4463BF483DD0BAE9EE10_11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