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06E6E">
      <w:pPr>
        <w:pStyle w:val="5"/>
        <w:tabs>
          <w:tab w:val="right" w:leader="dot" w:pos="8844"/>
        </w:tabs>
        <w:spacing w:before="159" w:beforeLines="50" w:after="159" w:afterLines="50" w:line="300" w:lineRule="auto"/>
        <w:jc w:val="left"/>
        <w:outlineLvl w:val="1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 w14:paraId="1D010531">
      <w:pPr>
        <w:pStyle w:val="5"/>
        <w:tabs>
          <w:tab w:val="right" w:leader="dot" w:pos="8844"/>
        </w:tabs>
        <w:spacing w:before="159" w:beforeLines="50" w:after="159" w:afterLines="50" w:line="300" w:lineRule="auto"/>
        <w:jc w:val="center"/>
        <w:outlineLvl w:val="1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化妆品中耐热大肠菌群的检验方法</w:t>
      </w:r>
    </w:p>
    <w:p w14:paraId="193A88F7">
      <w:pPr>
        <w:spacing w:before="159" w:beforeLines="50" w:after="159" w:afterLines="50" w:line="300" w:lineRule="auto"/>
        <w:jc w:val="center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Detection of Thermotolerant Coliform Bacteria </w:t>
      </w:r>
      <w:r>
        <w:rPr>
          <w:rFonts w:ascii="Times New Roman" w:hAnsi="Times New Roman" w:eastAsia="仿宋"/>
          <w:szCs w:val="21"/>
        </w:rPr>
        <w:t>in Cosmetics</w:t>
      </w:r>
    </w:p>
    <w:p w14:paraId="0A498849">
      <w:pPr>
        <w:spacing w:before="159" w:beforeLines="50" w:after="159" w:afterLines="50" w:line="300" w:lineRule="auto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1  范围</w:t>
      </w:r>
    </w:p>
    <w:p w14:paraId="0FD1E6A0">
      <w:pPr>
        <w:spacing w:line="300" w:lineRule="auto"/>
        <w:ind w:firstLine="436" w:firstLineChars="200"/>
        <w:rPr>
          <w:rFonts w:ascii="Times New Roman" w:hAnsi="Times New Roman" w:eastAsia="黑体"/>
          <w:b/>
          <w:szCs w:val="21"/>
        </w:rPr>
      </w:pPr>
      <w:r>
        <w:rPr>
          <w:rFonts w:ascii="Times New Roman" w:hAnsi="Times New Roman"/>
          <w:szCs w:val="21"/>
        </w:rPr>
        <w:t>本</w:t>
      </w:r>
      <w:r>
        <w:rPr>
          <w:rFonts w:hint="eastAsia" w:ascii="Times New Roman" w:hAnsi="Times New Roman"/>
          <w:szCs w:val="21"/>
        </w:rPr>
        <w:t>方法</w:t>
      </w:r>
      <w:r>
        <w:rPr>
          <w:rFonts w:ascii="Times New Roman" w:hAnsi="Times New Roman"/>
          <w:szCs w:val="21"/>
        </w:rPr>
        <w:t>规定了化妆品中耐热大肠菌群的检验方法。</w:t>
      </w:r>
    </w:p>
    <w:p w14:paraId="057B05DA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本</w:t>
      </w:r>
      <w:r>
        <w:rPr>
          <w:rFonts w:hint="eastAsia" w:ascii="Times New Roman" w:hAnsi="Times New Roman"/>
          <w:szCs w:val="21"/>
        </w:rPr>
        <w:t>方法</w:t>
      </w:r>
      <w:r>
        <w:rPr>
          <w:rFonts w:ascii="Times New Roman" w:hAnsi="Times New Roman"/>
          <w:szCs w:val="21"/>
        </w:rPr>
        <w:t>适用于化妆品中耐热大肠菌群的检验。</w:t>
      </w:r>
    </w:p>
    <w:p w14:paraId="2EF9EAE1">
      <w:pPr>
        <w:spacing w:before="159" w:beforeLines="50" w:after="159" w:afterLines="50" w:line="300" w:lineRule="auto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2  定义</w:t>
      </w:r>
    </w:p>
    <w:p w14:paraId="5B8EEF50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耐热大肠菌群 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iCs/>
          <w:szCs w:val="21"/>
        </w:rPr>
        <w:t>Thermotolerant coliform bacteria</w:t>
      </w:r>
    </w:p>
    <w:p w14:paraId="0986F175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系一群需氧及兼性厌氧革兰氏阴性无芽</w:t>
      </w:r>
      <w:r>
        <w:rPr>
          <w:rFonts w:hint="eastAsia" w:ascii="Times New Roman" w:hAnsi="Times New Roman"/>
          <w:szCs w:val="21"/>
        </w:rPr>
        <w:t>孢短</w:t>
      </w:r>
      <w:r>
        <w:rPr>
          <w:rFonts w:ascii="Times New Roman" w:hAnsi="Times New Roman"/>
          <w:szCs w:val="21"/>
        </w:rPr>
        <w:t>杆菌，在44.5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</w:rPr>
        <w:t>℃</w:t>
      </w:r>
      <w:r>
        <w:rPr>
          <w:rFonts w:ascii="Times New Roman" w:hAnsi="Times New Roman"/>
          <w:szCs w:val="21"/>
        </w:rPr>
        <w:t>培养24</w:t>
      </w:r>
      <w:r>
        <w:rPr>
          <w:rFonts w:ascii="Times New Roman" w:hAnsi="Times New Roman"/>
          <w:szCs w:val="21"/>
          <w:lang w:val="en"/>
        </w:rPr>
        <w:t>~</w:t>
      </w:r>
      <w:r>
        <w:rPr>
          <w:rFonts w:ascii="Times New Roman" w:hAnsi="Times New Roman"/>
          <w:szCs w:val="21"/>
        </w:rPr>
        <w:t>48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h能发酵乳糖产酸并产气。</w:t>
      </w:r>
    </w:p>
    <w:p w14:paraId="75FB2AB3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该菌主要来自人和温血动物粪便，可作为粪便污染指标来评价化妆品的卫生质量，</w:t>
      </w:r>
      <w:r>
        <w:rPr>
          <w:rFonts w:hint="eastAsia" w:ascii="Times New Roman" w:hAnsi="Times New Roman"/>
          <w:szCs w:val="21"/>
        </w:rPr>
        <w:t>判断</w:t>
      </w:r>
      <w:r>
        <w:rPr>
          <w:rFonts w:ascii="Times New Roman" w:hAnsi="Times New Roman"/>
          <w:szCs w:val="21"/>
        </w:rPr>
        <w:t>化妆品中</w:t>
      </w:r>
      <w:r>
        <w:rPr>
          <w:rFonts w:hint="eastAsia" w:ascii="Times New Roman" w:hAnsi="Times New Roman"/>
          <w:szCs w:val="21"/>
        </w:rPr>
        <w:t>是否</w:t>
      </w:r>
      <w:r>
        <w:rPr>
          <w:rFonts w:ascii="Times New Roman" w:hAnsi="Times New Roman"/>
          <w:szCs w:val="21"/>
        </w:rPr>
        <w:t>有污染肠道致病菌的可能。</w:t>
      </w:r>
    </w:p>
    <w:p w14:paraId="0A2FF1E3">
      <w:pPr>
        <w:spacing w:before="159" w:beforeLines="50" w:after="159" w:afterLines="50" w:line="300" w:lineRule="auto"/>
        <w:rPr>
          <w:rFonts w:ascii="Times New Roman" w:hAnsi="Times New Roman" w:eastAsia="黑体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 w:eastAsia="黑体"/>
          <w:szCs w:val="21"/>
        </w:rPr>
        <w:t xml:space="preserve">  设备和材料</w:t>
      </w:r>
    </w:p>
    <w:p w14:paraId="4EBCC3D2">
      <w:pPr>
        <w:spacing w:line="300" w:lineRule="auto"/>
        <w:ind w:firstLine="482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除微生物实验室常规灭菌及培养设备外，其他设备和材料如下：</w:t>
      </w:r>
    </w:p>
    <w:p w14:paraId="39A4724A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.1  </w:t>
      </w:r>
      <w:r>
        <w:rPr>
          <w:rFonts w:hint="eastAsia" w:ascii="Times New Roman" w:hAnsi="Times New Roman"/>
          <w:szCs w:val="21"/>
        </w:rPr>
        <w:t>恒温水浴箱或恒温培养箱</w:t>
      </w:r>
      <w:r>
        <w:rPr>
          <w:rFonts w:ascii="Times New Roman" w:hAnsi="Times New Roman"/>
          <w:szCs w:val="21"/>
        </w:rPr>
        <w:t>44.5</w:t>
      </w:r>
      <w:r>
        <w:rPr>
          <w:rFonts w:ascii="Times New Roman" w:hAnsi="Times New Roman"/>
          <w:kern w:val="0"/>
          <w:szCs w:val="21"/>
          <w:lang w:val="zh-CN"/>
        </w:rPr>
        <w:t>±</w:t>
      </w:r>
      <w:r>
        <w:rPr>
          <w:rFonts w:ascii="Times New Roman" w:hAnsi="Times New Roman"/>
          <w:szCs w:val="21"/>
        </w:rPr>
        <w:t>0.5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  <w:lang w:val="zh-CN"/>
        </w:rPr>
        <w:t>℃</w:t>
      </w:r>
      <w:r>
        <w:rPr>
          <w:rFonts w:hint="eastAsia" w:ascii="Times New Roman" w:hAnsi="Times New Roman"/>
          <w:szCs w:val="21"/>
        </w:rPr>
        <w:t>；恒温培养箱</w:t>
      </w:r>
      <w:r>
        <w:rPr>
          <w:rFonts w:ascii="Times New Roman" w:hAnsi="Times New Roman"/>
          <w:szCs w:val="21"/>
        </w:rPr>
        <w:t>36</w:t>
      </w:r>
      <w:r>
        <w:rPr>
          <w:rFonts w:ascii="Times New Roman" w:hAnsi="Times New Roman"/>
          <w:kern w:val="0"/>
          <w:szCs w:val="21"/>
          <w:lang w:val="zh-CN"/>
        </w:rPr>
        <w:t>±1</w:t>
      </w:r>
      <w:r>
        <w:rPr>
          <w:rFonts w:hint="eastAsia" w:ascii="Times New Roman" w:hAnsi="Times New Roman"/>
          <w:kern w:val="0"/>
          <w:szCs w:val="21"/>
        </w:rPr>
        <w:t xml:space="preserve"> </w:t>
      </w:r>
      <w:r>
        <w:rPr>
          <w:rFonts w:ascii="Times New Roman" w:hAnsi="Times New Roman"/>
          <w:kern w:val="0"/>
          <w:szCs w:val="21"/>
          <w:lang w:val="zh-CN"/>
        </w:rPr>
        <w:t>℃</w:t>
      </w:r>
      <w:r>
        <w:rPr>
          <w:rFonts w:hint="eastAsia" w:ascii="Times New Roman" w:hAnsi="Times New Roman"/>
          <w:kern w:val="0"/>
          <w:szCs w:val="21"/>
          <w:lang w:val="zh-CN"/>
        </w:rPr>
        <w:t>。</w:t>
      </w:r>
    </w:p>
    <w:p w14:paraId="189EE4DB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.2  温度计。</w:t>
      </w:r>
    </w:p>
    <w:p w14:paraId="2DAAFD2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.3  显微镜。</w:t>
      </w:r>
    </w:p>
    <w:p w14:paraId="4B8819B0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.4  载玻片。</w:t>
      </w:r>
    </w:p>
    <w:p w14:paraId="4274FDDC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.5  接种环。</w:t>
      </w:r>
    </w:p>
    <w:p w14:paraId="2FD214FA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.6  电磁炉。</w:t>
      </w:r>
    </w:p>
    <w:p w14:paraId="0F10267C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.7  </w:t>
      </w:r>
      <w:r>
        <w:rPr>
          <w:rFonts w:hint="eastAsia" w:ascii="Times New Roman" w:hAnsi="Times New Roman"/>
          <w:szCs w:val="21"/>
        </w:rPr>
        <w:t>无菌锥形</w:t>
      </w:r>
      <w:r>
        <w:rPr>
          <w:rFonts w:ascii="Times New Roman" w:hAnsi="Times New Roman"/>
          <w:szCs w:val="21"/>
        </w:rPr>
        <w:t>瓶</w:t>
      </w:r>
      <w:r>
        <w:rPr>
          <w:rFonts w:hint="eastAsia" w:ascii="Times New Roman" w:hAnsi="Times New Roman"/>
          <w:szCs w:val="21"/>
        </w:rPr>
        <w:t>：容量</w:t>
      </w:r>
      <w:r>
        <w:rPr>
          <w:rFonts w:ascii="Times New Roman" w:hAnsi="Times New Roman"/>
          <w:szCs w:val="21"/>
        </w:rPr>
        <w:t>250 mL。</w:t>
      </w:r>
    </w:p>
    <w:p w14:paraId="312C183B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.8  试管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18 mm</w:t>
      </w:r>
      <w:r>
        <w:rPr>
          <w:rFonts w:ascii="Times New Roman" w:hAnsi="Times New Roman"/>
          <w:b/>
          <w:szCs w:val="21"/>
        </w:rPr>
        <w:t>×</w:t>
      </w:r>
      <w:r>
        <w:rPr>
          <w:rFonts w:ascii="Times New Roman" w:hAnsi="Times New Roman"/>
          <w:szCs w:val="21"/>
        </w:rPr>
        <w:t>150 mm。</w:t>
      </w:r>
    </w:p>
    <w:p w14:paraId="28B4DF21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.9  </w:t>
      </w:r>
      <w:r>
        <w:rPr>
          <w:rFonts w:hint="eastAsia" w:ascii="Times New Roman" w:hAnsi="Times New Roman"/>
          <w:szCs w:val="21"/>
        </w:rPr>
        <w:t>杜氏小管</w:t>
      </w:r>
      <w:r>
        <w:rPr>
          <w:rFonts w:ascii="Times New Roman" w:hAnsi="Times New Roman"/>
          <w:szCs w:val="21"/>
        </w:rPr>
        <w:t>。</w:t>
      </w:r>
    </w:p>
    <w:p w14:paraId="2973FE4C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.10  pH计或pH比色管或精密pH试纸</w:t>
      </w:r>
      <w:r>
        <w:rPr>
          <w:rFonts w:hint="eastAsia" w:ascii="Times New Roman" w:hAnsi="Times New Roman"/>
          <w:szCs w:val="21"/>
        </w:rPr>
        <w:t>。</w:t>
      </w:r>
    </w:p>
    <w:p w14:paraId="41A09B05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.11  灭菌刻度吸管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10 mL、1 mL</w:t>
      </w:r>
      <w:r>
        <w:rPr>
          <w:rFonts w:hint="eastAsia" w:ascii="Times New Roman" w:hAnsi="Times New Roman"/>
          <w:szCs w:val="21"/>
        </w:rPr>
        <w:t>或者相应的移液器及配套灭菌吸头</w:t>
      </w:r>
      <w:r>
        <w:rPr>
          <w:rFonts w:ascii="Times New Roman" w:hAnsi="Times New Roman"/>
          <w:szCs w:val="21"/>
        </w:rPr>
        <w:t>。</w:t>
      </w:r>
    </w:p>
    <w:p w14:paraId="326B092B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.12  灭菌培养皿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直径90 mm。</w:t>
      </w:r>
    </w:p>
    <w:p w14:paraId="3309010C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.13  冰箱：2~8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℃。</w:t>
      </w:r>
    </w:p>
    <w:p w14:paraId="09F17BC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>.14  天平：</w:t>
      </w:r>
      <w:r>
        <w:rPr>
          <w:rFonts w:hint="eastAsia" w:ascii="Times New Roman" w:hAnsi="Times New Roman"/>
          <w:szCs w:val="21"/>
        </w:rPr>
        <w:t>显示分度值</w:t>
      </w:r>
      <w:r>
        <w:rPr>
          <w:rFonts w:ascii="Times New Roman" w:hAnsi="Times New Roman"/>
          <w:szCs w:val="21"/>
        </w:rPr>
        <w:t>为0.1 g。</w:t>
      </w:r>
    </w:p>
    <w:p w14:paraId="3B05527E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</w:t>
      </w:r>
      <w:r>
        <w:rPr>
          <w:rFonts w:ascii="Times New Roman" w:hAnsi="Times New Roman"/>
          <w:szCs w:val="21"/>
        </w:rPr>
        <w:t xml:space="preserve">.15  </w:t>
      </w:r>
      <w:r>
        <w:rPr>
          <w:rFonts w:hint="eastAsia" w:ascii="Times New Roman" w:hAnsi="Times New Roman"/>
          <w:szCs w:val="21"/>
        </w:rPr>
        <w:t>均质器及无菌均质袋或无菌均质杯。</w:t>
      </w:r>
    </w:p>
    <w:p w14:paraId="6B598087">
      <w:pPr>
        <w:spacing w:before="159" w:beforeLines="50" w:after="159" w:afterLines="50" w:line="300" w:lineRule="auto"/>
        <w:rPr>
          <w:rFonts w:ascii="Times New Roman" w:hAnsi="Times New Roman" w:eastAsia="黑体"/>
          <w:szCs w:val="21"/>
        </w:rPr>
      </w:pPr>
      <w:r>
        <w:rPr>
          <w:rFonts w:hint="eastAsia" w:ascii="Times New Roman" w:hAnsi="Times New Roman" w:eastAsia="黑体"/>
          <w:szCs w:val="21"/>
        </w:rPr>
        <w:t>4</w:t>
      </w:r>
      <w:r>
        <w:rPr>
          <w:rFonts w:ascii="Times New Roman" w:hAnsi="Times New Roman" w:eastAsia="黑体"/>
          <w:szCs w:val="21"/>
        </w:rPr>
        <w:t xml:space="preserve">  培养基和试剂</w:t>
      </w:r>
    </w:p>
    <w:p w14:paraId="360234B4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4.1  双倍乳糖胆盐（含中和剂）培养基：</w:t>
      </w:r>
      <w:bookmarkStart w:id="0" w:name="OLE_LINK36"/>
      <w:r>
        <w:rPr>
          <w:rFonts w:hint="eastAsia" w:ascii="Times New Roman" w:hAnsi="Times New Roman"/>
          <w:szCs w:val="21"/>
        </w:rPr>
        <w:t>见A.1</w:t>
      </w:r>
      <w:bookmarkEnd w:id="0"/>
      <w:r>
        <w:rPr>
          <w:rFonts w:hint="eastAsia" w:ascii="Times New Roman" w:hAnsi="Times New Roman"/>
          <w:szCs w:val="21"/>
        </w:rPr>
        <w:t>。</w:t>
      </w:r>
    </w:p>
    <w:p w14:paraId="2D559E5D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4.2</w:t>
      </w:r>
      <w:r>
        <w:rPr>
          <w:rFonts w:hint="eastAsia" w:ascii="Times New Roman" w:hAnsi="Times New Roman"/>
          <w:color w:val="FF0000"/>
          <w:szCs w:val="21"/>
        </w:rPr>
        <w:t xml:space="preserve">  </w:t>
      </w:r>
      <w:r>
        <w:rPr>
          <w:rFonts w:hint="eastAsia" w:ascii="Times New Roman" w:hAnsi="Times New Roman"/>
          <w:szCs w:val="21"/>
        </w:rPr>
        <w:t>单倍乳糖胆盐（含中和剂）培养基：见A.2。</w:t>
      </w:r>
    </w:p>
    <w:p w14:paraId="17F573B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4.3  伊红美蓝培养基（EMB）：见A.3。</w:t>
      </w:r>
    </w:p>
    <w:p w14:paraId="0688B4B8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4.4  0.85%生理盐水：见A.4。</w:t>
      </w:r>
    </w:p>
    <w:p w14:paraId="3CECF798">
      <w:pPr>
        <w:spacing w:before="159" w:beforeLines="50" w:after="159" w:afterLines="50" w:line="300" w:lineRule="auto"/>
        <w:rPr>
          <w:rFonts w:ascii="Times New Roman" w:hAnsi="Times New Roman" w:eastAsia="黑体" w:cs="黑体"/>
          <w:szCs w:val="21"/>
        </w:rPr>
      </w:pPr>
      <w:r>
        <w:rPr>
          <w:rFonts w:ascii="Times New Roman" w:hAnsi="Times New Roman"/>
          <w:szCs w:val="21"/>
        </w:rPr>
        <w:t>5</w:t>
      </w:r>
      <w:r>
        <w:rPr>
          <w:rFonts w:hint="eastAsia" w:ascii="Times New Roman" w:hAnsi="Times New Roman" w:eastAsia="黑体" w:cs="黑体"/>
          <w:szCs w:val="21"/>
        </w:rPr>
        <w:t xml:space="preserve"> </w:t>
      </w:r>
      <w:r>
        <w:rPr>
          <w:rFonts w:ascii="Times New Roman" w:hAnsi="Times New Roman" w:eastAsia="黑体" w:cs="黑体"/>
          <w:szCs w:val="21"/>
        </w:rPr>
        <w:t xml:space="preserve"> </w:t>
      </w:r>
      <w:r>
        <w:rPr>
          <w:rFonts w:hint="eastAsia" w:ascii="Times New Roman" w:hAnsi="Times New Roman" w:eastAsia="黑体" w:cs="黑体"/>
          <w:szCs w:val="21"/>
        </w:rPr>
        <w:t>操作步骤</w:t>
      </w:r>
    </w:p>
    <w:p w14:paraId="2CFB8983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5.1</w:t>
      </w:r>
      <w:r>
        <w:rPr>
          <w:rFonts w:ascii="Times New Roman" w:hAnsi="Times New Roman"/>
          <w:szCs w:val="21"/>
          <w:lang w:val="en"/>
        </w:rPr>
        <w:t xml:space="preserve">  </w:t>
      </w:r>
      <w:r>
        <w:rPr>
          <w:rFonts w:hint="eastAsia" w:ascii="Times New Roman" w:hAnsi="Times New Roman"/>
          <w:szCs w:val="21"/>
        </w:rPr>
        <w:t>样品的制备</w:t>
      </w:r>
    </w:p>
    <w:p w14:paraId="24BCE3F7">
      <w:pPr>
        <w:spacing w:before="159" w:beforeLines="50" w:after="159" w:afterLines="50" w:line="300" w:lineRule="auto"/>
        <w:ind w:firstLine="436" w:firstLineChars="200"/>
        <w:rPr>
          <w:rFonts w:ascii="Times New Roman" w:hAnsi="Times New Roman" w:cs="黑体"/>
          <w:sz w:val="30"/>
          <w:szCs w:val="21"/>
        </w:rPr>
      </w:pPr>
      <w:r>
        <w:rPr>
          <w:rFonts w:hint="eastAsia" w:ascii="Times New Roman" w:hAnsi="Times New Roman"/>
          <w:szCs w:val="21"/>
        </w:rPr>
        <w:t>按照微生物检验方法总则4.3制备1:10检液。</w:t>
      </w:r>
    </w:p>
    <w:p w14:paraId="4716E1B5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5.2</w:t>
      </w:r>
      <w:r>
        <w:rPr>
          <w:rFonts w:ascii="Times New Roman" w:hAnsi="Times New Roman"/>
          <w:szCs w:val="21"/>
          <w:lang w:val="en"/>
        </w:rPr>
        <w:t xml:space="preserve">  </w:t>
      </w:r>
      <w:r>
        <w:rPr>
          <w:rFonts w:ascii="Times New Roman" w:hAnsi="Times New Roman"/>
          <w:szCs w:val="21"/>
        </w:rPr>
        <w:t>初发酵试验</w:t>
      </w:r>
    </w:p>
    <w:p w14:paraId="177B4DE5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取上述检液</w:t>
      </w:r>
      <w:r>
        <w:rPr>
          <w:rFonts w:ascii="Times New Roman" w:hAnsi="Times New Roman"/>
          <w:szCs w:val="21"/>
        </w:rPr>
        <w:t>加到10 mL双倍乳糖胆盐</w:t>
      </w:r>
      <w:r>
        <w:rPr>
          <w:rFonts w:hint="eastAsia" w:ascii="Times New Roman" w:hAnsi="Times New Roman" w:cs="宋体"/>
          <w:szCs w:val="21"/>
        </w:rPr>
        <w:t>（</w:t>
      </w:r>
      <w:r>
        <w:rPr>
          <w:rFonts w:ascii="Times New Roman" w:hAnsi="Times New Roman"/>
          <w:szCs w:val="21"/>
        </w:rPr>
        <w:t>含中和剂</w:t>
      </w:r>
      <w:r>
        <w:rPr>
          <w:rFonts w:hint="eastAsia" w:ascii="Times New Roman" w:hAnsi="Times New Roman" w:cs="宋体"/>
          <w:szCs w:val="21"/>
        </w:rPr>
        <w:t>）</w:t>
      </w:r>
      <w:r>
        <w:rPr>
          <w:rFonts w:ascii="Times New Roman" w:hAnsi="Times New Roman"/>
          <w:szCs w:val="21"/>
        </w:rPr>
        <w:t>培养基中，置36±1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℃培养24±2 h，如既不产酸也不产气，继续培养至48±2 h</w:t>
      </w:r>
      <w:r>
        <w:rPr>
          <w:rFonts w:hint="eastAsia" w:ascii="Times New Roman" w:hAnsi="Times New Roman"/>
          <w:szCs w:val="21"/>
        </w:rPr>
        <w:t>。</w:t>
      </w:r>
      <w:r>
        <w:rPr>
          <w:rFonts w:ascii="Times New Roman" w:hAnsi="Times New Roman"/>
          <w:szCs w:val="21"/>
        </w:rPr>
        <w:t>如既不产酸也不产气</w:t>
      </w:r>
      <w:r>
        <w:rPr>
          <w:rFonts w:hint="eastAsia" w:ascii="Times New Roman" w:hAnsi="Times New Roman"/>
          <w:szCs w:val="21"/>
        </w:rPr>
        <w:t>，则判定为耐热大肠菌群阴性。</w:t>
      </w:r>
    </w:p>
    <w:p w14:paraId="4CF1D3D4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5.3  复发酵试验</w:t>
      </w:r>
    </w:p>
    <w:p w14:paraId="1564CB7F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如</w:t>
      </w:r>
      <w:r>
        <w:rPr>
          <w:rFonts w:hint="eastAsia" w:ascii="Times New Roman" w:hAnsi="Times New Roman"/>
          <w:szCs w:val="21"/>
        </w:rPr>
        <w:t>认为</w:t>
      </w:r>
      <w:r>
        <w:rPr>
          <w:rFonts w:ascii="Times New Roman" w:hAnsi="Times New Roman"/>
          <w:szCs w:val="21"/>
        </w:rPr>
        <w:t>初发酵</w:t>
      </w:r>
      <w:r>
        <w:rPr>
          <w:rFonts w:hint="eastAsia" w:ascii="Times New Roman" w:hAnsi="Times New Roman"/>
          <w:szCs w:val="21"/>
        </w:rPr>
        <w:t>存在基质效应无法判定或</w:t>
      </w:r>
      <w:r>
        <w:rPr>
          <w:rFonts w:ascii="Times New Roman" w:hAnsi="Times New Roman"/>
          <w:szCs w:val="21"/>
        </w:rPr>
        <w:t>试验产酸且/或产气，</w:t>
      </w:r>
      <w:r>
        <w:rPr>
          <w:rFonts w:hint="eastAsia" w:ascii="Times New Roman" w:hAnsi="Times New Roman"/>
          <w:szCs w:val="21"/>
        </w:rPr>
        <w:t>则</w:t>
      </w:r>
      <w:r>
        <w:rPr>
          <w:rFonts w:ascii="Times New Roman" w:hAnsi="Times New Roman"/>
          <w:szCs w:val="21"/>
        </w:rPr>
        <w:t>从上述培养管中取1 mL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加到10 mL</w:t>
      </w:r>
      <w:r>
        <w:rPr>
          <w:rFonts w:hint="eastAsia" w:ascii="Times New Roman" w:hAnsi="Times New Roman"/>
          <w:szCs w:val="21"/>
        </w:rPr>
        <w:t>预先升温至44.5</w:t>
      </w:r>
      <w:r>
        <w:rPr>
          <w:rFonts w:ascii="Times New Roman" w:hAnsi="Times New Roman"/>
          <w:szCs w:val="21"/>
        </w:rPr>
        <w:t xml:space="preserve"> ℃</w:t>
      </w:r>
      <w:r>
        <w:rPr>
          <w:rFonts w:hint="eastAsia" w:ascii="Times New Roman" w:hAnsi="Times New Roman"/>
          <w:szCs w:val="21"/>
        </w:rPr>
        <w:t>的</w:t>
      </w:r>
      <w:r>
        <w:rPr>
          <w:rFonts w:ascii="Times New Roman" w:hAnsi="Times New Roman"/>
          <w:szCs w:val="21"/>
        </w:rPr>
        <w:t>单倍乳糖胆盐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含中和剂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培养基中，置44.5±0.5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℃培养24±2 h。如既不产酸也不产气、</w:t>
      </w:r>
      <w:r>
        <w:rPr>
          <w:rFonts w:hint="eastAsia" w:ascii="Times New Roman" w:hAnsi="Times New Roman"/>
          <w:szCs w:val="21"/>
        </w:rPr>
        <w:t>只</w:t>
      </w:r>
      <w:r>
        <w:rPr>
          <w:rFonts w:ascii="Times New Roman" w:hAnsi="Times New Roman"/>
          <w:szCs w:val="21"/>
        </w:rPr>
        <w:t>产酸或</w:t>
      </w:r>
      <w:r>
        <w:rPr>
          <w:rFonts w:hint="eastAsia" w:ascii="Times New Roman" w:hAnsi="Times New Roman"/>
          <w:szCs w:val="21"/>
        </w:rPr>
        <w:t>只</w:t>
      </w:r>
      <w:r>
        <w:rPr>
          <w:rFonts w:ascii="Times New Roman" w:hAnsi="Times New Roman"/>
          <w:szCs w:val="21"/>
        </w:rPr>
        <w:t>产气，则</w:t>
      </w:r>
      <w:r>
        <w:rPr>
          <w:rFonts w:hint="eastAsia" w:ascii="Times New Roman" w:hAnsi="Times New Roman"/>
          <w:szCs w:val="21"/>
        </w:rPr>
        <w:t>判定</w:t>
      </w:r>
      <w:r>
        <w:rPr>
          <w:rFonts w:ascii="Times New Roman" w:hAnsi="Times New Roman"/>
          <w:szCs w:val="21"/>
        </w:rPr>
        <w:t>为耐热大肠菌群阴性。</w:t>
      </w:r>
    </w:p>
    <w:p w14:paraId="64F2AE3F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5.4  </w:t>
      </w:r>
      <w:r>
        <w:rPr>
          <w:rFonts w:hint="eastAsia" w:ascii="Times New Roman" w:hAnsi="Times New Roman"/>
          <w:szCs w:val="21"/>
        </w:rPr>
        <w:t>可疑菌落分离</w:t>
      </w:r>
    </w:p>
    <w:p w14:paraId="4ECB55EC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如复发酵试验产酸且产气，可划线接种到伊红美蓝平板上，置36±1 ℃培养18</w:t>
      </w:r>
      <w:r>
        <w:rPr>
          <w:rFonts w:ascii="Times New Roman" w:hAnsi="Times New Roman"/>
          <w:szCs w:val="21"/>
          <w:lang w:val="en"/>
        </w:rPr>
        <w:t>~</w:t>
      </w:r>
      <w:r>
        <w:rPr>
          <w:rFonts w:ascii="Times New Roman" w:hAnsi="Times New Roman"/>
          <w:szCs w:val="21"/>
        </w:rPr>
        <w:t>24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h。经培养后，在上述平板上观察有无典型菌落生长。耐热大肠菌群在伊红美蓝</w:t>
      </w:r>
      <w:r>
        <w:rPr>
          <w:rFonts w:hint="eastAsia" w:ascii="Times New Roman" w:hAnsi="Times New Roman"/>
          <w:szCs w:val="21"/>
        </w:rPr>
        <w:t>平板</w:t>
      </w:r>
      <w:r>
        <w:rPr>
          <w:rFonts w:ascii="Times New Roman" w:hAnsi="Times New Roman"/>
          <w:szCs w:val="21"/>
        </w:rPr>
        <w:t>上的典型菌落呈深紫黑色，圆形，边缘整齐，表面光滑湿润，常具有金属光泽。也有呈紫黑色</w:t>
      </w:r>
      <w:r>
        <w:rPr>
          <w:rFonts w:hint="eastAsia" w:ascii="Times New Roman" w:hAnsi="Times New Roman"/>
          <w:szCs w:val="21"/>
        </w:rPr>
        <w:t>而</w:t>
      </w:r>
      <w:r>
        <w:rPr>
          <w:rFonts w:ascii="Times New Roman" w:hAnsi="Times New Roman"/>
          <w:szCs w:val="21"/>
        </w:rPr>
        <w:t>不带或略带金属光泽，或</w:t>
      </w:r>
      <w:r>
        <w:rPr>
          <w:rFonts w:hint="eastAsia" w:ascii="Times New Roman" w:hAnsi="Times New Roman"/>
          <w:szCs w:val="21"/>
        </w:rPr>
        <w:t>呈</w:t>
      </w:r>
      <w:r>
        <w:rPr>
          <w:rFonts w:ascii="Times New Roman" w:hAnsi="Times New Roman"/>
          <w:szCs w:val="21"/>
        </w:rPr>
        <w:t>粉紫色</w:t>
      </w:r>
      <w:r>
        <w:rPr>
          <w:rFonts w:hint="eastAsia" w:ascii="Times New Roman" w:hAnsi="Times New Roman"/>
          <w:szCs w:val="21"/>
        </w:rPr>
        <w:t>而</w:t>
      </w:r>
      <w:r>
        <w:rPr>
          <w:rFonts w:ascii="Times New Roman" w:hAnsi="Times New Roman"/>
          <w:szCs w:val="21"/>
        </w:rPr>
        <w:t>中心较深的菌落，亦常为耐热大肠菌群，应注意挑选。</w:t>
      </w:r>
    </w:p>
    <w:p w14:paraId="40092386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5.5  </w:t>
      </w:r>
      <w:r>
        <w:rPr>
          <w:rFonts w:hint="eastAsia" w:ascii="Times New Roman" w:hAnsi="Times New Roman"/>
          <w:szCs w:val="21"/>
        </w:rPr>
        <w:t>染色镜检</w:t>
      </w:r>
    </w:p>
    <w:p w14:paraId="535B92E2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挑取上述可疑菌落，</w:t>
      </w:r>
      <w:r>
        <w:rPr>
          <w:rFonts w:hint="eastAsia" w:ascii="Times New Roman" w:hAnsi="Times New Roman"/>
          <w:szCs w:val="21"/>
        </w:rPr>
        <w:t>参考微生物检验方法总则附录F进行</w:t>
      </w:r>
      <w:r>
        <w:rPr>
          <w:rFonts w:ascii="Times New Roman" w:hAnsi="Times New Roman"/>
          <w:szCs w:val="21"/>
        </w:rPr>
        <w:t>革兰氏染色</w:t>
      </w:r>
      <w:r>
        <w:rPr>
          <w:rFonts w:hint="eastAsia" w:ascii="Times New Roman" w:hAnsi="Times New Roman"/>
          <w:szCs w:val="21"/>
        </w:rPr>
        <w:t>，</w:t>
      </w:r>
      <w:r>
        <w:rPr>
          <w:rFonts w:ascii="Times New Roman" w:hAnsi="Times New Roman"/>
          <w:szCs w:val="21"/>
        </w:rPr>
        <w:t>镜检。典型菌落形态为革兰氏阴性无芽孢</w:t>
      </w:r>
      <w:r>
        <w:rPr>
          <w:rFonts w:hint="eastAsia" w:ascii="Times New Roman" w:hAnsi="Times New Roman"/>
          <w:szCs w:val="21"/>
        </w:rPr>
        <w:t>短</w:t>
      </w:r>
      <w:r>
        <w:rPr>
          <w:rFonts w:ascii="Times New Roman" w:hAnsi="Times New Roman"/>
          <w:szCs w:val="21"/>
        </w:rPr>
        <w:t>杆菌</w:t>
      </w:r>
      <w:r>
        <w:rPr>
          <w:rFonts w:hint="eastAsia" w:ascii="Times New Roman" w:hAnsi="Times New Roman"/>
          <w:szCs w:val="21"/>
        </w:rPr>
        <w:t>。</w:t>
      </w:r>
    </w:p>
    <w:p w14:paraId="07004CB6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 xml:space="preserve">5.6  </w:t>
      </w:r>
      <w:r>
        <w:rPr>
          <w:rFonts w:hint="eastAsia" w:ascii="Times New Roman" w:hAnsi="Times New Roman"/>
          <w:szCs w:val="21"/>
        </w:rPr>
        <w:t>其他</w:t>
      </w:r>
    </w:p>
    <w:p w14:paraId="2C6913B9">
      <w:pPr>
        <w:ind w:firstLine="436" w:firstLineChars="200"/>
        <w:rPr>
          <w:rFonts w:ascii="Times New Roman" w:hAnsi="Times New Roman"/>
          <w:sz w:val="30"/>
          <w:szCs w:val="30"/>
        </w:rPr>
      </w:pPr>
      <w:r>
        <w:rPr>
          <w:rFonts w:hint="eastAsia" w:ascii="Times New Roman" w:hAnsi="Times New Roman"/>
          <w:szCs w:val="21"/>
        </w:rPr>
        <w:t>若实验室按照微生物检验方法总则附录</w:t>
      </w:r>
      <w:r>
        <w:rPr>
          <w:rFonts w:ascii="Times New Roman" w:hAnsi="Times New Roman"/>
          <w:color w:val="000000"/>
          <w:szCs w:val="21"/>
        </w:rPr>
        <w:t>E</w:t>
      </w:r>
      <w:r>
        <w:rPr>
          <w:rFonts w:hint="eastAsia" w:ascii="Times New Roman" w:hAnsi="Times New Roman"/>
          <w:szCs w:val="21"/>
        </w:rPr>
        <w:t>开展方法适用性试验，</w:t>
      </w:r>
      <w:r>
        <w:rPr>
          <w:rFonts w:ascii="Times New Roman" w:hAnsi="Times New Roman"/>
          <w:szCs w:val="21"/>
        </w:rPr>
        <w:t>可采用经适用性试验确认的方法进行耐热大肠菌群的检验</w:t>
      </w:r>
      <w:r>
        <w:rPr>
          <w:rFonts w:hint="eastAsia" w:ascii="Times New Roman" w:hAnsi="Times New Roman"/>
          <w:szCs w:val="21"/>
        </w:rPr>
        <w:t>。推荐质控菌株信息详见附录B。</w:t>
      </w:r>
    </w:p>
    <w:p w14:paraId="44E957E8">
      <w:pPr>
        <w:spacing w:before="159" w:beforeLines="50" w:after="159" w:afterLines="50" w:line="300" w:lineRule="auto"/>
        <w:rPr>
          <w:rFonts w:ascii="Times New Roman" w:hAnsi="Times New Roman" w:eastAsia="黑体"/>
          <w:szCs w:val="21"/>
        </w:rPr>
      </w:pPr>
      <w:r>
        <w:rPr>
          <w:rFonts w:ascii="Times New Roman" w:hAnsi="Times New Roman" w:eastAsia="黑体"/>
          <w:szCs w:val="21"/>
        </w:rPr>
        <w:t>6  结果报告</w:t>
      </w:r>
    </w:p>
    <w:p w14:paraId="212BACE9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根据复发酵试验产酸且产气，平板上有典型菌落，并经证实为革兰氏阴性无芽孢短杆菌，则可报告被检样品中检出耐热大肠菌群。</w:t>
      </w:r>
    </w:p>
    <w:p w14:paraId="7F974756">
      <w:pPr>
        <w:spacing w:before="159" w:beforeLines="50" w:after="159" w:afterLines="50" w:line="300" w:lineRule="auto"/>
        <w:ind w:left="183"/>
        <w:jc w:val="center"/>
        <w:rPr>
          <w:rFonts w:ascii="黑体" w:hAnsi="黑体" w:eastAsia="黑体" w:cs="黑体"/>
          <w:szCs w:val="21"/>
        </w:rPr>
      </w:pPr>
      <w:r>
        <w:br w:type="page"/>
      </w:r>
      <w:r>
        <w:rPr>
          <w:rFonts w:ascii="黑体" w:hAnsi="黑体" w:eastAsia="黑体" w:cs="黑体"/>
          <w:szCs w:val="21"/>
        </w:rPr>
        <w:t>附录</w:t>
      </w:r>
      <w:r>
        <w:rPr>
          <w:rFonts w:ascii="Times New Roman" w:hAnsi="Times New Roman" w:eastAsia="黑体"/>
          <w:szCs w:val="21"/>
        </w:rPr>
        <w:t>A</w:t>
      </w:r>
    </w:p>
    <w:p w14:paraId="7218341E">
      <w:pPr>
        <w:spacing w:before="159" w:beforeLines="50" w:after="159" w:afterLines="50" w:line="300" w:lineRule="auto"/>
        <w:ind w:left="181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（规范性附录）</w:t>
      </w:r>
    </w:p>
    <w:p w14:paraId="78F2D0F8">
      <w:pPr>
        <w:spacing w:before="159" w:beforeLines="50" w:after="159" w:afterLines="50" w:line="300" w:lineRule="auto"/>
        <w:ind w:left="181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培养基和试剂</w:t>
      </w:r>
    </w:p>
    <w:p w14:paraId="400B3C92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A.1  双倍乳糖胆盐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含中和剂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培养基</w:t>
      </w:r>
    </w:p>
    <w:p w14:paraId="4897E66A">
      <w:pPr>
        <w:tabs>
          <w:tab w:val="right" w:pos="4620"/>
        </w:tabs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成分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蛋白胨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 xml:space="preserve"> 40 g</w:t>
      </w:r>
    </w:p>
    <w:p w14:paraId="78F4D9C6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猪胆盐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4F3EE5A6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乳糖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 g</w:t>
      </w:r>
    </w:p>
    <w:p w14:paraId="54973487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0.4%溴甲酚紫水溶液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5 mL</w:t>
      </w:r>
    </w:p>
    <w:p w14:paraId="5026DE75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卵磷脂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2 g</w:t>
      </w:r>
    </w:p>
    <w:p w14:paraId="3089F6A3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吐温80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14 g</w:t>
      </w:r>
    </w:p>
    <w:p w14:paraId="69ADB4DF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蒸馏水</w:t>
      </w:r>
      <w:r>
        <w:rPr>
          <w:rFonts w:hint="eastAsia" w:ascii="Times New Roman" w:hAnsi="Times New Roman"/>
          <w:szCs w:val="21"/>
        </w:rPr>
        <w:tab/>
      </w:r>
      <w:r>
        <w:rPr>
          <w:rFonts w:ascii="Times New Roman" w:hAnsi="Times New Roman"/>
          <w:szCs w:val="21"/>
        </w:rPr>
        <w:t>1000 mL</w:t>
      </w:r>
    </w:p>
    <w:p w14:paraId="2BC22A50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制法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将卵磷脂、吐温80溶解到少量蒸馏水中。将蛋白胨、</w:t>
      </w:r>
      <w:r>
        <w:rPr>
          <w:rFonts w:hint="eastAsia" w:ascii="Times New Roman" w:hAnsi="Times New Roman"/>
          <w:szCs w:val="21"/>
        </w:rPr>
        <w:t>猪</w:t>
      </w:r>
      <w:r>
        <w:rPr>
          <w:rFonts w:ascii="Times New Roman" w:hAnsi="Times New Roman"/>
          <w:szCs w:val="21"/>
        </w:rPr>
        <w:t>胆盐及乳糖溶解到其余的蒸馏水中，加到一起混匀，加入0.4%溴甲酚紫水溶液，混匀，调节pH值，分装试管，每管10 mL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每支试管中加一个</w:t>
      </w:r>
      <w:r>
        <w:rPr>
          <w:rFonts w:hint="eastAsia" w:ascii="Times New Roman" w:hAnsi="Times New Roman"/>
          <w:szCs w:val="21"/>
        </w:rPr>
        <w:t>杜氏</w:t>
      </w:r>
      <w:r>
        <w:rPr>
          <w:rFonts w:ascii="Times New Roman" w:hAnsi="Times New Roman"/>
          <w:szCs w:val="21"/>
        </w:rPr>
        <w:t>小管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。115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  <w:lang w:val="zh-CN"/>
        </w:rPr>
        <w:t>℃</w:t>
      </w:r>
      <w:r>
        <w:rPr>
          <w:rFonts w:ascii="Times New Roman" w:hAnsi="Times New Roman"/>
          <w:szCs w:val="21"/>
        </w:rPr>
        <w:t>高压灭菌20 min</w:t>
      </w:r>
      <w:r>
        <w:rPr>
          <w:rFonts w:hint="eastAsia" w:ascii="Times New Roman" w:hAnsi="Times New Roman"/>
          <w:szCs w:val="21"/>
          <w:lang w:eastAsia="zh-CN"/>
        </w:rPr>
        <w:t>，冷却至室温</w:t>
      </w:r>
      <w:r>
        <w:rPr>
          <w:rFonts w:hint="default" w:ascii="Times New Roman" w:hAnsi="Times New Roman"/>
          <w:szCs w:val="21"/>
          <w:lang w:eastAsia="zh-CN"/>
        </w:rPr>
        <w:t>备用</w:t>
      </w:r>
      <w:r>
        <w:rPr>
          <w:rFonts w:hint="eastAsia" w:ascii="Times New Roman" w:hAnsi="Times New Roman"/>
          <w:szCs w:val="21"/>
          <w:lang w:eastAsia="zh-CN"/>
        </w:rPr>
        <w:t>，</w:t>
      </w:r>
      <w:r>
        <w:rPr>
          <w:rFonts w:hint="eastAsia" w:ascii="Times New Roman" w:hAnsi="Times New Roman"/>
          <w:szCs w:val="21"/>
          <w:lang w:val="en-US" w:eastAsia="zh-CN"/>
        </w:rPr>
        <w:t>室温下培养基</w:t>
      </w:r>
      <w:r>
        <w:rPr>
          <w:rFonts w:hint="eastAsia" w:ascii="Times New Roman" w:hAnsi="Times New Roman"/>
          <w:szCs w:val="21"/>
          <w:lang w:eastAsia="zh-CN"/>
        </w:rPr>
        <w:t>pH值应为7.</w:t>
      </w:r>
      <w:r>
        <w:rPr>
          <w:rFonts w:hint="eastAsia" w:ascii="Times New Roman" w:hAnsi="Times New Roman"/>
          <w:szCs w:val="21"/>
          <w:lang w:val="en-US" w:eastAsia="zh-CN"/>
        </w:rPr>
        <w:t>4</w:t>
      </w:r>
      <w:r>
        <w:rPr>
          <w:rFonts w:hint="eastAsia" w:ascii="Times New Roman" w:hAnsi="Times New Roman"/>
          <w:szCs w:val="21"/>
          <w:lang w:eastAsia="zh-CN"/>
        </w:rPr>
        <w:t>±0.2。</w:t>
      </w:r>
    </w:p>
    <w:p w14:paraId="21EF089A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A.2</w:t>
      </w:r>
      <w:r>
        <w:rPr>
          <w:rFonts w:ascii="Times New Roman" w:hAnsi="Times New Roman"/>
          <w:color w:val="FF0000"/>
          <w:szCs w:val="21"/>
        </w:rPr>
        <w:t xml:space="preserve">  </w:t>
      </w:r>
      <w:r>
        <w:rPr>
          <w:rFonts w:ascii="Times New Roman" w:hAnsi="Times New Roman"/>
          <w:szCs w:val="21"/>
        </w:rPr>
        <w:t>单倍乳糖胆盐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含中和剂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培养基</w:t>
      </w:r>
    </w:p>
    <w:p w14:paraId="6F347F27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将双倍乳糖胆盐</w:t>
      </w:r>
      <w:r>
        <w:rPr>
          <w:rFonts w:hint="eastAsia" w:ascii="Times New Roman" w:hAnsi="Times New Roman"/>
          <w:szCs w:val="21"/>
        </w:rPr>
        <w:t>（</w:t>
      </w:r>
      <w:r>
        <w:rPr>
          <w:rFonts w:ascii="Times New Roman" w:hAnsi="Times New Roman"/>
          <w:szCs w:val="21"/>
        </w:rPr>
        <w:t>含中和剂</w:t>
      </w:r>
      <w:r>
        <w:rPr>
          <w:rFonts w:hint="eastAsia" w:ascii="Times New Roman" w:hAnsi="Times New Roman"/>
          <w:szCs w:val="21"/>
        </w:rPr>
        <w:t>）</w:t>
      </w:r>
      <w:r>
        <w:rPr>
          <w:rFonts w:ascii="Times New Roman" w:hAnsi="Times New Roman"/>
          <w:szCs w:val="21"/>
        </w:rPr>
        <w:t>培养基配制体积加倍，其余配制相同。</w:t>
      </w:r>
    </w:p>
    <w:p w14:paraId="0EEB4969">
      <w:pPr>
        <w:spacing w:before="159" w:beforeLines="50" w:after="159" w:afterLines="50" w:line="300" w:lineRule="auto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A.3  伊红美蓝</w:t>
      </w:r>
      <w:r>
        <w:rPr>
          <w:rFonts w:hint="eastAsia" w:ascii="Times New Roman" w:hAnsi="Times New Roman"/>
          <w:szCs w:val="21"/>
        </w:rPr>
        <w:t>培养基（</w:t>
      </w:r>
      <w:r>
        <w:rPr>
          <w:rFonts w:ascii="Times New Roman" w:hAnsi="Times New Roman"/>
          <w:szCs w:val="21"/>
        </w:rPr>
        <w:t>EMB</w:t>
      </w:r>
      <w:r>
        <w:rPr>
          <w:rFonts w:hint="eastAsia" w:ascii="Times New Roman" w:hAnsi="Times New Roman"/>
          <w:szCs w:val="21"/>
        </w:rPr>
        <w:t>）</w:t>
      </w:r>
    </w:p>
    <w:p w14:paraId="778A62F8">
      <w:pPr>
        <w:tabs>
          <w:tab w:val="right" w:pos="4620"/>
        </w:tabs>
        <w:spacing w:line="300" w:lineRule="auto"/>
        <w:ind w:firstLine="436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成分</w:t>
      </w:r>
      <w:r>
        <w:rPr>
          <w:rFonts w:hint="eastAsia" w:ascii="Times New Roman" w:hAnsi="Times New Roman"/>
        </w:rPr>
        <w:t>：</w:t>
      </w:r>
      <w:r>
        <w:rPr>
          <w:rFonts w:ascii="Times New Roman" w:hAnsi="Times New Roman"/>
        </w:rPr>
        <w:t>蛋白胨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10 g</w:t>
      </w:r>
    </w:p>
    <w:p w14:paraId="69D99508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  <w:szCs w:val="21"/>
        </w:rPr>
        <w:t>乳糖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10 g</w:t>
      </w:r>
    </w:p>
    <w:p w14:paraId="02F95976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</w:rPr>
        <w:t>磷酸氢二钾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2 g</w:t>
      </w:r>
    </w:p>
    <w:p w14:paraId="175E639E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</w:rPr>
        <w:t>琼脂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15 g</w:t>
      </w:r>
    </w:p>
    <w:p w14:paraId="31B31A26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</w:rPr>
        <w:t>2%伊红水溶液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20 mL</w:t>
      </w:r>
    </w:p>
    <w:p w14:paraId="00FEF912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</w:rPr>
        <w:t>0.5%美蓝水溶液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13 mL</w:t>
      </w:r>
    </w:p>
    <w:p w14:paraId="6D8B0223">
      <w:pPr>
        <w:tabs>
          <w:tab w:val="right" w:pos="4620"/>
        </w:tabs>
        <w:spacing w:line="300" w:lineRule="auto"/>
        <w:ind w:firstLine="1090" w:firstLineChars="500"/>
        <w:rPr>
          <w:rFonts w:ascii="Times New Roman" w:hAnsi="Times New Roman"/>
        </w:rPr>
      </w:pPr>
      <w:r>
        <w:rPr>
          <w:rFonts w:ascii="Times New Roman" w:hAnsi="Times New Roman"/>
          <w:szCs w:val="21"/>
        </w:rPr>
        <w:t>蒸馏水</w:t>
      </w:r>
      <w:r>
        <w:rPr>
          <w:rFonts w:hint="eastAsia" w:ascii="Times New Roman" w:hAnsi="Times New Roman"/>
        </w:rPr>
        <w:tab/>
      </w:r>
      <w:r>
        <w:rPr>
          <w:rFonts w:ascii="Times New Roman" w:hAnsi="Times New Roman"/>
        </w:rPr>
        <w:t>1000 mL</w:t>
      </w:r>
    </w:p>
    <w:p w14:paraId="1267F03F">
      <w:pPr>
        <w:spacing w:line="300" w:lineRule="auto"/>
        <w:ind w:firstLine="436" w:firstLineChars="20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制法</w:t>
      </w:r>
      <w:r>
        <w:rPr>
          <w:rFonts w:hint="eastAsia" w:ascii="Times New Roman" w:hAnsi="Times New Roman"/>
          <w:szCs w:val="21"/>
        </w:rPr>
        <w:t>：</w:t>
      </w:r>
      <w:r>
        <w:rPr>
          <w:rFonts w:ascii="Times New Roman" w:hAnsi="Times New Roman"/>
          <w:szCs w:val="21"/>
        </w:rPr>
        <w:t>在1000 mL蒸馏水中加入磷酸氢二钾、蛋白胨、乳糖、2%伊红水溶液</w:t>
      </w:r>
      <w:r>
        <w:rPr>
          <w:rFonts w:hint="eastAsia" w:ascii="Times New Roman" w:hAnsi="Times New Roman"/>
          <w:szCs w:val="21"/>
        </w:rPr>
        <w:t>和</w:t>
      </w:r>
      <w:r>
        <w:rPr>
          <w:rFonts w:ascii="Times New Roman" w:hAnsi="Times New Roman"/>
          <w:szCs w:val="21"/>
        </w:rPr>
        <w:t>0.5%美蓝水溶液，混匀，使之溶解，调节pH值。</w:t>
      </w:r>
      <w:r>
        <w:rPr>
          <w:rFonts w:hint="eastAsia" w:ascii="Times New Roman" w:hAnsi="Times New Roman"/>
          <w:szCs w:val="21"/>
        </w:rPr>
        <w:t>再</w:t>
      </w:r>
      <w:r>
        <w:rPr>
          <w:rFonts w:ascii="Times New Roman" w:hAnsi="Times New Roman"/>
          <w:szCs w:val="21"/>
        </w:rPr>
        <w:t>加入琼脂，121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  <w:lang w:val="zh-CN"/>
        </w:rPr>
        <w:t>℃</w:t>
      </w:r>
      <w:r>
        <w:rPr>
          <w:rFonts w:ascii="Times New Roman" w:hAnsi="Times New Roman"/>
          <w:szCs w:val="21"/>
        </w:rPr>
        <w:t>高压灭菌15 min。冷</w:t>
      </w:r>
      <w:r>
        <w:rPr>
          <w:rFonts w:hint="eastAsia" w:ascii="Times New Roman" w:hAnsi="Times New Roman"/>
          <w:szCs w:val="21"/>
          <w:lang w:val="en-US" w:eastAsia="zh-CN"/>
        </w:rPr>
        <w:t>却</w:t>
      </w:r>
      <w:r>
        <w:rPr>
          <w:rFonts w:ascii="Times New Roman" w:hAnsi="Times New Roman"/>
          <w:szCs w:val="21"/>
        </w:rPr>
        <w:t>至45~50</w:t>
      </w:r>
      <w:r>
        <w:rPr>
          <w:rFonts w:hint="eastAsia" w:ascii="Times New Roman" w:hAnsi="Times New Roman"/>
          <w:szCs w:val="21"/>
        </w:rPr>
        <w:t xml:space="preserve"> </w:t>
      </w:r>
      <w:r>
        <w:rPr>
          <w:rFonts w:ascii="Times New Roman" w:hAnsi="Times New Roman"/>
          <w:kern w:val="0"/>
          <w:szCs w:val="21"/>
          <w:lang w:val="zh-CN"/>
        </w:rPr>
        <w:t>℃</w:t>
      </w:r>
      <w:r>
        <w:rPr>
          <w:rFonts w:ascii="Times New Roman" w:hAnsi="Times New Roman"/>
          <w:szCs w:val="21"/>
        </w:rPr>
        <w:t>，倾注平皿室温备用</w:t>
      </w:r>
      <w:r>
        <w:rPr>
          <w:rFonts w:hint="eastAsia" w:ascii="Times New Roman" w:hAnsi="Times New Roman"/>
          <w:szCs w:val="21"/>
          <w:lang w:eastAsia="zh-CN"/>
        </w:rPr>
        <w:t>，</w:t>
      </w:r>
      <w:r>
        <w:rPr>
          <w:rFonts w:hint="default" w:ascii="Times New Roman" w:hAnsi="Times New Roman"/>
          <w:szCs w:val="21"/>
          <w:lang w:val="en-US" w:eastAsia="zh-CN"/>
        </w:rPr>
        <w:t>室温下培养基</w:t>
      </w:r>
      <w:r>
        <w:rPr>
          <w:rFonts w:hint="eastAsia" w:ascii="Times New Roman" w:hAnsi="Times New Roman"/>
          <w:szCs w:val="21"/>
          <w:lang w:eastAsia="zh-CN"/>
        </w:rPr>
        <w:t>pH值应为7.</w:t>
      </w:r>
      <w:r>
        <w:rPr>
          <w:rFonts w:hint="eastAsia" w:ascii="Times New Roman" w:hAnsi="Times New Roman"/>
          <w:szCs w:val="21"/>
          <w:lang w:val="en-US" w:eastAsia="zh-CN"/>
        </w:rPr>
        <w:t>1</w:t>
      </w:r>
      <w:r>
        <w:rPr>
          <w:rFonts w:hint="eastAsia" w:ascii="Times New Roman" w:hAnsi="Times New Roman"/>
          <w:szCs w:val="21"/>
          <w:lang w:eastAsia="zh-CN"/>
        </w:rPr>
        <w:t>±0.2</w:t>
      </w:r>
      <w:r>
        <w:rPr>
          <w:rFonts w:ascii="Times New Roman" w:hAnsi="Times New Roman"/>
          <w:szCs w:val="21"/>
        </w:rPr>
        <w:t>。</w:t>
      </w:r>
    </w:p>
    <w:p w14:paraId="460D7570">
      <w:pPr>
        <w:spacing w:before="159" w:beforeLines="50" w:after="159" w:afterLines="50" w:line="300" w:lineRule="auto"/>
        <w:ind w:firstLine="0" w:firstLineChars="0"/>
        <w:rPr>
          <w:rFonts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A</w:t>
      </w:r>
      <w:r>
        <w:rPr>
          <w:rFonts w:hint="eastAsia" w:ascii="Times New Roman" w:hAnsi="Times New Roman"/>
          <w:szCs w:val="21"/>
        </w:rPr>
        <w:t>.4  0.85%</w:t>
      </w:r>
      <w:r>
        <w:rPr>
          <w:rFonts w:ascii="Times New Roman" w:hAnsi="Times New Roman"/>
          <w:szCs w:val="21"/>
        </w:rPr>
        <w:t>生理盐水</w:t>
      </w:r>
    </w:p>
    <w:p w14:paraId="7FE6B4F0">
      <w:pPr>
        <w:spacing w:line="300" w:lineRule="auto"/>
        <w:ind w:firstLine="436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Times New Roman" w:hAnsi="Times New Roman"/>
          <w:szCs w:val="21"/>
        </w:rPr>
        <w:t>见微生物检验方法总则</w:t>
      </w:r>
      <w:r>
        <w:rPr>
          <w:rFonts w:hint="eastAsia" w:ascii="Times New Roman" w:hAnsi="Times New Roman"/>
          <w:szCs w:val="21"/>
          <w:lang w:val="en-US" w:eastAsia="zh-CN"/>
        </w:rPr>
        <w:t>C</w:t>
      </w:r>
      <w:r>
        <w:rPr>
          <w:rFonts w:hint="eastAsia" w:ascii="Times New Roman" w:hAnsi="Times New Roman"/>
          <w:szCs w:val="21"/>
        </w:rPr>
        <w:t>.4。</w:t>
      </w:r>
    </w:p>
    <w:p w14:paraId="1D42DE23">
      <w:pPr>
        <w:widowControl/>
        <w:spacing w:before="159" w:beforeLines="50" w:after="159" w:afterLines="50" w:line="300" w:lineRule="auto"/>
        <w:ind w:firstLine="436" w:firstLineChars="200"/>
        <w:jc w:val="center"/>
        <w:rPr>
          <w:rFonts w:ascii="Times New Roman" w:hAnsi="Times New Roman" w:eastAsia="黑体" w:cs="黑体"/>
          <w:szCs w:val="21"/>
        </w:rPr>
        <w:sectPr>
          <w:footerReference r:id="rId3" w:type="default"/>
          <w:pgSz w:w="11905" w:h="16838"/>
          <w:pgMar w:top="1440" w:right="1797" w:bottom="1440" w:left="1797" w:header="851" w:footer="992" w:gutter="0"/>
          <w:pgNumType w:fmt="decimal"/>
          <w:cols w:space="720" w:num="1"/>
          <w:docGrid w:type="linesAndChars" w:linePitch="319" w:charSpace="1783"/>
        </w:sectPr>
      </w:pPr>
    </w:p>
    <w:p w14:paraId="4E2CCB75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附录</w:t>
      </w:r>
      <w:r>
        <w:rPr>
          <w:rFonts w:hint="eastAsia" w:ascii="Times New Roman" w:hAnsi="Times New Roman" w:eastAsia="黑体"/>
          <w:szCs w:val="21"/>
        </w:rPr>
        <w:t>B</w:t>
      </w:r>
    </w:p>
    <w:p w14:paraId="3D3E1FDC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（资料性附录）</w:t>
      </w:r>
    </w:p>
    <w:p w14:paraId="1E6FC782">
      <w:pPr>
        <w:widowControl/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推荐质控菌株</w:t>
      </w:r>
    </w:p>
    <w:p w14:paraId="44E86DC7">
      <w:pPr>
        <w:spacing w:before="159" w:beforeLines="50" w:after="159" w:afterLines="50" w:line="300" w:lineRule="auto"/>
        <w:jc w:val="center"/>
        <w:rPr>
          <w:rFonts w:ascii="黑体" w:hAnsi="黑体" w:eastAsia="黑体" w:cs="黑体"/>
          <w:szCs w:val="21"/>
        </w:rPr>
      </w:pPr>
      <w:r>
        <w:rPr>
          <w:rFonts w:ascii="黑体" w:hAnsi="黑体" w:eastAsia="黑体" w:cs="黑体"/>
          <w:szCs w:val="21"/>
        </w:rPr>
        <w:t>表</w:t>
      </w:r>
      <w:r>
        <w:rPr>
          <w:rFonts w:hint="eastAsia" w:ascii="Times New Roman" w:hAnsi="Times New Roman" w:eastAsia="黑体"/>
          <w:szCs w:val="21"/>
        </w:rPr>
        <w:t>B.1</w:t>
      </w:r>
      <w:r>
        <w:rPr>
          <w:rFonts w:ascii="黑体" w:hAnsi="黑体" w:eastAsia="黑体" w:cs="黑体"/>
          <w:szCs w:val="21"/>
        </w:rPr>
        <w:t xml:space="preserve"> 推荐</w:t>
      </w:r>
      <w:r>
        <w:rPr>
          <w:rFonts w:hint="eastAsia" w:ascii="黑体" w:hAnsi="黑体" w:eastAsia="黑体" w:cs="黑体"/>
          <w:szCs w:val="21"/>
        </w:rPr>
        <w:t>质控</w:t>
      </w:r>
      <w:r>
        <w:rPr>
          <w:rFonts w:ascii="黑体" w:hAnsi="黑体" w:eastAsia="黑体" w:cs="黑体"/>
          <w:szCs w:val="21"/>
        </w:rPr>
        <w:t>菌株</w:t>
      </w:r>
      <w:r>
        <w:rPr>
          <w:rFonts w:hint="eastAsia" w:ascii="黑体" w:hAnsi="黑体" w:eastAsia="黑体" w:cs="黑体"/>
          <w:szCs w:val="21"/>
        </w:rPr>
        <w:t>信息</w:t>
      </w:r>
      <w:r>
        <w:rPr>
          <w:rFonts w:ascii="黑体" w:hAnsi="黑体" w:eastAsia="黑体" w:cs="黑体"/>
          <w:szCs w:val="21"/>
        </w:rPr>
        <w:t>表</w:t>
      </w:r>
    </w:p>
    <w:tbl>
      <w:tblPr>
        <w:tblStyle w:val="3"/>
        <w:tblW w:w="50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687"/>
        <w:gridCol w:w="1692"/>
        <w:gridCol w:w="1572"/>
        <w:gridCol w:w="1366"/>
        <w:gridCol w:w="1476"/>
      </w:tblGrid>
      <w:tr w14:paraId="76821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49" w:type="pct"/>
            <w:noWrap/>
            <w:vAlign w:val="center"/>
          </w:tcPr>
          <w:p w14:paraId="37DC493E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序号</w:t>
            </w:r>
            <w:r>
              <w:rPr>
                <w:rFonts w:ascii="Times New Roman" w:hAnsi="Times New Roman" w:eastAsia="等线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985" w:type="pct"/>
            <w:noWrap/>
            <w:vAlign w:val="center"/>
          </w:tcPr>
          <w:p w14:paraId="4663081A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中文名</w:t>
            </w:r>
          </w:p>
        </w:tc>
        <w:tc>
          <w:tcPr>
            <w:tcW w:w="988" w:type="pct"/>
            <w:noWrap/>
            <w:vAlign w:val="center"/>
          </w:tcPr>
          <w:p w14:paraId="20CA1A81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拉丁名</w:t>
            </w:r>
          </w:p>
        </w:tc>
        <w:tc>
          <w:tcPr>
            <w:tcW w:w="918" w:type="pct"/>
            <w:noWrap/>
            <w:vAlign w:val="center"/>
          </w:tcPr>
          <w:p w14:paraId="119A134B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CMCC编号</w:t>
            </w:r>
            <w:r>
              <w:rPr>
                <w:rFonts w:ascii="Times New Roman" w:hAnsi="Times New Roman" w:eastAsia="黑体"/>
                <w:color w:val="000000"/>
                <w:vertAlign w:val="superscript"/>
              </w:rPr>
              <w:t>b</w:t>
            </w:r>
          </w:p>
        </w:tc>
        <w:tc>
          <w:tcPr>
            <w:tcW w:w="798" w:type="pct"/>
            <w:noWrap w:val="0"/>
            <w:vAlign w:val="center"/>
          </w:tcPr>
          <w:p w14:paraId="3A631DD2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CICC编号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58" w:type="pct"/>
            <w:noWrap w:val="0"/>
            <w:vAlign w:val="center"/>
          </w:tcPr>
          <w:p w14:paraId="7367618F">
            <w:pPr>
              <w:widowControl/>
              <w:spacing w:line="280" w:lineRule="exact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GDMCC编号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vertAlign w:val="superscript"/>
              </w:rPr>
              <w:t>d</w:t>
            </w:r>
          </w:p>
        </w:tc>
      </w:tr>
      <w:tr w14:paraId="379F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449" w:type="pct"/>
            <w:noWrap/>
            <w:vAlign w:val="center"/>
          </w:tcPr>
          <w:p w14:paraId="5D456C6A">
            <w:pPr>
              <w:widowControl/>
              <w:spacing w:line="280" w:lineRule="exact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985" w:type="pct"/>
            <w:noWrap/>
            <w:vAlign w:val="top"/>
          </w:tcPr>
          <w:p w14:paraId="781B4F96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大肠埃希氏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菌</w:t>
            </w:r>
          </w:p>
        </w:tc>
        <w:tc>
          <w:tcPr>
            <w:tcW w:w="988" w:type="pct"/>
            <w:noWrap/>
            <w:vAlign w:val="top"/>
          </w:tcPr>
          <w:p w14:paraId="504E6E5E">
            <w:pPr>
              <w:widowControl/>
              <w:spacing w:line="280" w:lineRule="exact"/>
              <w:jc w:val="center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  <w:t>Escherichia coli</w:t>
            </w:r>
          </w:p>
        </w:tc>
        <w:tc>
          <w:tcPr>
            <w:tcW w:w="918" w:type="pct"/>
            <w:noWrap/>
            <w:vAlign w:val="top"/>
          </w:tcPr>
          <w:p w14:paraId="48856A77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CMCC(B)44102</w:t>
            </w:r>
          </w:p>
        </w:tc>
        <w:tc>
          <w:tcPr>
            <w:tcW w:w="798" w:type="pct"/>
            <w:noWrap w:val="0"/>
            <w:vAlign w:val="top"/>
          </w:tcPr>
          <w:p w14:paraId="66DC89D9">
            <w:pPr>
              <w:widowControl/>
              <w:spacing w:line="280" w:lineRule="exact"/>
              <w:jc w:val="center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 xml:space="preserve">CICC </w:t>
            </w:r>
            <w:r>
              <w:rPr>
                <w:rFonts w:ascii="Times New Roman" w:hAnsi="Times New Roman" w:eastAsia="等线"/>
                <w:sz w:val="18"/>
                <w:szCs w:val="18"/>
              </w:rPr>
              <w:t>24106</w:t>
            </w:r>
          </w:p>
        </w:tc>
        <w:tc>
          <w:tcPr>
            <w:tcW w:w="858" w:type="pct"/>
            <w:noWrap w:val="0"/>
            <w:vAlign w:val="top"/>
          </w:tcPr>
          <w:p w14:paraId="461DFC3E">
            <w:pPr>
              <w:widowControl/>
              <w:spacing w:line="280" w:lineRule="exact"/>
              <w:rPr>
                <w:rFonts w:ascii="Times New Roman" w:hAnsi="Times New Roman" w:eastAsia="等线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GDMCC</w:t>
            </w: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等线"/>
                <w:color w:val="000000"/>
                <w:sz w:val="18"/>
                <w:szCs w:val="18"/>
              </w:rPr>
              <w:t>1.22</w:t>
            </w:r>
            <w:r>
              <w:rPr>
                <w:rFonts w:hint="eastAsia" w:ascii="Times New Roman" w:hAnsi="Times New Roman" w:eastAsia="等线"/>
                <w:color w:val="000000"/>
                <w:sz w:val="18"/>
                <w:szCs w:val="18"/>
              </w:rPr>
              <w:t>3</w:t>
            </w:r>
          </w:p>
        </w:tc>
      </w:tr>
      <w:tr w14:paraId="589A3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000" w:type="pct"/>
            <w:gridSpan w:val="6"/>
            <w:noWrap/>
            <w:vAlign w:val="center"/>
          </w:tcPr>
          <w:p w14:paraId="42F99DAA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a：同一序号菌种</w:t>
            </w:r>
            <w:r>
              <w:rPr>
                <w:rFonts w:hint="eastAsia" w:ascii="Times New Roman" w:hAnsi="Times New Roman"/>
                <w:sz w:val="18"/>
                <w:szCs w:val="18"/>
              </w:rPr>
              <w:t>的</w:t>
            </w:r>
            <w:r>
              <w:rPr>
                <w:rFonts w:ascii="Times New Roman" w:hAnsi="Times New Roman"/>
                <w:sz w:val="18"/>
                <w:szCs w:val="18"/>
              </w:rPr>
              <w:t>不同编号为同一株菌在</w:t>
            </w:r>
            <w:r>
              <w:rPr>
                <w:rFonts w:hint="eastAsia" w:ascii="Times New Roman" w:hAnsi="Times New Roman"/>
                <w:sz w:val="18"/>
                <w:szCs w:val="18"/>
              </w:rPr>
              <w:t>不同</w:t>
            </w:r>
            <w:r>
              <w:rPr>
                <w:rFonts w:ascii="Times New Roman" w:hAnsi="Times New Roman"/>
                <w:sz w:val="18"/>
                <w:szCs w:val="18"/>
              </w:rPr>
              <w:t>菌种保藏管理</w:t>
            </w:r>
            <w:r>
              <w:rPr>
                <w:rFonts w:hint="eastAsia" w:ascii="Times New Roman" w:hAnsi="Times New Roman"/>
                <w:sz w:val="18"/>
                <w:szCs w:val="18"/>
              </w:rPr>
              <w:t>机构</w:t>
            </w:r>
            <w:r>
              <w:rPr>
                <w:rFonts w:ascii="Times New Roman" w:hAnsi="Times New Roman"/>
                <w:sz w:val="18"/>
                <w:szCs w:val="18"/>
              </w:rPr>
              <w:t>同时注册获得</w:t>
            </w:r>
            <w:r>
              <w:rPr>
                <w:rFonts w:hint="eastAsia" w:ascii="Times New Roman" w:hAnsi="Times New Roman"/>
                <w:sz w:val="18"/>
                <w:szCs w:val="18"/>
              </w:rPr>
              <w:t>；</w:t>
            </w:r>
          </w:p>
          <w:p w14:paraId="00627B82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b：CMCC代表中国医学细菌保藏管理中心；</w:t>
            </w:r>
          </w:p>
          <w:p w14:paraId="3DB49323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c：CICC代表中国工业微生物菌种保藏管理中心；</w:t>
            </w:r>
          </w:p>
          <w:p w14:paraId="7506F3A5">
            <w:pPr>
              <w:spacing w:line="276" w:lineRule="auto"/>
              <w:jc w:val="lef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d：GDMCC代表广东省微生物菌种保藏管理中心</w:t>
            </w:r>
            <w:r>
              <w:rPr>
                <w:rFonts w:hint="eastAsia" w:ascii="Times New Roman" w:hAnsi="Times New Roman"/>
                <w:sz w:val="18"/>
                <w:szCs w:val="18"/>
              </w:rPr>
              <w:t>。</w:t>
            </w:r>
          </w:p>
        </w:tc>
      </w:tr>
    </w:tbl>
    <w:p w14:paraId="7C7E8E4B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0E6F24">
    <w:pPr>
      <w:tabs>
        <w:tab w:val="center" w:pos="4155"/>
      </w:tabs>
      <w:snapToGrid w:val="0"/>
      <w:spacing w:after="160" w:line="278" w:lineRule="auto"/>
      <w:jc w:val="left"/>
      <w:rPr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EE66244">
                          <w:pPr>
                            <w:pStyle w:val="2"/>
                            <w:rPr>
                              <w:rFonts w:hint="eastAsia" w:ascii="Times New Roman" w:hAnsi="Times New Roman" w:eastAsia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/>
                              <w:color w:val="FFFFFF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t>- 282 -</w:t>
                          </w:r>
                          <w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  <w:r>
                            <w:rPr>
                              <w:rFonts w:hint="eastAsia" w:ascii="Times New Roman" w:hAnsi="Times New Roman"/>
                              <w:color w:val="FFFFFF"/>
                              <w:sz w:val="28"/>
                              <w:szCs w:val="28"/>
                              <w:lang w:val="en-US" w:eastAsia="zh-CN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3znmHWAQAAsAMAAA4AAABkcnMvZTJvRG9jLnhtbK1TzY7TMBC+I/EO&#10;lu80aRGrKmq6AlWLkBAgLfsArjNpLPlPHrdJXwDegBMX7jxXn4Oxk3TRctkDF2f+/M18nyeb28Fo&#10;doKAytmaLxclZ2Cla5Q91Pzh692rNWcYhW2EdhZqfgbkt9uXLza9r2DlOqcbCIxALFa9r3kXo6+K&#10;AmUHRuDCebCUbF0wIpIbDkUTRE/oRhersrwpehcaH5wERIruxiSfEMNzAF3bKgk7J48GbBxRA2gR&#10;iRJ2yiPf5mnbFmT83LYIkemaE9OYT2pC9j6dxXYjqkMQvlNyGkE8Z4QnnIxQlppeoXYiCnYM6h8o&#10;o2Rw6Nq4kM4UI5GsCLFYlk+0ue+Eh8yFpEZ/FR3/H6z8dPoSmGpoEzizwtCDX358v/z8ffn1jS2T&#10;PL3HiqruPdXF4Z0bUukURwom1kMbTPoSH0Z5Evd8FReGyGS6tF6t1yWlJOVmh3CKx+s+YHwPzrBk&#10;1DzQ62VRxekjxrF0LkndrLtTWlNcVNqyvuY3r9+U+cI1Q+DapgLIuzDBJErj6MmKw36Y+Oxdcyaa&#10;Pe1DzS2tP2f6gyW50+rMRpiN/WwcfVCHjiZe5u7o3x4jzZZHTh1GWKKaHHrITHpaurQpf/u56vFH&#10;2/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s0lY7tAAAAAFAQAADwAAAAAAAAABACAAAAAiAAAA&#10;ZHJzL2Rvd25yZXYueG1sUEsBAhQAFAAAAAgAh07iQN3znmHWAQAAsAMAAA4AAAAAAAAAAQAgAAAA&#10;HwEAAGRycy9lMm9Eb2MueG1sUEsFBgAAAAAGAAYAWQEAAGc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E66244">
                    <w:pPr>
                      <w:pStyle w:val="2"/>
                      <w:rPr>
                        <w:rFonts w:hint="eastAsia" w:ascii="Times New Roman" w:hAnsi="Times New Roman" w:eastAsia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Times New Roman" w:hAnsi="Times New Roman"/>
                        <w:color w:val="FFFFFF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t>- 282 -</w:t>
                    </w:r>
                    <w:r>
                      <w:rPr>
                        <w:rFonts w:ascii="Times New Roman" w:hAnsi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  <w:r>
                      <w:rPr>
                        <w:rFonts w:hint="eastAsia" w:ascii="Times New Roman" w:hAnsi="Times New Roman"/>
                        <w:color w:val="FFFFFF"/>
                        <w:sz w:val="28"/>
                        <w:szCs w:val="28"/>
                        <w:lang w:val="en-US"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szCs w:val="18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E1E9D"/>
    <w:rsid w:val="64FE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2026-11-02T08:45:00Z</dcterms:created>
  <dc:creator>YU</dc:creator>
  <cp:lastModifiedBy>YU</cp:lastModifiedBy>
  <dcterms:modified xsi:type="dcterms:W3CDTF">2026-11-02T08:45:33Z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BA4440CB473C4918B13D3A61FFC1F8C2_11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