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BA4EB">
      <w:pPr>
        <w:widowControl/>
        <w:tabs>
          <w:tab w:val="right" w:leader="dot" w:pos="8844"/>
        </w:tabs>
        <w:spacing w:before="156" w:beforeLines="50" w:after="156" w:afterLines="50" w:line="300" w:lineRule="auto"/>
        <w:jc w:val="both"/>
        <w:outlineLvl w:val="1"/>
        <w:rPr>
          <w:rFonts w:hint="eastAsia" w:ascii="黑体" w:hAnsi="黑体" w:eastAsia="黑体"/>
          <w:iCs/>
          <w:kern w:val="0"/>
          <w:sz w:val="32"/>
          <w:szCs w:val="18"/>
        </w:rPr>
      </w:pPr>
      <w:r>
        <w:rPr>
          <w:rFonts w:hint="eastAsia" w:ascii="黑体" w:hAnsi="黑体" w:eastAsia="黑体"/>
          <w:iCs/>
          <w:kern w:val="0"/>
          <w:sz w:val="32"/>
          <w:szCs w:val="18"/>
        </w:rPr>
        <w:t>附件6</w:t>
      </w:r>
    </w:p>
    <w:p w14:paraId="79DD8CDE">
      <w:pPr>
        <w:widowControl/>
        <w:tabs>
          <w:tab w:val="right" w:leader="dot" w:pos="8844"/>
        </w:tabs>
        <w:spacing w:before="156" w:beforeLines="50" w:after="156" w:afterLines="50" w:line="300" w:lineRule="auto"/>
        <w:jc w:val="center"/>
        <w:outlineLvl w:val="1"/>
        <w:rPr>
          <w:rFonts w:ascii="Times New Roman" w:hAnsi="Times New Roman" w:eastAsia="黑体"/>
          <w:color w:val="000000"/>
          <w:kern w:val="0"/>
          <w:sz w:val="32"/>
          <w:szCs w:val="32"/>
        </w:rPr>
      </w:pPr>
      <w:r>
        <w:rPr>
          <w:rFonts w:ascii="Times New Roman" w:hAnsi="Times New Roman" w:eastAsia="黑体"/>
          <w:iCs/>
          <w:kern w:val="0"/>
          <w:sz w:val="32"/>
          <w:szCs w:val="18"/>
        </w:rPr>
        <w:t>化妆品中霉菌和酵母菌</w:t>
      </w:r>
      <w:r>
        <w:rPr>
          <w:rFonts w:ascii="Times New Roman" w:hAnsi="Times New Roman" w:eastAsia="黑体"/>
          <w:iCs/>
          <w:color w:val="000000"/>
          <w:kern w:val="0"/>
          <w:sz w:val="32"/>
          <w:szCs w:val="18"/>
        </w:rPr>
        <w:t>总数的检验方法</w:t>
      </w:r>
    </w:p>
    <w:p w14:paraId="6F2A13A6">
      <w:pPr>
        <w:spacing w:before="156" w:beforeLines="50" w:after="156" w:afterLines="50" w:line="300" w:lineRule="auto"/>
        <w:jc w:val="center"/>
        <w:rPr>
          <w:rFonts w:ascii="Times New Roman" w:hAnsi="Times New Roman" w:eastAsia="等线"/>
          <w:iCs/>
          <w:color w:val="000000"/>
          <w:szCs w:val="21"/>
        </w:rPr>
      </w:pPr>
      <w:r>
        <w:rPr>
          <w:rFonts w:ascii="Times New Roman" w:hAnsi="Times New Roman" w:eastAsia="等线"/>
          <w:iCs/>
          <w:color w:val="000000"/>
          <w:szCs w:val="21"/>
        </w:rPr>
        <w:t>Mold</w:t>
      </w:r>
      <w:r>
        <w:rPr>
          <w:rFonts w:hint="eastAsia" w:ascii="Times New Roman" w:hAnsi="Times New Roman" w:eastAsia="等线"/>
          <w:iCs/>
          <w:color w:val="000000"/>
          <w:szCs w:val="21"/>
        </w:rPr>
        <w:t>s</w:t>
      </w:r>
      <w:r>
        <w:rPr>
          <w:rFonts w:ascii="Times New Roman" w:hAnsi="Times New Roman" w:eastAsia="等线"/>
          <w:iCs/>
          <w:color w:val="000000"/>
          <w:szCs w:val="21"/>
        </w:rPr>
        <w:t xml:space="preserve"> and Yeast</w:t>
      </w:r>
      <w:r>
        <w:rPr>
          <w:rFonts w:hint="eastAsia" w:ascii="Times New Roman" w:hAnsi="Times New Roman" w:eastAsia="等线"/>
          <w:iCs/>
          <w:color w:val="000000"/>
          <w:szCs w:val="21"/>
        </w:rPr>
        <w:t>s</w:t>
      </w:r>
      <w:r>
        <w:rPr>
          <w:rFonts w:ascii="Times New Roman" w:hAnsi="Times New Roman" w:eastAsia="等线"/>
          <w:iCs/>
          <w:color w:val="000000"/>
          <w:szCs w:val="21"/>
        </w:rPr>
        <w:t xml:space="preserve"> </w:t>
      </w:r>
      <w:r>
        <w:rPr>
          <w:rFonts w:hint="eastAsia" w:ascii="Times New Roman" w:hAnsi="Times New Roman" w:eastAsia="等线"/>
          <w:iCs/>
          <w:color w:val="000000"/>
          <w:szCs w:val="21"/>
        </w:rPr>
        <w:t xml:space="preserve">Count </w:t>
      </w:r>
      <w:r>
        <w:rPr>
          <w:rFonts w:ascii="Times New Roman" w:hAnsi="Times New Roman"/>
          <w:color w:val="000000"/>
          <w:szCs w:val="21"/>
        </w:rPr>
        <w:t>in Cosmetics</w:t>
      </w:r>
    </w:p>
    <w:p w14:paraId="729CAF13">
      <w:pPr>
        <w:keepNext/>
        <w:keepLines/>
        <w:spacing w:before="156" w:beforeLines="50" w:after="156" w:afterLines="50" w:line="300" w:lineRule="auto"/>
        <w:outlineLvl w:val="2"/>
        <w:rPr>
          <w:rFonts w:ascii="Times New Roman" w:hAnsi="Times New Roman"/>
          <w:color w:val="000000"/>
          <w:szCs w:val="20"/>
        </w:rPr>
      </w:pPr>
      <w:bookmarkStart w:id="0" w:name="_Toc91679062"/>
      <w:r>
        <w:rPr>
          <w:rFonts w:ascii="Times New Roman" w:hAnsi="Times New Roman" w:eastAsia="黑体"/>
          <w:bCs/>
          <w:color w:val="000000"/>
          <w:szCs w:val="32"/>
        </w:rPr>
        <w:t>1  范围</w:t>
      </w:r>
      <w:bookmarkEnd w:id="0"/>
    </w:p>
    <w:p w14:paraId="570B2D1D">
      <w:pPr>
        <w:spacing w:line="300" w:lineRule="auto"/>
        <w:ind w:firstLine="420" w:firstLineChars="200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t>本</w:t>
      </w:r>
      <w:r>
        <w:rPr>
          <w:rFonts w:hint="eastAsia" w:ascii="Times New Roman" w:hAnsi="Times New Roman"/>
          <w:color w:val="000000"/>
          <w:szCs w:val="20"/>
        </w:rPr>
        <w:t>方法</w:t>
      </w:r>
      <w:r>
        <w:rPr>
          <w:rFonts w:ascii="Times New Roman" w:hAnsi="Times New Roman"/>
          <w:color w:val="000000"/>
          <w:szCs w:val="20"/>
        </w:rPr>
        <w:t>规定了化妆品中霉菌和酵母菌总数的检验方法。</w:t>
      </w:r>
    </w:p>
    <w:p w14:paraId="109BAA5B">
      <w:pPr>
        <w:spacing w:line="300" w:lineRule="auto"/>
        <w:ind w:firstLine="420" w:firstLineChars="200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  <w:szCs w:val="20"/>
        </w:rPr>
        <w:t>本</w:t>
      </w:r>
      <w:r>
        <w:rPr>
          <w:rFonts w:hint="eastAsia" w:ascii="Times New Roman" w:hAnsi="Times New Roman"/>
          <w:color w:val="000000"/>
          <w:szCs w:val="20"/>
        </w:rPr>
        <w:t>方法</w:t>
      </w:r>
      <w:r>
        <w:rPr>
          <w:rFonts w:ascii="Times New Roman" w:hAnsi="Times New Roman"/>
          <w:color w:val="000000"/>
          <w:szCs w:val="20"/>
        </w:rPr>
        <w:t>适用于化妆品中霉菌和酵母菌总数的测定。</w:t>
      </w:r>
    </w:p>
    <w:p w14:paraId="7D17CEA6">
      <w:pPr>
        <w:keepNext/>
        <w:keepLines/>
        <w:spacing w:before="156" w:beforeLines="50" w:after="156" w:afterLines="50" w:line="300" w:lineRule="auto"/>
        <w:outlineLvl w:val="2"/>
        <w:rPr>
          <w:rFonts w:ascii="Times New Roman" w:hAnsi="Times New Roman" w:eastAsia="黑体"/>
          <w:bCs/>
          <w:szCs w:val="32"/>
        </w:rPr>
      </w:pPr>
      <w:bookmarkStart w:id="1" w:name="_Toc91679063"/>
      <w:r>
        <w:rPr>
          <w:rFonts w:ascii="Times New Roman" w:hAnsi="Times New Roman" w:eastAsia="黑体"/>
          <w:bCs/>
          <w:szCs w:val="32"/>
        </w:rPr>
        <w:t>2  定义</w:t>
      </w:r>
      <w:bookmarkEnd w:id="1"/>
    </w:p>
    <w:p w14:paraId="07F46398">
      <w:pPr>
        <w:spacing w:line="30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霉菌和酵母菌总数</w:t>
      </w:r>
      <w:r>
        <w:rPr>
          <w:rFonts w:ascii="Times New Roman" w:hAnsi="Times New Roman"/>
          <w:iCs/>
          <w:szCs w:val="21"/>
        </w:rPr>
        <w:t xml:space="preserve">  Mold</w:t>
      </w:r>
      <w:r>
        <w:rPr>
          <w:rFonts w:hint="eastAsia" w:ascii="Times New Roman" w:hAnsi="Times New Roman"/>
          <w:iCs/>
          <w:szCs w:val="21"/>
        </w:rPr>
        <w:t>s</w:t>
      </w:r>
      <w:r>
        <w:rPr>
          <w:rFonts w:ascii="Times New Roman" w:hAnsi="Times New Roman"/>
          <w:iCs/>
          <w:szCs w:val="21"/>
        </w:rPr>
        <w:t xml:space="preserve"> and Yeast</w:t>
      </w:r>
      <w:r>
        <w:rPr>
          <w:rFonts w:hint="eastAsia" w:ascii="Times New Roman" w:hAnsi="Times New Roman"/>
          <w:iCs/>
          <w:szCs w:val="21"/>
        </w:rPr>
        <w:t>s</w:t>
      </w:r>
      <w:r>
        <w:rPr>
          <w:rFonts w:ascii="Times New Roman" w:hAnsi="Times New Roman"/>
          <w:iCs/>
          <w:szCs w:val="21"/>
        </w:rPr>
        <w:t xml:space="preserve"> Count</w:t>
      </w:r>
    </w:p>
    <w:p w14:paraId="0924B06E">
      <w:pPr>
        <w:spacing w:line="300" w:lineRule="auto"/>
        <w:ind w:firstLine="420" w:firstLineChars="200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szCs w:val="21"/>
        </w:rPr>
        <w:t>化妆品检样经过处理，在一定条件下（如培养基、培养温度和培养时间等）培养后，所得每g（mL）检样中形成的霉菌和酵母菌总数，</w:t>
      </w:r>
      <w:r>
        <w:rPr>
          <w:rFonts w:hint="eastAsia" w:ascii="Times New Roman" w:hAnsi="Times New Roman"/>
          <w:szCs w:val="21"/>
        </w:rPr>
        <w:t>便于</w:t>
      </w:r>
      <w:r>
        <w:rPr>
          <w:rFonts w:ascii="Times New Roman" w:hAnsi="Times New Roman"/>
          <w:szCs w:val="21"/>
        </w:rPr>
        <w:t>判明</w:t>
      </w:r>
      <w:r>
        <w:rPr>
          <w:rFonts w:hint="eastAsia" w:ascii="Times New Roman" w:hAnsi="Times New Roman"/>
          <w:szCs w:val="21"/>
        </w:rPr>
        <w:t>样</w:t>
      </w:r>
      <w:r>
        <w:rPr>
          <w:rFonts w:ascii="Times New Roman" w:hAnsi="Times New Roman"/>
          <w:szCs w:val="21"/>
        </w:rPr>
        <w:t>品被霉菌和酵母菌污染的程度</w:t>
      </w:r>
      <w:r>
        <w:rPr>
          <w:rFonts w:ascii="Times New Roman" w:hAnsi="Times New Roman"/>
          <w:color w:val="000000"/>
          <w:szCs w:val="21"/>
        </w:rPr>
        <w:t>及卫生状况。</w:t>
      </w:r>
    </w:p>
    <w:p w14:paraId="64A3EFD7">
      <w:pPr>
        <w:keepNext/>
        <w:keepLines/>
        <w:spacing w:before="156" w:beforeLines="50" w:after="156" w:afterLines="50" w:line="300" w:lineRule="auto"/>
        <w:outlineLvl w:val="2"/>
        <w:rPr>
          <w:rFonts w:ascii="Times New Roman" w:hAnsi="Times New Roman" w:eastAsia="黑体"/>
          <w:bCs/>
          <w:szCs w:val="32"/>
        </w:rPr>
      </w:pPr>
      <w:r>
        <w:rPr>
          <w:rFonts w:hint="eastAsia" w:ascii="Times New Roman" w:hAnsi="Times New Roman" w:eastAsia="黑体"/>
          <w:bCs/>
          <w:szCs w:val="32"/>
        </w:rPr>
        <w:t>3</w:t>
      </w:r>
      <w:r>
        <w:rPr>
          <w:rFonts w:ascii="Times New Roman" w:hAnsi="Times New Roman" w:eastAsia="黑体"/>
          <w:bCs/>
          <w:szCs w:val="32"/>
        </w:rPr>
        <w:t xml:space="preserve">  设备和材料</w:t>
      </w:r>
    </w:p>
    <w:p w14:paraId="50E24C8C">
      <w:pPr>
        <w:spacing w:line="300" w:lineRule="auto"/>
        <w:ind w:firstLine="482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除微生物实验室常规灭菌及培养设备外，其他设备和材料如下：</w:t>
      </w:r>
    </w:p>
    <w:p w14:paraId="2E01A084">
      <w:pPr>
        <w:spacing w:before="156" w:beforeLines="50" w:after="156" w:afterLines="50" w:line="300" w:lineRule="auto"/>
        <w:rPr>
          <w:rFonts w:ascii="Times New Roman" w:hAnsi="Times New Roman"/>
          <w:color w:val="000000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 xml:space="preserve">.1  </w:t>
      </w:r>
      <w:r>
        <w:rPr>
          <w:rFonts w:ascii="Times New Roman" w:hAnsi="Times New Roman"/>
          <w:color w:val="000000"/>
          <w:szCs w:val="21"/>
        </w:rPr>
        <w:t>培养箱：25±1</w:t>
      </w:r>
      <w:r>
        <w:rPr>
          <w:rFonts w:hint="eastAsia" w:ascii="Times New Roman" w:hAnsi="Times New Roman"/>
          <w:color w:val="000000"/>
          <w:szCs w:val="21"/>
        </w:rPr>
        <w:t xml:space="preserve"> </w:t>
      </w:r>
      <w:r>
        <w:rPr>
          <w:rFonts w:ascii="Times New Roman" w:hAnsi="Times New Roman"/>
          <w:color w:val="000000"/>
          <w:szCs w:val="21"/>
        </w:rPr>
        <w:t>℃。</w:t>
      </w:r>
    </w:p>
    <w:p w14:paraId="48BE64F1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2</w:t>
      </w:r>
      <w:r>
        <w:rPr>
          <w:rFonts w:ascii="Times New Roman" w:hAnsi="Times New Roman"/>
          <w:szCs w:val="21"/>
        </w:rPr>
        <w:t xml:space="preserve">  恒温水浴箱</w:t>
      </w:r>
      <w:r>
        <w:rPr>
          <w:rFonts w:hint="eastAsia" w:ascii="Times New Roman" w:hAnsi="Times New Roman"/>
          <w:color w:val="000000"/>
          <w:szCs w:val="21"/>
        </w:rPr>
        <w:t>：48</w:t>
      </w:r>
      <w:r>
        <w:rPr>
          <w:rFonts w:ascii="Times New Roman" w:hAnsi="Times New Roman"/>
          <w:color w:val="000000"/>
          <w:szCs w:val="21"/>
        </w:rPr>
        <w:t>±2 ℃</w:t>
      </w:r>
      <w:r>
        <w:rPr>
          <w:rFonts w:hint="eastAsia" w:ascii="Times New Roman" w:hAnsi="Times New Roman"/>
          <w:szCs w:val="21"/>
        </w:rPr>
        <w:t>。</w:t>
      </w:r>
    </w:p>
    <w:p w14:paraId="5A6CDFA7">
      <w:pPr>
        <w:spacing w:before="156" w:beforeLines="50" w:after="156" w:afterLines="50" w:line="300" w:lineRule="auto"/>
        <w:rPr>
          <w:rFonts w:ascii="Times New Roman" w:hAnsi="Times New Roman"/>
          <w:color w:val="000000"/>
          <w:szCs w:val="21"/>
        </w:rPr>
      </w:pPr>
      <w:r>
        <w:rPr>
          <w:rFonts w:hint="eastAsia" w:ascii="Times New Roman" w:hAnsi="Times New Roman"/>
          <w:color w:val="000000"/>
          <w:szCs w:val="21"/>
        </w:rPr>
        <w:t>3</w:t>
      </w:r>
      <w:r>
        <w:rPr>
          <w:rFonts w:ascii="Times New Roman" w:hAnsi="Times New Roman"/>
          <w:color w:val="000000"/>
          <w:szCs w:val="21"/>
        </w:rPr>
        <w:t>.</w:t>
      </w:r>
      <w:r>
        <w:rPr>
          <w:rFonts w:hint="eastAsia" w:ascii="Times New Roman" w:hAnsi="Times New Roman"/>
          <w:color w:val="000000"/>
          <w:szCs w:val="21"/>
        </w:rPr>
        <w:t>3</w:t>
      </w:r>
      <w:r>
        <w:rPr>
          <w:rFonts w:ascii="Times New Roman" w:hAnsi="Times New Roman"/>
          <w:color w:val="000000"/>
          <w:szCs w:val="21"/>
        </w:rPr>
        <w:t xml:space="preserve">  天平：</w:t>
      </w:r>
      <w:r>
        <w:rPr>
          <w:rFonts w:hint="eastAsia" w:ascii="Times New Roman" w:hAnsi="Times New Roman"/>
          <w:color w:val="000000"/>
          <w:szCs w:val="21"/>
        </w:rPr>
        <w:t>显示分度值</w:t>
      </w:r>
      <w:r>
        <w:rPr>
          <w:rFonts w:ascii="Times New Roman" w:hAnsi="Times New Roman"/>
          <w:szCs w:val="21"/>
        </w:rPr>
        <w:t>为0.1 g</w:t>
      </w:r>
      <w:r>
        <w:rPr>
          <w:rFonts w:ascii="Times New Roman" w:hAnsi="Times New Roman"/>
          <w:color w:val="000000"/>
          <w:szCs w:val="21"/>
        </w:rPr>
        <w:t>。</w:t>
      </w:r>
    </w:p>
    <w:p w14:paraId="6F50DF5D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 xml:space="preserve">  </w:t>
      </w:r>
      <w:r>
        <w:rPr>
          <w:rFonts w:hint="eastAsia" w:ascii="Times New Roman" w:hAnsi="Times New Roman"/>
          <w:szCs w:val="21"/>
        </w:rPr>
        <w:t>均质器及无菌均质袋或无菌均质杯。</w:t>
      </w:r>
    </w:p>
    <w:p w14:paraId="4BF095B7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 xml:space="preserve">  旋涡混合器。</w:t>
      </w:r>
    </w:p>
    <w:p w14:paraId="1A807B6C">
      <w:pPr>
        <w:spacing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 xml:space="preserve">  无菌吸管：1 mL（具0.01 mL刻度）、10 mL（具0.1 mL刻度）或微量移液器及配套无菌吸头。</w:t>
      </w:r>
    </w:p>
    <w:p w14:paraId="08F810F9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7</w:t>
      </w:r>
      <w:r>
        <w:rPr>
          <w:rFonts w:ascii="Times New Roman" w:hAnsi="Times New Roman"/>
          <w:szCs w:val="21"/>
        </w:rPr>
        <w:t xml:space="preserve">  </w:t>
      </w:r>
      <w:r>
        <w:rPr>
          <w:rFonts w:hint="eastAsia" w:ascii="Times New Roman" w:hAnsi="Times New Roman"/>
          <w:szCs w:val="21"/>
        </w:rPr>
        <w:t>无菌锥形</w:t>
      </w:r>
      <w:r>
        <w:rPr>
          <w:rFonts w:ascii="Times New Roman" w:hAnsi="Times New Roman"/>
          <w:szCs w:val="21"/>
        </w:rPr>
        <w:t>瓶</w:t>
      </w:r>
      <w:r>
        <w:rPr>
          <w:rFonts w:hint="eastAsia" w:ascii="Times New Roman" w:hAnsi="Times New Roman"/>
          <w:szCs w:val="21"/>
        </w:rPr>
        <w:t>：</w:t>
      </w:r>
      <w:r>
        <w:rPr>
          <w:rFonts w:ascii="Times New Roman" w:hAnsi="Times New Roman"/>
          <w:szCs w:val="21"/>
        </w:rPr>
        <w:t>250 mL</w:t>
      </w:r>
      <w:r>
        <w:rPr>
          <w:rFonts w:ascii="Times New Roman" w:hAnsi="Times New Roman"/>
          <w:kern w:val="0"/>
          <w:szCs w:val="21"/>
        </w:rPr>
        <w:t>、500 mL</w:t>
      </w:r>
      <w:r>
        <w:rPr>
          <w:rFonts w:ascii="Times New Roman" w:hAnsi="Times New Roman"/>
          <w:szCs w:val="21"/>
        </w:rPr>
        <w:t>。</w:t>
      </w:r>
    </w:p>
    <w:p w14:paraId="7530D438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8</w:t>
      </w:r>
      <w:r>
        <w:rPr>
          <w:rFonts w:ascii="Times New Roman" w:hAnsi="Times New Roman"/>
          <w:szCs w:val="21"/>
        </w:rPr>
        <w:t xml:space="preserve">  </w:t>
      </w:r>
      <w:r>
        <w:rPr>
          <w:rFonts w:hint="eastAsia" w:ascii="Times New Roman" w:hAnsi="Times New Roman"/>
          <w:szCs w:val="21"/>
        </w:rPr>
        <w:t>无菌</w:t>
      </w:r>
      <w:r>
        <w:rPr>
          <w:rFonts w:ascii="Times New Roman" w:hAnsi="Times New Roman"/>
          <w:szCs w:val="21"/>
        </w:rPr>
        <w:t>试管：18 mm×150 mm。</w:t>
      </w:r>
    </w:p>
    <w:p w14:paraId="126A426C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9</w:t>
      </w:r>
      <w:r>
        <w:rPr>
          <w:rFonts w:ascii="Times New Roman" w:hAnsi="Times New Roman"/>
          <w:szCs w:val="21"/>
        </w:rPr>
        <w:t xml:space="preserve">  无菌平皿：直径90 mm。</w:t>
      </w:r>
    </w:p>
    <w:p w14:paraId="66D0596B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3.10</w:t>
      </w:r>
      <w:r>
        <w:rPr>
          <w:rFonts w:ascii="Times New Roman" w:hAnsi="Times New Roman"/>
          <w:szCs w:val="21"/>
        </w:rPr>
        <w:t xml:space="preserve">  量筒：200 mL。</w:t>
      </w:r>
    </w:p>
    <w:p w14:paraId="3DEFB788">
      <w:pPr>
        <w:spacing w:before="156" w:beforeLines="50" w:after="156" w:afterLines="50" w:line="300" w:lineRule="auto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.11  放大镜或菌落计数器。</w:t>
      </w:r>
    </w:p>
    <w:p w14:paraId="56A3DE40">
      <w:pPr>
        <w:keepNext/>
        <w:keepLines/>
        <w:spacing w:before="156" w:beforeLines="50" w:after="156" w:afterLines="50" w:line="300" w:lineRule="auto"/>
        <w:outlineLvl w:val="2"/>
        <w:rPr>
          <w:rFonts w:ascii="Times New Roman" w:hAnsi="Times New Roman" w:eastAsia="黑体"/>
          <w:bCs/>
          <w:color w:val="000000"/>
          <w:szCs w:val="32"/>
        </w:rPr>
      </w:pPr>
      <w:bookmarkStart w:id="2" w:name="_Toc91679065"/>
      <w:r>
        <w:rPr>
          <w:rFonts w:hint="eastAsia" w:ascii="Times New Roman" w:hAnsi="Times New Roman" w:eastAsia="黑体"/>
          <w:bCs/>
          <w:szCs w:val="32"/>
        </w:rPr>
        <w:t>4</w:t>
      </w:r>
      <w:r>
        <w:rPr>
          <w:rFonts w:ascii="Times New Roman" w:hAnsi="Times New Roman" w:eastAsia="黑体"/>
          <w:bCs/>
          <w:szCs w:val="32"/>
        </w:rPr>
        <w:t xml:space="preserve">  培养基、</w:t>
      </w:r>
      <w:r>
        <w:rPr>
          <w:rFonts w:hint="eastAsia" w:ascii="Times New Roman" w:hAnsi="Times New Roman" w:eastAsia="黑体"/>
          <w:bCs/>
          <w:color w:val="000000"/>
          <w:szCs w:val="32"/>
        </w:rPr>
        <w:t>稀释液和</w:t>
      </w:r>
      <w:r>
        <w:rPr>
          <w:rFonts w:ascii="Times New Roman" w:hAnsi="Times New Roman" w:eastAsia="黑体"/>
          <w:bCs/>
          <w:color w:val="000000"/>
          <w:szCs w:val="32"/>
        </w:rPr>
        <w:t>冲洗液</w:t>
      </w:r>
      <w:bookmarkEnd w:id="2"/>
    </w:p>
    <w:p w14:paraId="020926FA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>.1  生理盐水：</w:t>
      </w:r>
      <w:r>
        <w:rPr>
          <w:rFonts w:hint="eastAsia" w:ascii="Times New Roman" w:hAnsi="Times New Roman"/>
          <w:szCs w:val="21"/>
        </w:rPr>
        <w:t>见A.1。</w:t>
      </w:r>
    </w:p>
    <w:p w14:paraId="1CF068D8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</w:t>
      </w:r>
      <w:r>
        <w:rPr>
          <w:rFonts w:ascii="Times New Roman" w:hAnsi="Times New Roman"/>
          <w:szCs w:val="21"/>
        </w:rPr>
        <w:t>.2  卵磷脂-吐温80-孟加拉红培养基</w:t>
      </w:r>
      <w:r>
        <w:rPr>
          <w:rFonts w:hint="eastAsia" w:ascii="Times New Roman" w:hAnsi="Times New Roman"/>
          <w:szCs w:val="21"/>
        </w:rPr>
        <w:t>：见A.2。</w:t>
      </w:r>
    </w:p>
    <w:p w14:paraId="0D4E7A36">
      <w:pPr>
        <w:spacing w:before="156" w:beforeLines="50" w:after="156" w:afterLines="50" w:line="300" w:lineRule="auto"/>
        <w:rPr>
          <w:rFonts w:ascii="Times New Roman" w:hAnsi="Times New Roman"/>
          <w:color w:val="000000"/>
          <w:szCs w:val="21"/>
        </w:rPr>
      </w:pPr>
      <w:r>
        <w:rPr>
          <w:rFonts w:hint="eastAsia" w:ascii="Times New Roman" w:hAnsi="Times New Roman"/>
          <w:color w:val="000000"/>
          <w:szCs w:val="21"/>
        </w:rPr>
        <w:t>4</w:t>
      </w:r>
      <w:r>
        <w:rPr>
          <w:rFonts w:ascii="Times New Roman" w:hAnsi="Times New Roman"/>
          <w:color w:val="000000"/>
          <w:szCs w:val="21"/>
        </w:rPr>
        <w:t>.3  pH 7.0无菌氯化钠-蛋白胨缓冲液</w:t>
      </w:r>
      <w:r>
        <w:rPr>
          <w:rFonts w:hint="eastAsia" w:ascii="Times New Roman" w:hAnsi="Times New Roman"/>
          <w:szCs w:val="21"/>
        </w:rPr>
        <w:t>：见A.3。</w:t>
      </w:r>
    </w:p>
    <w:p w14:paraId="3EB41C2F">
      <w:pPr>
        <w:keepNext/>
        <w:keepLines/>
        <w:spacing w:before="156" w:beforeLines="50" w:after="156" w:afterLines="50" w:line="300" w:lineRule="auto"/>
        <w:outlineLvl w:val="2"/>
        <w:rPr>
          <w:rFonts w:ascii="Times New Roman" w:hAnsi="Times New Roman" w:eastAsia="黑体"/>
          <w:bCs/>
          <w:szCs w:val="32"/>
        </w:rPr>
      </w:pPr>
      <w:bookmarkStart w:id="3" w:name="_Toc91679066"/>
      <w:r>
        <w:rPr>
          <w:rFonts w:hint="eastAsia" w:ascii="Times New Roman" w:hAnsi="Times New Roman" w:eastAsia="黑体"/>
          <w:bCs/>
          <w:szCs w:val="32"/>
        </w:rPr>
        <w:t>5</w:t>
      </w:r>
      <w:r>
        <w:rPr>
          <w:rFonts w:ascii="Times New Roman" w:hAnsi="Times New Roman" w:eastAsia="黑体"/>
          <w:bCs/>
          <w:szCs w:val="32"/>
        </w:rPr>
        <w:t xml:space="preserve">  操作步骤</w:t>
      </w:r>
      <w:bookmarkEnd w:id="3"/>
    </w:p>
    <w:p w14:paraId="4A8962EA">
      <w:pPr>
        <w:spacing w:before="156" w:beforeLines="50" w:after="156" w:afterLines="50" w:line="300" w:lineRule="auto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5</w:t>
      </w:r>
      <w:r>
        <w:rPr>
          <w:rFonts w:ascii="Times New Roman" w:hAnsi="Times New Roman"/>
          <w:szCs w:val="20"/>
        </w:rPr>
        <w:t>.1  样品的</w:t>
      </w:r>
      <w:r>
        <w:rPr>
          <w:rFonts w:hint="eastAsia" w:ascii="Times New Roman" w:hAnsi="Times New Roman"/>
          <w:szCs w:val="20"/>
        </w:rPr>
        <w:t>制备</w:t>
      </w:r>
    </w:p>
    <w:p w14:paraId="791515EC">
      <w:pPr>
        <w:spacing w:line="300" w:lineRule="auto"/>
        <w:ind w:firstLine="420" w:firstLineChars="200"/>
      </w:pPr>
      <w:r>
        <w:rPr>
          <w:rFonts w:hint="eastAsia" w:ascii="Times New Roman" w:hAnsi="Times New Roman"/>
          <w:szCs w:val="21"/>
        </w:rPr>
        <w:t>按照微生物检验方法总则</w:t>
      </w:r>
      <w:r>
        <w:rPr>
          <w:rFonts w:ascii="Times New Roman" w:hAnsi="Times New Roman"/>
          <w:szCs w:val="21"/>
        </w:rPr>
        <w:t>4.3</w:t>
      </w:r>
      <w:r>
        <w:rPr>
          <w:rFonts w:hint="eastAsia" w:ascii="Times New Roman" w:hAnsi="Times New Roman"/>
          <w:szCs w:val="21"/>
        </w:rPr>
        <w:t>制备</w:t>
      </w:r>
      <w:r>
        <w:rPr>
          <w:rFonts w:ascii="Times New Roman" w:hAnsi="Times New Roman"/>
          <w:szCs w:val="21"/>
        </w:rPr>
        <w:t>1:10</w:t>
      </w:r>
      <w:r>
        <w:rPr>
          <w:rFonts w:hint="eastAsia" w:ascii="Times New Roman" w:hAnsi="Times New Roman"/>
          <w:szCs w:val="21"/>
        </w:rPr>
        <w:t>的检液。</w:t>
      </w:r>
    </w:p>
    <w:p w14:paraId="3BD41026">
      <w:pPr>
        <w:spacing w:before="156" w:beforeLines="50" w:after="156" w:afterLines="50" w:line="300" w:lineRule="auto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0"/>
        </w:rPr>
        <w:t>5.2</w:t>
      </w:r>
      <w:r>
        <w:rPr>
          <w:rFonts w:ascii="Times New Roman" w:hAnsi="Times New Roman"/>
          <w:szCs w:val="20"/>
        </w:rPr>
        <w:t xml:space="preserve">  样品的稀释</w:t>
      </w:r>
    </w:p>
    <w:p w14:paraId="34495019">
      <w:pPr>
        <w:spacing w:line="30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0"/>
        </w:rPr>
        <w:t>取1:10的检</w:t>
      </w:r>
      <w:r>
        <w:rPr>
          <w:rFonts w:ascii="Times New Roman" w:hAnsi="Times New Roman"/>
          <w:szCs w:val="21"/>
        </w:rPr>
        <w:t>液1 mL</w:t>
      </w:r>
      <w:r>
        <w:rPr>
          <w:rFonts w:hint="eastAsia" w:ascii="Times New Roman" w:hAnsi="Times New Roman"/>
          <w:szCs w:val="21"/>
        </w:rPr>
        <w:t>，</w:t>
      </w:r>
      <w:r>
        <w:rPr>
          <w:rFonts w:ascii="Times New Roman" w:hAnsi="Times New Roman"/>
          <w:szCs w:val="21"/>
        </w:rPr>
        <w:t>注入到9 mL稀释液（灭菌生理盐水</w:t>
      </w:r>
      <w:r>
        <w:rPr>
          <w:rFonts w:hint="eastAsia" w:ascii="Times New Roman" w:hAnsi="Times New Roman"/>
          <w:szCs w:val="21"/>
        </w:rPr>
        <w:t>、</w:t>
      </w:r>
      <w:r>
        <w:rPr>
          <w:rFonts w:ascii="Times New Roman" w:hAnsi="Times New Roman"/>
          <w:color w:val="000000"/>
          <w:szCs w:val="21"/>
        </w:rPr>
        <w:t>pH 7.0无菌氯化钠-蛋白胨缓冲液</w:t>
      </w:r>
      <w:r>
        <w:rPr>
          <w:rFonts w:ascii="Times New Roman" w:hAnsi="Times New Roman"/>
          <w:szCs w:val="21"/>
        </w:rPr>
        <w:t>或其他适宜的稀释液）中（注意勿使吸管接触液面），充分混匀，制成1:100</w:t>
      </w:r>
      <w:r>
        <w:rPr>
          <w:rFonts w:hint="eastAsia" w:ascii="Times New Roman" w:hAnsi="Times New Roman"/>
          <w:szCs w:val="21"/>
        </w:rPr>
        <w:t>的</w:t>
      </w:r>
      <w:r>
        <w:rPr>
          <w:rFonts w:ascii="Times New Roman" w:hAnsi="Times New Roman"/>
          <w:szCs w:val="21"/>
        </w:rPr>
        <w:t>检液。</w:t>
      </w:r>
      <w:r>
        <w:rPr>
          <w:rFonts w:hint="eastAsia" w:ascii="Times New Roman" w:hAnsi="Times New Roman"/>
          <w:szCs w:val="21"/>
        </w:rPr>
        <w:t>依次</w:t>
      </w:r>
      <w:r>
        <w:rPr>
          <w:rFonts w:ascii="Times New Roman" w:hAnsi="Times New Roman"/>
          <w:szCs w:val="21"/>
        </w:rPr>
        <w:t>制备</w:t>
      </w:r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0倍系列稀释检液</w:t>
      </w:r>
      <w:r>
        <w:rPr>
          <w:rFonts w:hint="eastAsia" w:ascii="Times New Roman" w:hAnsi="Times New Roman"/>
          <w:szCs w:val="21"/>
        </w:rPr>
        <w:t>，</w:t>
      </w:r>
      <w:r>
        <w:rPr>
          <w:rFonts w:ascii="Times New Roman" w:hAnsi="Times New Roman"/>
          <w:szCs w:val="21"/>
        </w:rPr>
        <w:t>每递增稀释一次，更换</w:t>
      </w:r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次无菌吸管或吸头。</w:t>
      </w:r>
    </w:p>
    <w:p w14:paraId="1A96035B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5.3</w:t>
      </w:r>
      <w:r>
        <w:rPr>
          <w:rFonts w:ascii="Times New Roman" w:hAnsi="Times New Roman"/>
          <w:szCs w:val="21"/>
        </w:rPr>
        <w:t xml:space="preserve">  平板计数方法</w:t>
      </w:r>
    </w:p>
    <w:p w14:paraId="21C61C70">
      <w:pPr>
        <w:spacing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.1 平板倾注法</w:t>
      </w:r>
    </w:p>
    <w:p w14:paraId="17EE52E3">
      <w:pPr>
        <w:spacing w:line="300" w:lineRule="auto"/>
        <w:ind w:firstLine="420" w:firstLineChars="200"/>
        <w:jc w:val="left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szCs w:val="21"/>
        </w:rPr>
        <w:t>根据对样品污染状况的估计，选择</w:t>
      </w:r>
      <w:r>
        <w:rPr>
          <w:rFonts w:hint="eastAsia" w:ascii="Times New Roman" w:hAnsi="Times New Roman"/>
          <w:szCs w:val="21"/>
        </w:rPr>
        <w:t>1</w:t>
      </w:r>
      <w:r>
        <w:rPr>
          <w:rFonts w:ascii="Times New Roman" w:hAnsi="Times New Roman"/>
          <w:szCs w:val="21"/>
        </w:rPr>
        <w:t>～</w:t>
      </w: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个适宜稀释度的检液。</w:t>
      </w:r>
      <w:r>
        <w:rPr>
          <w:rFonts w:hint="eastAsia" w:ascii="Times New Roman" w:hAnsi="Times New Roman"/>
          <w:szCs w:val="21"/>
        </w:rPr>
        <w:t>分别</w:t>
      </w:r>
      <w:r>
        <w:rPr>
          <w:rFonts w:ascii="Times New Roman" w:hAnsi="Times New Roman"/>
          <w:szCs w:val="21"/>
        </w:rPr>
        <w:t>吸取1 mL检液于</w:t>
      </w:r>
      <w:r>
        <w:rPr>
          <w:rFonts w:hint="eastAsia" w:ascii="Times New Roman" w:hAnsi="Times New Roman"/>
          <w:szCs w:val="21"/>
        </w:rPr>
        <w:t>无</w:t>
      </w:r>
      <w:r>
        <w:rPr>
          <w:rFonts w:ascii="Times New Roman" w:hAnsi="Times New Roman"/>
          <w:szCs w:val="21"/>
        </w:rPr>
        <w:t>菌平皿内，每个稀释度做两个平皿。</w:t>
      </w:r>
      <w:r>
        <w:rPr>
          <w:rFonts w:hint="eastAsia"/>
        </w:rPr>
        <w:t>同时，分别吸取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zCs w:val="21"/>
        </w:rPr>
        <w:t xml:space="preserve"> mL</w:t>
      </w:r>
      <w:r>
        <w:rPr>
          <w:rFonts w:hint="eastAsia"/>
        </w:rPr>
        <w:t>稀释液加入两个无菌平皿内，作为空白对照。</w:t>
      </w:r>
      <w:r>
        <w:rPr>
          <w:rFonts w:ascii="Times New Roman" w:hAnsi="Times New Roman"/>
          <w:szCs w:val="21"/>
        </w:rPr>
        <w:t>将融化并冷却至4</w:t>
      </w: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>～</w:t>
      </w:r>
      <w:r>
        <w:rPr>
          <w:rFonts w:hint="eastAsia" w:ascii="Times New Roman" w:hAnsi="Times New Roman"/>
          <w:szCs w:val="21"/>
        </w:rPr>
        <w:t xml:space="preserve">50 </w:t>
      </w:r>
      <w:r>
        <w:rPr>
          <w:rFonts w:ascii="Times New Roman" w:hAnsi="Times New Roman"/>
          <w:szCs w:val="21"/>
        </w:rPr>
        <w:t>℃的卵磷脂-吐温80-孟加拉红培养基倾注到平皿内，每皿15～20 mL，使检液与培养基充分混合均匀。待</w:t>
      </w:r>
      <w:r>
        <w:rPr>
          <w:rFonts w:hint="eastAsia" w:ascii="Times New Roman" w:hAnsi="Times New Roman"/>
          <w:szCs w:val="21"/>
        </w:rPr>
        <w:t>培养基</w:t>
      </w:r>
      <w:r>
        <w:rPr>
          <w:rFonts w:ascii="Times New Roman" w:hAnsi="Times New Roman"/>
          <w:szCs w:val="21"/>
        </w:rPr>
        <w:t>凝固后，翻转平板，倒置于25±1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℃培养箱内培养，</w:t>
      </w:r>
      <w:r>
        <w:rPr>
          <w:rFonts w:ascii="Times New Roman" w:hAnsi="Times New Roman"/>
          <w:color w:val="000000"/>
          <w:szCs w:val="21"/>
        </w:rPr>
        <w:t>观察并记录培养至第5 d的结果。</w:t>
      </w:r>
    </w:p>
    <w:p w14:paraId="78FAF953">
      <w:pPr>
        <w:spacing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.2 薄膜过滤法</w:t>
      </w:r>
    </w:p>
    <w:p w14:paraId="65453AD6">
      <w:pPr>
        <w:spacing w:line="300" w:lineRule="auto"/>
        <w:ind w:firstLine="420" w:firstLineChars="200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szCs w:val="21"/>
        </w:rPr>
        <w:t>为消除样品抑菌性，若性质允许，可采用</w:t>
      </w:r>
      <w:r>
        <w:rPr>
          <w:rFonts w:hint="eastAsia" w:ascii="Times New Roman" w:hAnsi="Times New Roman"/>
          <w:szCs w:val="21"/>
        </w:rPr>
        <w:t>微生物检验方法总则附录E中</w:t>
      </w:r>
      <w:r>
        <w:rPr>
          <w:rFonts w:ascii="Times New Roman" w:hAnsi="Times New Roman"/>
          <w:szCs w:val="21"/>
        </w:rPr>
        <w:t>薄膜过滤法进行计数</w:t>
      </w:r>
      <w:r>
        <w:rPr>
          <w:rFonts w:hint="eastAsia" w:ascii="Times New Roman" w:hAnsi="Times New Roman"/>
          <w:szCs w:val="21"/>
        </w:rPr>
        <w:t>，</w:t>
      </w:r>
      <w:r>
        <w:rPr>
          <w:rFonts w:ascii="Times New Roman" w:hAnsi="Times New Roman"/>
          <w:szCs w:val="21"/>
        </w:rPr>
        <w:t>冲洗完成后，将</w:t>
      </w:r>
      <w:r>
        <w:rPr>
          <w:rFonts w:ascii="Times New Roman" w:hAnsi="Times New Roman"/>
          <w:color w:val="000000"/>
          <w:szCs w:val="21"/>
        </w:rPr>
        <w:t>滤膜取出，过滤面朝上</w:t>
      </w:r>
      <w:r>
        <w:rPr>
          <w:rFonts w:ascii="Times New Roman" w:hAnsi="Times New Roman"/>
          <w:color w:val="000000"/>
        </w:rPr>
        <w:t>贴于</w:t>
      </w:r>
      <w:r>
        <w:rPr>
          <w:rFonts w:ascii="Times New Roman" w:hAnsi="Times New Roman"/>
          <w:color w:val="000000"/>
          <w:szCs w:val="21"/>
        </w:rPr>
        <w:t>卵磷脂-吐温80-孟加拉红培养基</w:t>
      </w:r>
      <w:r>
        <w:rPr>
          <w:rFonts w:ascii="Times New Roman" w:hAnsi="Times New Roman"/>
          <w:color w:val="000000"/>
        </w:rPr>
        <w:t>平板上，</w:t>
      </w:r>
      <w:r>
        <w:rPr>
          <w:rFonts w:ascii="Times New Roman" w:hAnsi="Times New Roman"/>
          <w:color w:val="000000"/>
          <w:szCs w:val="21"/>
        </w:rPr>
        <w:t>翻转平板，倒置于25±1</w:t>
      </w:r>
      <w:r>
        <w:rPr>
          <w:rFonts w:hint="eastAsia" w:ascii="Times New Roman" w:hAnsi="Times New Roman"/>
          <w:color w:val="000000"/>
          <w:szCs w:val="21"/>
        </w:rPr>
        <w:t xml:space="preserve"> </w:t>
      </w:r>
      <w:r>
        <w:rPr>
          <w:rFonts w:ascii="Times New Roman" w:hAnsi="Times New Roman"/>
          <w:color w:val="000000"/>
          <w:szCs w:val="21"/>
        </w:rPr>
        <w:t>℃培养箱内培养，观察并记录培养至第5 d的结果。以稀释液代替检液，按照</w:t>
      </w:r>
      <w:r>
        <w:rPr>
          <w:rFonts w:hint="eastAsia" w:ascii="Times New Roman" w:hAnsi="Times New Roman"/>
          <w:color w:val="000000"/>
          <w:szCs w:val="21"/>
        </w:rPr>
        <w:t>薄膜过滤法相应的操作步骤</w:t>
      </w:r>
      <w:r>
        <w:rPr>
          <w:rFonts w:ascii="Times New Roman" w:hAnsi="Times New Roman"/>
          <w:color w:val="000000"/>
          <w:szCs w:val="21"/>
        </w:rPr>
        <w:t>进行</w:t>
      </w:r>
      <w:r>
        <w:rPr>
          <w:rFonts w:hint="eastAsia" w:ascii="Times New Roman" w:hAnsi="Times New Roman"/>
          <w:color w:val="000000"/>
          <w:szCs w:val="21"/>
        </w:rPr>
        <w:t>空白</w:t>
      </w:r>
      <w:r>
        <w:rPr>
          <w:rFonts w:ascii="Times New Roman" w:hAnsi="Times New Roman"/>
          <w:color w:val="000000"/>
          <w:szCs w:val="21"/>
        </w:rPr>
        <w:t>对照试验。</w:t>
      </w:r>
    </w:p>
    <w:p w14:paraId="323E40EE">
      <w:pPr>
        <w:spacing w:before="156" w:beforeLines="50" w:after="120" w:line="300" w:lineRule="auto"/>
        <w:jc w:val="left"/>
        <w:rPr>
          <w:rFonts w:ascii="Times New Roman" w:hAnsi="Times New Roman"/>
          <w:szCs w:val="20"/>
        </w:rPr>
      </w:pPr>
      <w:r>
        <w:rPr>
          <w:rFonts w:hint="eastAsia" w:ascii="Times New Roman" w:hAnsi="Times New Roman"/>
          <w:szCs w:val="21"/>
        </w:rPr>
        <w:t>5.4</w:t>
      </w:r>
      <w:r>
        <w:rPr>
          <w:rFonts w:ascii="Times New Roman" w:hAnsi="Times New Roman"/>
          <w:szCs w:val="21"/>
        </w:rPr>
        <w:t xml:space="preserve">  菌落计数</w:t>
      </w:r>
    </w:p>
    <w:p w14:paraId="50B863EC">
      <w:pPr>
        <w:spacing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5.4</w:t>
      </w:r>
      <w:r>
        <w:rPr>
          <w:rFonts w:ascii="Times New Roman" w:hAnsi="Times New Roman"/>
          <w:szCs w:val="21"/>
        </w:rPr>
        <w:t>.1 观察并记录稀释倍数及相应的霉菌和酵母菌数，必要时可用放大镜或菌落计数器辅助观察。计数结果以菌落形成单位（colony-forming units，CFU）表示。</w:t>
      </w:r>
    </w:p>
    <w:p w14:paraId="2AA9AE4D">
      <w:pPr>
        <w:spacing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5.4</w:t>
      </w:r>
      <w:r>
        <w:rPr>
          <w:rFonts w:ascii="Times New Roman" w:hAnsi="Times New Roman"/>
          <w:szCs w:val="21"/>
        </w:rPr>
        <w:t>.2 选取菌落数在15～150 CFU之间、无蔓延菌落生长的平板，根据菌落形态计数霉菌和酵母菌总数。菌落蔓延生长覆盖整个平板的可记录为菌落蔓延。</w:t>
      </w:r>
    </w:p>
    <w:p w14:paraId="46D55790">
      <w:pPr>
        <w:spacing w:before="156" w:beforeLines="50" w:after="156" w:afterLines="50" w:line="300" w:lineRule="auto"/>
        <w:rPr>
          <w:rFonts w:ascii="Times New Roman" w:hAnsi="Times New Roman"/>
          <w:color w:val="000000"/>
          <w:szCs w:val="20"/>
        </w:rPr>
      </w:pPr>
      <w:r>
        <w:rPr>
          <w:rFonts w:hint="eastAsia" w:ascii="Times New Roman" w:hAnsi="Times New Roman"/>
          <w:szCs w:val="21"/>
        </w:rPr>
        <w:t>5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5</w:t>
      </w:r>
      <w:r>
        <w:rPr>
          <w:szCs w:val="21"/>
        </w:rPr>
        <w:t xml:space="preserve"> </w:t>
      </w:r>
      <w:r>
        <w:rPr>
          <w:rFonts w:hint="eastAsia"/>
          <w:szCs w:val="21"/>
        </w:rPr>
        <w:t xml:space="preserve"> </w:t>
      </w:r>
      <w:r>
        <w:rPr>
          <w:rFonts w:ascii="Times New Roman" w:hAnsi="Times New Roman"/>
          <w:color w:val="000000"/>
        </w:rPr>
        <w:t>若实验室按</w:t>
      </w:r>
      <w:r>
        <w:rPr>
          <w:rFonts w:hint="eastAsia" w:ascii="Times New Roman" w:hAnsi="Times New Roman"/>
          <w:color w:val="000000"/>
        </w:rPr>
        <w:t>照</w:t>
      </w:r>
      <w:r>
        <w:rPr>
          <w:rFonts w:ascii="Times New Roman" w:hAnsi="Times New Roman"/>
          <w:color w:val="000000"/>
        </w:rPr>
        <w:t>微生物检验方法总则</w:t>
      </w:r>
      <w:r>
        <w:rPr>
          <w:rFonts w:hint="eastAsia" w:ascii="Times New Roman" w:hAnsi="Times New Roman"/>
          <w:color w:val="000000"/>
        </w:rPr>
        <w:t>附录E</w:t>
      </w:r>
      <w:r>
        <w:rPr>
          <w:rFonts w:ascii="Times New Roman" w:hAnsi="Times New Roman"/>
          <w:color w:val="000000"/>
        </w:rPr>
        <w:t>开展方法适用性试验，可采用经适用性试验确认的方法进行霉菌和酵母菌总数</w:t>
      </w:r>
      <w:r>
        <w:rPr>
          <w:rFonts w:hint="eastAsia" w:ascii="Times New Roman" w:hAnsi="Times New Roman"/>
          <w:color w:val="000000"/>
        </w:rPr>
        <w:t>的检验</w:t>
      </w:r>
      <w:r>
        <w:rPr>
          <w:rFonts w:ascii="Times New Roman" w:hAnsi="Times New Roman"/>
          <w:color w:val="000000"/>
        </w:rPr>
        <w:t>。</w:t>
      </w:r>
      <w:r>
        <w:rPr>
          <w:rFonts w:hint="eastAsia" w:ascii="Times New Roman" w:hAnsi="Times New Roman"/>
          <w:color w:val="000000"/>
        </w:rPr>
        <w:t>推荐质控菌株信息详见附录B。</w:t>
      </w:r>
    </w:p>
    <w:p w14:paraId="277DEF01">
      <w:pPr>
        <w:keepNext/>
        <w:keepLines/>
        <w:spacing w:before="156" w:beforeLines="50" w:after="156" w:afterLines="50" w:line="300" w:lineRule="auto"/>
        <w:outlineLvl w:val="2"/>
        <w:rPr>
          <w:rFonts w:ascii="Times New Roman" w:hAnsi="Times New Roman" w:eastAsia="黑体"/>
          <w:bCs/>
          <w:szCs w:val="32"/>
        </w:rPr>
      </w:pPr>
      <w:r>
        <w:rPr>
          <w:rFonts w:hint="eastAsia" w:ascii="Times New Roman" w:hAnsi="Times New Roman" w:eastAsia="黑体"/>
          <w:bCs/>
          <w:szCs w:val="32"/>
        </w:rPr>
        <w:t>6</w:t>
      </w:r>
      <w:r>
        <w:rPr>
          <w:rFonts w:ascii="Times New Roman" w:hAnsi="Times New Roman" w:eastAsia="黑体"/>
          <w:bCs/>
          <w:szCs w:val="32"/>
        </w:rPr>
        <w:t xml:space="preserve">  结果与报告</w:t>
      </w:r>
    </w:p>
    <w:p w14:paraId="5A35EFB8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 xml:space="preserve">.1  </w:t>
      </w:r>
      <w:r>
        <w:rPr>
          <w:rFonts w:hint="eastAsia" w:ascii="Times New Roman" w:hAnsi="Times New Roman"/>
          <w:szCs w:val="21"/>
        </w:rPr>
        <w:t>平板倾注法</w:t>
      </w:r>
      <w:r>
        <w:rPr>
          <w:rFonts w:ascii="Times New Roman" w:hAnsi="Times New Roman"/>
          <w:szCs w:val="21"/>
        </w:rPr>
        <w:t>霉菌和酵母菌总数</w:t>
      </w:r>
      <w:r>
        <w:rPr>
          <w:rFonts w:hint="eastAsia" w:ascii="Times New Roman" w:hAnsi="Times New Roman"/>
          <w:szCs w:val="21"/>
        </w:rPr>
        <w:t>的</w:t>
      </w:r>
      <w:r>
        <w:rPr>
          <w:rFonts w:ascii="Times New Roman" w:hAnsi="Times New Roman"/>
          <w:szCs w:val="21"/>
        </w:rPr>
        <w:t>计算方法</w:t>
      </w:r>
    </w:p>
    <w:p w14:paraId="77A2FA46">
      <w:pPr>
        <w:spacing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>.1.1 若只有一个稀释度的两个平板菌落数在适宜计数范围内，计算同一稀释度的两个平板菌落数的平均值，再将平均值乘以相应稀释倍数，即为每g（mL）样品中所含的霉菌和酵母菌</w:t>
      </w:r>
      <w:r>
        <w:rPr>
          <w:rFonts w:hint="eastAsia" w:ascii="Times New Roman" w:hAnsi="Times New Roman"/>
          <w:szCs w:val="21"/>
        </w:rPr>
        <w:t>总</w:t>
      </w:r>
      <w:r>
        <w:rPr>
          <w:rFonts w:ascii="Times New Roman" w:hAnsi="Times New Roman"/>
          <w:szCs w:val="21"/>
        </w:rPr>
        <w:t>数。</w:t>
      </w:r>
    </w:p>
    <w:p w14:paraId="03CEB2DA">
      <w:pPr>
        <w:spacing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>.1.2 若有两个连续稀释度的平板菌落数在适宜计数范围内时，则按照菌落总数检验方法的相应规定进行计算。</w:t>
      </w:r>
    </w:p>
    <w:p w14:paraId="3992ED37">
      <w:pPr>
        <w:spacing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>.1.3 若所有稀释度的平板上菌落数均大于150 CFU，则对稀释度最高的平板进行计数，其他平板可记录为多不可计，结果按平均菌落数乘以最高稀释倍数计算。</w:t>
      </w:r>
    </w:p>
    <w:p w14:paraId="35374F2E">
      <w:pPr>
        <w:spacing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>.1.4 若所有稀释度的平板菌落数均小于15 CFU，则应按稀释度最低的</w:t>
      </w:r>
      <w:r>
        <w:rPr>
          <w:rFonts w:hint="eastAsia" w:ascii="Times New Roman" w:hAnsi="Times New Roman"/>
          <w:szCs w:val="21"/>
        </w:rPr>
        <w:t>平板进行计数，结果按</w:t>
      </w:r>
      <w:r>
        <w:rPr>
          <w:rFonts w:ascii="Times New Roman" w:hAnsi="Times New Roman"/>
          <w:szCs w:val="21"/>
        </w:rPr>
        <w:t>平均菌落数乘以稀释倍数计算。</w:t>
      </w:r>
    </w:p>
    <w:p w14:paraId="033B3108">
      <w:pPr>
        <w:spacing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>.1.5 若所有稀释度平板均无菌落生长或平均菌落数小于1时，则以小于1乘以最低稀释倍数计算。</w:t>
      </w:r>
    </w:p>
    <w:p w14:paraId="598197D4">
      <w:pPr>
        <w:spacing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>.1.6 若所有稀释度的平板菌落数均不在15～150 CFU之间，其中一部分小于15 CFU或大于150 CFU时，则以最接近15 CFU或150 CFU的平均菌落数乘以稀释倍数计算。</w:t>
      </w:r>
    </w:p>
    <w:p w14:paraId="0FBAEF9E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6.2  薄膜过滤法霉菌和酵母菌总数的计算方法</w:t>
      </w:r>
    </w:p>
    <w:p w14:paraId="3FBE22D0">
      <w:pPr>
        <w:spacing w:line="30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薄膜过滤法适宜计数范围和计算方法同平板倾注法。</w:t>
      </w:r>
    </w:p>
    <w:p w14:paraId="136795DF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 xml:space="preserve">  结果报告</w:t>
      </w:r>
    </w:p>
    <w:p w14:paraId="474AAE2D">
      <w:pPr>
        <w:spacing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.1 霉菌和酵母菌</w:t>
      </w:r>
      <w:r>
        <w:rPr>
          <w:rFonts w:hint="eastAsia" w:ascii="Times New Roman" w:hAnsi="Times New Roman"/>
          <w:szCs w:val="21"/>
        </w:rPr>
        <w:t>总</w:t>
      </w:r>
      <w:r>
        <w:rPr>
          <w:rFonts w:ascii="Times New Roman" w:hAnsi="Times New Roman"/>
          <w:szCs w:val="21"/>
        </w:rPr>
        <w:t>数小于100 CFU时，按实有数值以整数报告。</w:t>
      </w:r>
    </w:p>
    <w:p w14:paraId="0425F0C1">
      <w:pPr>
        <w:spacing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.2 霉菌和酵母菌</w:t>
      </w:r>
      <w:r>
        <w:rPr>
          <w:rFonts w:hint="eastAsia" w:ascii="Times New Roman" w:hAnsi="Times New Roman"/>
          <w:szCs w:val="21"/>
        </w:rPr>
        <w:t>总</w:t>
      </w:r>
      <w:r>
        <w:rPr>
          <w:rFonts w:ascii="Times New Roman" w:hAnsi="Times New Roman"/>
          <w:szCs w:val="21"/>
        </w:rPr>
        <w:t>数大于或等于100 CFU时，第三位数字</w:t>
      </w:r>
      <w:r>
        <w:rPr>
          <w:rFonts w:hint="eastAsia" w:ascii="Times New Roman" w:hAnsi="Times New Roman"/>
          <w:szCs w:val="21"/>
        </w:rPr>
        <w:t>按“</w:t>
      </w:r>
      <w:r>
        <w:rPr>
          <w:rFonts w:ascii="Times New Roman" w:hAnsi="Times New Roman"/>
          <w:szCs w:val="21"/>
        </w:rPr>
        <w:t>四舍五入</w:t>
      </w:r>
      <w:r>
        <w:rPr>
          <w:rFonts w:hint="eastAsia" w:ascii="Times New Roman" w:hAnsi="Times New Roman"/>
          <w:szCs w:val="21"/>
        </w:rPr>
        <w:t>”</w:t>
      </w:r>
      <w:r>
        <w:rPr>
          <w:rFonts w:ascii="Times New Roman" w:hAnsi="Times New Roman"/>
          <w:szCs w:val="21"/>
        </w:rPr>
        <w:t>原则修约后，</w:t>
      </w:r>
      <w:r>
        <w:rPr>
          <w:rFonts w:hint="eastAsia" w:ascii="Times New Roman" w:hAnsi="Times New Roman"/>
          <w:szCs w:val="21"/>
        </w:rPr>
        <w:t>保留</w:t>
      </w:r>
      <w:r>
        <w:rPr>
          <w:rFonts w:ascii="Times New Roman" w:hAnsi="Times New Roman"/>
          <w:szCs w:val="21"/>
        </w:rPr>
        <w:t>两位有效数字，后面位数用0代替；也可用10的指数形式来表示，按</w:t>
      </w:r>
      <w:r>
        <w:rPr>
          <w:rFonts w:hint="eastAsia" w:ascii="Times New Roman" w:hAnsi="Times New Roman"/>
          <w:szCs w:val="21"/>
        </w:rPr>
        <w:t>“</w:t>
      </w:r>
      <w:r>
        <w:rPr>
          <w:rFonts w:ascii="Times New Roman" w:hAnsi="Times New Roman"/>
          <w:szCs w:val="21"/>
        </w:rPr>
        <w:t>四舍五入</w:t>
      </w:r>
      <w:r>
        <w:rPr>
          <w:rFonts w:hint="eastAsia" w:ascii="Times New Roman" w:hAnsi="Times New Roman"/>
          <w:szCs w:val="21"/>
        </w:rPr>
        <w:t>”</w:t>
      </w:r>
      <w:r>
        <w:rPr>
          <w:rFonts w:ascii="Times New Roman" w:hAnsi="Times New Roman"/>
          <w:szCs w:val="21"/>
        </w:rPr>
        <w:t>原则修约后，</w:t>
      </w:r>
      <w:r>
        <w:rPr>
          <w:rFonts w:hint="eastAsia" w:ascii="Times New Roman" w:hAnsi="Times New Roman"/>
          <w:szCs w:val="21"/>
        </w:rPr>
        <w:t>保留</w:t>
      </w:r>
      <w:r>
        <w:rPr>
          <w:rFonts w:ascii="Times New Roman" w:hAnsi="Times New Roman"/>
          <w:szCs w:val="21"/>
        </w:rPr>
        <w:t>两位有效数字。</w:t>
      </w:r>
    </w:p>
    <w:p w14:paraId="328F8C68">
      <w:pPr>
        <w:spacing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.3 若</w:t>
      </w:r>
      <w:r>
        <w:rPr>
          <w:rFonts w:hint="eastAsia" w:ascii="Times New Roman" w:hAnsi="Times New Roman"/>
          <w:szCs w:val="21"/>
        </w:rPr>
        <w:t>空白</w:t>
      </w:r>
      <w:r>
        <w:rPr>
          <w:rFonts w:ascii="Times New Roman" w:hAnsi="Times New Roman"/>
          <w:szCs w:val="21"/>
        </w:rPr>
        <w:t>对照平板上有菌落生长，则此次检验结果无效。</w:t>
      </w:r>
    </w:p>
    <w:p w14:paraId="7FDC3DF3">
      <w:pPr>
        <w:spacing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6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 xml:space="preserve">.4 </w:t>
      </w:r>
      <w:r>
        <w:rPr>
          <w:rFonts w:hint="eastAsia" w:ascii="Times New Roman" w:hAnsi="Times New Roman"/>
          <w:szCs w:val="21"/>
        </w:rPr>
        <w:t>按</w:t>
      </w:r>
      <w:r>
        <w:rPr>
          <w:rFonts w:ascii="Times New Roman" w:hAnsi="Times New Roman"/>
          <w:szCs w:val="21"/>
        </w:rPr>
        <w:t>重</w:t>
      </w:r>
      <w:r>
        <w:rPr>
          <w:rFonts w:hint="eastAsia" w:ascii="Times New Roman" w:hAnsi="Times New Roman"/>
          <w:szCs w:val="21"/>
        </w:rPr>
        <w:t>量</w:t>
      </w:r>
      <w:r>
        <w:rPr>
          <w:rFonts w:ascii="Times New Roman" w:hAnsi="Times New Roman"/>
          <w:szCs w:val="21"/>
        </w:rPr>
        <w:t>取样</w:t>
      </w:r>
      <w:r>
        <w:rPr>
          <w:rFonts w:hint="eastAsia" w:ascii="Times New Roman" w:hAnsi="Times New Roman"/>
          <w:szCs w:val="21"/>
        </w:rPr>
        <w:t>的检样</w:t>
      </w:r>
      <w:r>
        <w:rPr>
          <w:rFonts w:ascii="Times New Roman" w:hAnsi="Times New Roman"/>
          <w:szCs w:val="21"/>
        </w:rPr>
        <w:t>以CFU/g为单位报告，</w:t>
      </w:r>
      <w:r>
        <w:rPr>
          <w:rFonts w:hint="eastAsia" w:ascii="Times New Roman" w:hAnsi="Times New Roman"/>
          <w:szCs w:val="21"/>
        </w:rPr>
        <w:t>按</w:t>
      </w:r>
      <w:r>
        <w:rPr>
          <w:rFonts w:ascii="Times New Roman" w:hAnsi="Times New Roman"/>
          <w:szCs w:val="21"/>
        </w:rPr>
        <w:t>体积取样</w:t>
      </w:r>
      <w:r>
        <w:rPr>
          <w:rFonts w:hint="eastAsia" w:ascii="Times New Roman" w:hAnsi="Times New Roman"/>
          <w:szCs w:val="21"/>
        </w:rPr>
        <w:t>的检样</w:t>
      </w:r>
      <w:r>
        <w:rPr>
          <w:rFonts w:ascii="Times New Roman" w:hAnsi="Times New Roman"/>
          <w:szCs w:val="21"/>
        </w:rPr>
        <w:t>以CFU/mL为单位报告。</w:t>
      </w:r>
    </w:p>
    <w:p w14:paraId="4ED31644">
      <w:pPr>
        <w:spacing w:before="156" w:beforeLines="50" w:after="156" w:afterLines="50" w:line="300" w:lineRule="auto"/>
        <w:ind w:left="183"/>
        <w:jc w:val="center"/>
        <w:rPr>
          <w:rFonts w:ascii="黑体" w:hAnsi="黑体" w:eastAsia="黑体" w:cs="黑体"/>
          <w:szCs w:val="21"/>
        </w:rPr>
      </w:pPr>
      <w:r>
        <w:rPr>
          <w:rFonts w:ascii="Times New Roman" w:hAnsi="Times New Roman" w:eastAsia="黑体"/>
          <w:sz w:val="32"/>
          <w:szCs w:val="32"/>
        </w:rPr>
        <w:br w:type="page"/>
      </w:r>
      <w:r>
        <w:rPr>
          <w:rFonts w:ascii="黑体" w:hAnsi="黑体" w:eastAsia="黑体" w:cs="黑体"/>
          <w:szCs w:val="21"/>
        </w:rPr>
        <w:t>附录</w:t>
      </w:r>
      <w:r>
        <w:rPr>
          <w:rFonts w:ascii="Times New Roman" w:hAnsi="Times New Roman" w:eastAsia="黑体"/>
          <w:szCs w:val="21"/>
        </w:rPr>
        <w:t>A</w:t>
      </w:r>
    </w:p>
    <w:p w14:paraId="7A5132EE">
      <w:pPr>
        <w:spacing w:before="156" w:beforeLines="50" w:after="156" w:afterLines="50" w:line="300" w:lineRule="auto"/>
        <w:ind w:left="181"/>
        <w:jc w:val="center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（规范性附录）</w:t>
      </w:r>
    </w:p>
    <w:p w14:paraId="784BD6AD">
      <w:pPr>
        <w:spacing w:before="156" w:beforeLines="50" w:after="156" w:afterLines="50" w:line="300" w:lineRule="auto"/>
        <w:ind w:left="181"/>
        <w:jc w:val="center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培养基和试剂</w:t>
      </w:r>
    </w:p>
    <w:p w14:paraId="1BA5FFFB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A</w:t>
      </w:r>
      <w:r>
        <w:rPr>
          <w:rFonts w:ascii="Times New Roman" w:hAnsi="Times New Roman"/>
          <w:szCs w:val="21"/>
        </w:rPr>
        <w:t>.1  生理盐水</w:t>
      </w:r>
    </w:p>
    <w:p w14:paraId="7CCD64FB">
      <w:pPr>
        <w:spacing w:line="300" w:lineRule="auto"/>
        <w:ind w:firstLine="420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见微生物检验方法总则C.4。</w:t>
      </w:r>
    </w:p>
    <w:p w14:paraId="35A633EB">
      <w:pPr>
        <w:spacing w:before="156" w:beforeLines="50" w:after="156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A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2</w:t>
      </w:r>
      <w:r>
        <w:rPr>
          <w:rFonts w:ascii="Times New Roman" w:hAnsi="Times New Roman"/>
          <w:szCs w:val="21"/>
        </w:rPr>
        <w:t xml:space="preserve">  卵磷脂-吐温80-孟加拉红培养基</w:t>
      </w:r>
    </w:p>
    <w:p w14:paraId="02EFBFDE">
      <w:pPr>
        <w:tabs>
          <w:tab w:val="right" w:pos="4620"/>
        </w:tabs>
        <w:spacing w:line="300" w:lineRule="auto"/>
        <w:ind w:firstLine="420" w:firstLineChars="200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成分：蛋白胨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5.0 g</w:t>
      </w:r>
    </w:p>
    <w:p w14:paraId="6D8E32BE">
      <w:pPr>
        <w:tabs>
          <w:tab w:val="right" w:pos="4620"/>
        </w:tabs>
        <w:spacing w:line="300" w:lineRule="auto"/>
        <w:ind w:firstLine="1050" w:firstLineChars="5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葡萄糖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10.0 g</w:t>
      </w:r>
    </w:p>
    <w:p w14:paraId="6456D598">
      <w:pPr>
        <w:tabs>
          <w:tab w:val="right" w:pos="4620"/>
        </w:tabs>
        <w:spacing w:line="300" w:lineRule="auto"/>
        <w:ind w:firstLine="1050" w:firstLineChars="5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磷酸二氢钾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1.0 g</w:t>
      </w:r>
    </w:p>
    <w:p w14:paraId="54E9166E">
      <w:pPr>
        <w:tabs>
          <w:tab w:val="right" w:pos="4620"/>
        </w:tabs>
        <w:spacing w:line="300" w:lineRule="auto"/>
        <w:ind w:firstLine="1050" w:firstLineChars="5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硫酸镁（MgSO</w:t>
      </w:r>
      <w:r>
        <w:rPr>
          <w:rFonts w:ascii="Times New Roman" w:hAnsi="Times New Roman"/>
          <w:szCs w:val="21"/>
          <w:vertAlign w:val="subscript"/>
        </w:rPr>
        <w:t>4</w:t>
      </w:r>
      <w:r>
        <w:rPr>
          <w:rFonts w:ascii="Times New Roman" w:hAnsi="Times New Roman"/>
          <w:szCs w:val="21"/>
        </w:rPr>
        <w:t>·7H</w:t>
      </w:r>
      <w:r>
        <w:rPr>
          <w:rFonts w:ascii="Times New Roman" w:hAnsi="Times New Roman"/>
          <w:szCs w:val="21"/>
          <w:vertAlign w:val="subscript"/>
        </w:rPr>
        <w:t>2</w:t>
      </w:r>
      <w:r>
        <w:rPr>
          <w:rFonts w:ascii="Times New Roman" w:hAnsi="Times New Roman"/>
          <w:szCs w:val="21"/>
        </w:rPr>
        <w:t>O）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0.5 g</w:t>
      </w:r>
    </w:p>
    <w:p w14:paraId="2F72006E">
      <w:pPr>
        <w:tabs>
          <w:tab w:val="right" w:pos="4620"/>
        </w:tabs>
        <w:spacing w:line="300" w:lineRule="auto"/>
        <w:ind w:firstLine="1050" w:firstLineChars="5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琼脂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20.0 g</w:t>
      </w:r>
    </w:p>
    <w:p w14:paraId="00723A2D">
      <w:pPr>
        <w:tabs>
          <w:tab w:val="right" w:pos="4620"/>
        </w:tabs>
        <w:spacing w:line="300" w:lineRule="auto"/>
        <w:ind w:firstLine="1050" w:firstLineChars="5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卵磷脂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1.0 g</w:t>
      </w:r>
    </w:p>
    <w:p w14:paraId="480A8C18">
      <w:pPr>
        <w:tabs>
          <w:tab w:val="right" w:pos="4620"/>
        </w:tabs>
        <w:spacing w:line="300" w:lineRule="auto"/>
        <w:ind w:firstLine="1050" w:firstLineChars="5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吐温80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7.0 g</w:t>
      </w:r>
    </w:p>
    <w:p w14:paraId="60ABAAB4">
      <w:pPr>
        <w:tabs>
          <w:tab w:val="right" w:pos="4620"/>
        </w:tabs>
        <w:spacing w:line="300" w:lineRule="auto"/>
        <w:ind w:firstLine="1050" w:firstLineChars="5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孟加拉红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0.033 g</w:t>
      </w:r>
    </w:p>
    <w:p w14:paraId="0935B460">
      <w:pPr>
        <w:tabs>
          <w:tab w:val="right" w:pos="4620"/>
        </w:tabs>
        <w:spacing w:line="300" w:lineRule="auto"/>
        <w:ind w:firstLine="1050" w:firstLineChars="5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氯霉素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0.1 g</w:t>
      </w:r>
    </w:p>
    <w:p w14:paraId="5ED0183E">
      <w:pPr>
        <w:tabs>
          <w:tab w:val="right" w:pos="4620"/>
        </w:tabs>
        <w:spacing w:line="300" w:lineRule="auto"/>
        <w:ind w:firstLine="1050" w:firstLineChars="5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蒸馏水</w:t>
      </w:r>
      <w:r>
        <w:rPr>
          <w:rFonts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1000 mL</w:t>
      </w:r>
    </w:p>
    <w:p w14:paraId="30AC35E2">
      <w:pPr>
        <w:spacing w:line="300" w:lineRule="auto"/>
        <w:ind w:firstLine="420" w:firstLineChars="200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制法：将上述各成分加入蒸馏水中，加热溶解，补足蒸馏水至1000 mL，分装，121</w:t>
      </w:r>
      <w:r>
        <w:rPr>
          <w:rFonts w:hint="eastAsia" w:ascii="Times New Roman" w:hAnsi="Times New Roman"/>
          <w:szCs w:val="20"/>
        </w:rPr>
        <w:t xml:space="preserve"> </w:t>
      </w:r>
      <w:r>
        <w:rPr>
          <w:rFonts w:ascii="Times New Roman" w:hAnsi="Times New Roman"/>
          <w:szCs w:val="20"/>
        </w:rPr>
        <w:t>℃高压灭菌15 min，避光保存备用。</w:t>
      </w:r>
    </w:p>
    <w:p w14:paraId="02E4A176">
      <w:pPr>
        <w:spacing w:before="156" w:beforeLines="50" w:after="156" w:afterLines="50" w:line="300" w:lineRule="auto"/>
        <w:rPr>
          <w:rFonts w:ascii="Times New Roman" w:hAnsi="Times New Roman"/>
          <w:color w:val="000000"/>
          <w:szCs w:val="21"/>
        </w:rPr>
      </w:pPr>
      <w:r>
        <w:rPr>
          <w:rFonts w:hint="eastAsia" w:ascii="Times New Roman" w:hAnsi="Times New Roman"/>
          <w:szCs w:val="21"/>
        </w:rPr>
        <w:t>A</w:t>
      </w:r>
      <w:r>
        <w:rPr>
          <w:rFonts w:ascii="Times New Roman" w:hAnsi="Times New Roman"/>
          <w:szCs w:val="21"/>
        </w:rPr>
        <w:t>.</w:t>
      </w: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color w:val="000000"/>
          <w:szCs w:val="21"/>
        </w:rPr>
        <w:t>pH 7.0无菌氯化钠-蛋白胨缓冲液</w:t>
      </w:r>
    </w:p>
    <w:p w14:paraId="732598A6">
      <w:pPr>
        <w:spacing w:line="300" w:lineRule="auto"/>
        <w:ind w:firstLine="420" w:firstLineChars="200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成分：磷酸二氢钾                   3.56 g</w:t>
      </w:r>
    </w:p>
    <w:p w14:paraId="5AE2237A">
      <w:pPr>
        <w:spacing w:line="300" w:lineRule="auto"/>
        <w:ind w:firstLine="1050" w:firstLineChars="500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无水磷酸氢二钠               5.77 g</w:t>
      </w:r>
    </w:p>
    <w:p w14:paraId="08DD1DD2">
      <w:pPr>
        <w:spacing w:line="300" w:lineRule="auto"/>
        <w:ind w:firstLine="1050" w:firstLineChars="500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氯化钠                       4.30 g</w:t>
      </w:r>
    </w:p>
    <w:p w14:paraId="66334FAB">
      <w:pPr>
        <w:spacing w:line="300" w:lineRule="auto"/>
        <w:ind w:firstLine="1050" w:firstLineChars="500"/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蛋白胨                       1.00 g</w:t>
      </w:r>
    </w:p>
    <w:p w14:paraId="2E92081C">
      <w:pPr>
        <w:spacing w:line="300" w:lineRule="auto"/>
        <w:ind w:firstLine="1050" w:firstLineChars="500"/>
        <w:jc w:val="left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szCs w:val="21"/>
        </w:rPr>
        <w:t>蒸馏水                     1000 mL</w:t>
      </w:r>
    </w:p>
    <w:p w14:paraId="125232F3">
      <w:pPr>
        <w:spacing w:line="300" w:lineRule="auto"/>
        <w:ind w:firstLine="420" w:firstLineChars="200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/>
          <w:color w:val="000000"/>
          <w:szCs w:val="21"/>
        </w:rPr>
        <w:t>制法：称取上述成分，微温溶解，必要时</w:t>
      </w:r>
      <w:r>
        <w:rPr>
          <w:rFonts w:hint="eastAsia" w:ascii="Times New Roman" w:hAnsi="Times New Roman"/>
          <w:color w:val="000000"/>
          <w:szCs w:val="21"/>
        </w:rPr>
        <w:t>过滤</w:t>
      </w:r>
      <w:r>
        <w:rPr>
          <w:rFonts w:ascii="Times New Roman" w:hAnsi="Times New Roman"/>
          <w:color w:val="000000"/>
          <w:szCs w:val="21"/>
        </w:rPr>
        <w:t>使澄清，分装，</w:t>
      </w:r>
      <w:r>
        <w:rPr>
          <w:rFonts w:ascii="Times New Roman" w:hAnsi="Times New Roman"/>
          <w:szCs w:val="21"/>
        </w:rPr>
        <w:t>121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℃高压灭菌15 min，备用</w:t>
      </w:r>
      <w:r>
        <w:rPr>
          <w:rFonts w:ascii="Times New Roman" w:hAnsi="Times New Roman"/>
          <w:color w:val="000000"/>
          <w:szCs w:val="21"/>
        </w:rPr>
        <w:t>。</w:t>
      </w:r>
    </w:p>
    <w:p w14:paraId="18F7993F">
      <w:pPr>
        <w:widowControl/>
        <w:spacing w:before="0" w:beforeLines="0" w:after="0" w:afterLines="0" w:line="300" w:lineRule="auto"/>
        <w:ind w:firstLine="0" w:firstLineChars="0"/>
        <w:jc w:val="center"/>
        <w:rPr>
          <w:rFonts w:ascii="黑体" w:hAnsi="黑体" w:eastAsia="黑体" w:cs="黑体"/>
          <w:szCs w:val="21"/>
        </w:rPr>
      </w:pPr>
      <w:r>
        <w:rPr>
          <w:rFonts w:ascii="Times New Roman" w:hAnsi="Times New Roman"/>
          <w:color w:val="000000"/>
          <w:szCs w:val="21"/>
        </w:rPr>
        <w:t>根据检样的特性，可选用生理盐水、pH 7.0无菌氯化钠-蛋白胨缓冲液或其他经验证的适宜溶液作为稀释液</w:t>
      </w:r>
      <w:r>
        <w:rPr>
          <w:rFonts w:hint="eastAsia" w:ascii="Times New Roman" w:hAnsi="Times New Roman"/>
          <w:color w:val="000000"/>
          <w:szCs w:val="21"/>
        </w:rPr>
        <w:t>或</w:t>
      </w:r>
      <w:r>
        <w:rPr>
          <w:rFonts w:ascii="Times New Roman" w:hAnsi="Times New Roman"/>
          <w:color w:val="000000"/>
          <w:szCs w:val="21"/>
        </w:rPr>
        <w:t>冲洗液。如需要，可在上述稀释液</w:t>
      </w:r>
      <w:r>
        <w:rPr>
          <w:rFonts w:hint="eastAsia" w:ascii="Times New Roman" w:hAnsi="Times New Roman"/>
          <w:color w:val="000000"/>
          <w:szCs w:val="21"/>
        </w:rPr>
        <w:t>或</w:t>
      </w:r>
      <w:r>
        <w:rPr>
          <w:rFonts w:ascii="Times New Roman" w:hAnsi="Times New Roman"/>
          <w:color w:val="000000"/>
          <w:szCs w:val="21"/>
        </w:rPr>
        <w:t>冲洗液灭菌前或灭菌后加入表面活性剂或中和剂等。</w:t>
      </w:r>
      <w:r>
        <w:br w:type="page"/>
      </w:r>
      <w:r>
        <w:rPr>
          <w:rFonts w:hint="eastAsia" w:ascii="黑体" w:hAnsi="黑体" w:eastAsia="黑体" w:cs="黑体"/>
          <w:szCs w:val="21"/>
        </w:rPr>
        <w:t>附录</w:t>
      </w:r>
      <w:r>
        <w:rPr>
          <w:rFonts w:hint="eastAsia" w:ascii="Times New Roman" w:hAnsi="Times New Roman" w:eastAsia="黑体"/>
          <w:szCs w:val="21"/>
        </w:rPr>
        <w:t>B</w:t>
      </w:r>
    </w:p>
    <w:p w14:paraId="31C1F3F2">
      <w:pPr>
        <w:widowControl/>
        <w:spacing w:before="156" w:beforeLines="50" w:after="156" w:afterLines="50" w:line="300" w:lineRule="auto"/>
        <w:jc w:val="center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（资料性附录）</w:t>
      </w:r>
    </w:p>
    <w:p w14:paraId="706FC073">
      <w:pPr>
        <w:widowControl/>
        <w:spacing w:before="156" w:beforeLines="50" w:after="156" w:afterLines="50" w:line="300" w:lineRule="auto"/>
        <w:jc w:val="center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推荐质控菌株</w:t>
      </w:r>
    </w:p>
    <w:p w14:paraId="742EDF75">
      <w:pPr>
        <w:spacing w:before="156" w:beforeLines="50" w:after="156" w:afterLines="50" w:line="300" w:lineRule="auto"/>
        <w:jc w:val="center"/>
        <w:rPr>
          <w:rFonts w:ascii="黑体" w:hAnsi="黑体" w:eastAsia="黑体" w:cs="黑体"/>
          <w:szCs w:val="21"/>
        </w:rPr>
      </w:pPr>
      <w:r>
        <w:rPr>
          <w:rFonts w:ascii="黑体" w:hAnsi="黑体" w:eastAsia="黑体" w:cs="黑体"/>
          <w:szCs w:val="21"/>
        </w:rPr>
        <w:t>表</w:t>
      </w:r>
      <w:r>
        <w:rPr>
          <w:rFonts w:hint="eastAsia" w:ascii="Times New Roman" w:hAnsi="Times New Roman" w:eastAsia="黑体"/>
          <w:szCs w:val="21"/>
        </w:rPr>
        <w:t>B</w:t>
      </w:r>
      <w:r>
        <w:rPr>
          <w:rFonts w:hint="eastAsia" w:ascii="Times New Roman" w:hAnsi="Times New Roman" w:eastAsia="黑体"/>
          <w:b/>
          <w:bCs/>
          <w:szCs w:val="21"/>
        </w:rPr>
        <w:t>.</w:t>
      </w:r>
      <w:r>
        <w:rPr>
          <w:rFonts w:hint="eastAsia" w:ascii="Times New Roman" w:hAnsi="Times New Roman" w:eastAsia="黑体"/>
          <w:szCs w:val="21"/>
        </w:rPr>
        <w:t>1</w:t>
      </w:r>
      <w:r>
        <w:rPr>
          <w:rFonts w:ascii="黑体" w:hAnsi="黑体" w:eastAsia="黑体" w:cs="黑体"/>
          <w:szCs w:val="21"/>
        </w:rPr>
        <w:t xml:space="preserve"> 推荐</w:t>
      </w:r>
      <w:r>
        <w:rPr>
          <w:rFonts w:hint="eastAsia" w:ascii="黑体" w:hAnsi="黑体" w:eastAsia="黑体" w:cs="黑体"/>
          <w:szCs w:val="21"/>
        </w:rPr>
        <w:t>质控</w:t>
      </w:r>
      <w:r>
        <w:rPr>
          <w:rFonts w:ascii="黑体" w:hAnsi="黑体" w:eastAsia="黑体" w:cs="黑体"/>
          <w:szCs w:val="21"/>
        </w:rPr>
        <w:t>菌株</w:t>
      </w:r>
      <w:r>
        <w:rPr>
          <w:rFonts w:hint="eastAsia" w:ascii="黑体" w:hAnsi="黑体" w:eastAsia="黑体" w:cs="黑体"/>
          <w:szCs w:val="21"/>
        </w:rPr>
        <w:t>信息</w:t>
      </w:r>
      <w:r>
        <w:rPr>
          <w:rFonts w:ascii="黑体" w:hAnsi="黑体" w:eastAsia="黑体" w:cs="黑体"/>
          <w:szCs w:val="21"/>
        </w:rPr>
        <w:t>表</w:t>
      </w:r>
    </w:p>
    <w:tbl>
      <w:tblPr>
        <w:tblStyle w:val="3"/>
        <w:tblW w:w="519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499"/>
        <w:gridCol w:w="1734"/>
        <w:gridCol w:w="1638"/>
        <w:gridCol w:w="1584"/>
        <w:gridCol w:w="1575"/>
      </w:tblGrid>
      <w:tr w14:paraId="7E689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62" w:type="pct"/>
            <w:noWrap/>
            <w:vAlign w:val="center"/>
          </w:tcPr>
          <w:p w14:paraId="62013524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序号</w:t>
            </w:r>
            <w:r>
              <w:rPr>
                <w:rFonts w:ascii="Times New Roman" w:hAnsi="Times New Roman" w:eastAsia="等线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847" w:type="pct"/>
            <w:noWrap/>
            <w:vAlign w:val="center"/>
          </w:tcPr>
          <w:p w14:paraId="615CC186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中文名</w:t>
            </w:r>
          </w:p>
        </w:tc>
        <w:tc>
          <w:tcPr>
            <w:tcW w:w="980" w:type="pct"/>
            <w:noWrap/>
            <w:vAlign w:val="center"/>
          </w:tcPr>
          <w:p w14:paraId="262A5836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拉丁名</w:t>
            </w:r>
          </w:p>
        </w:tc>
        <w:tc>
          <w:tcPr>
            <w:tcW w:w="926" w:type="pct"/>
            <w:noWrap/>
            <w:vAlign w:val="center"/>
          </w:tcPr>
          <w:p w14:paraId="1D71F8A0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CMCC编号</w:t>
            </w:r>
            <w:r>
              <w:rPr>
                <w:rFonts w:ascii="Times New Roman" w:hAnsi="Times New Roman" w:eastAsia="黑体"/>
                <w:color w:val="000000"/>
                <w:vertAlign w:val="superscript"/>
              </w:rPr>
              <w:t>b</w:t>
            </w:r>
          </w:p>
        </w:tc>
        <w:tc>
          <w:tcPr>
            <w:tcW w:w="895" w:type="pct"/>
            <w:noWrap w:val="0"/>
            <w:vAlign w:val="center"/>
          </w:tcPr>
          <w:p w14:paraId="2615C030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CICC编号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887" w:type="pct"/>
            <w:noWrap w:val="0"/>
            <w:vAlign w:val="center"/>
          </w:tcPr>
          <w:p w14:paraId="4C75C0DA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GDMCC编号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d</w:t>
            </w:r>
          </w:p>
        </w:tc>
      </w:tr>
      <w:tr w14:paraId="2AFD3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62" w:type="pct"/>
            <w:noWrap/>
            <w:vAlign w:val="center"/>
          </w:tcPr>
          <w:p w14:paraId="673273D9">
            <w:pPr>
              <w:widowControl/>
              <w:spacing w:line="28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847" w:type="pct"/>
            <w:noWrap/>
            <w:vAlign w:val="center"/>
          </w:tcPr>
          <w:p w14:paraId="106BA5B3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白色念珠菌</w:t>
            </w:r>
          </w:p>
        </w:tc>
        <w:tc>
          <w:tcPr>
            <w:tcW w:w="980" w:type="pct"/>
            <w:noWrap/>
            <w:vAlign w:val="center"/>
          </w:tcPr>
          <w:p w14:paraId="4BFA5E51">
            <w:pPr>
              <w:widowControl/>
              <w:spacing w:line="280" w:lineRule="exact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Candida albicans</w:t>
            </w:r>
          </w:p>
        </w:tc>
        <w:tc>
          <w:tcPr>
            <w:tcW w:w="926" w:type="pct"/>
            <w:noWrap/>
            <w:vAlign w:val="center"/>
          </w:tcPr>
          <w:p w14:paraId="27129EB6">
            <w:pPr>
              <w:widowControl/>
              <w:spacing w:line="280" w:lineRule="exact"/>
              <w:jc w:val="center"/>
              <w:rPr>
                <w:rFonts w:ascii="Times New Roman" w:hAnsi="Times New Roman" w:eastAsia="等线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000000"/>
                <w:sz w:val="18"/>
                <w:szCs w:val="18"/>
              </w:rPr>
              <w:t>CMCC(F)98001</w:t>
            </w:r>
          </w:p>
        </w:tc>
        <w:tc>
          <w:tcPr>
            <w:tcW w:w="895" w:type="pct"/>
            <w:noWrap w:val="0"/>
            <w:vAlign w:val="center"/>
          </w:tcPr>
          <w:p w14:paraId="4867C059">
            <w:pPr>
              <w:widowControl/>
              <w:spacing w:line="280" w:lineRule="exact"/>
              <w:jc w:val="center"/>
              <w:rPr>
                <w:rFonts w:ascii="Times New Roman" w:hAnsi="Times New Roman" w:eastAsia="等线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000000"/>
                <w:sz w:val="18"/>
                <w:szCs w:val="18"/>
              </w:rPr>
              <w:t>CICC 1965</w:t>
            </w:r>
          </w:p>
        </w:tc>
        <w:tc>
          <w:tcPr>
            <w:tcW w:w="887" w:type="pct"/>
            <w:noWrap w:val="0"/>
            <w:vAlign w:val="center"/>
          </w:tcPr>
          <w:p w14:paraId="6243E139">
            <w:pPr>
              <w:widowControl/>
              <w:spacing w:line="280" w:lineRule="exact"/>
              <w:jc w:val="center"/>
              <w:rPr>
                <w:rFonts w:ascii="Times New Roman" w:hAnsi="Times New Roman" w:eastAsia="等线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000000"/>
                <w:sz w:val="18"/>
                <w:szCs w:val="18"/>
              </w:rPr>
              <w:t>GDMCC 2.178</w:t>
            </w:r>
          </w:p>
        </w:tc>
      </w:tr>
      <w:tr w14:paraId="24109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62" w:type="pct"/>
            <w:noWrap/>
            <w:vAlign w:val="center"/>
          </w:tcPr>
          <w:p w14:paraId="50FF5E41">
            <w:pPr>
              <w:widowControl/>
              <w:spacing w:line="280" w:lineRule="exact"/>
              <w:jc w:val="center"/>
              <w:rPr>
                <w:rFonts w:ascii="Times New Roman" w:hAnsi="Times New Roman" w:eastAsia="等线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等线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7" w:type="pct"/>
            <w:noWrap/>
            <w:vAlign w:val="center"/>
          </w:tcPr>
          <w:p w14:paraId="1227A5CC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黑曲霉</w:t>
            </w:r>
          </w:p>
        </w:tc>
        <w:tc>
          <w:tcPr>
            <w:tcW w:w="980" w:type="pct"/>
            <w:noWrap/>
            <w:vAlign w:val="center"/>
          </w:tcPr>
          <w:p w14:paraId="27E9E32F">
            <w:pPr>
              <w:widowControl/>
              <w:spacing w:line="280" w:lineRule="exact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Aspergillus niger</w:t>
            </w:r>
          </w:p>
        </w:tc>
        <w:tc>
          <w:tcPr>
            <w:tcW w:w="926" w:type="pct"/>
            <w:noWrap w:val="0"/>
            <w:vAlign w:val="center"/>
          </w:tcPr>
          <w:p w14:paraId="200BE4AD">
            <w:pPr>
              <w:widowControl/>
              <w:spacing w:line="280" w:lineRule="exact"/>
              <w:jc w:val="center"/>
              <w:rPr>
                <w:rFonts w:ascii="Times New Roman" w:hAnsi="Times New Roman" w:eastAsia="等线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000000"/>
                <w:sz w:val="18"/>
                <w:szCs w:val="18"/>
              </w:rPr>
              <w:t>CMCC(F)98003</w:t>
            </w:r>
          </w:p>
        </w:tc>
        <w:tc>
          <w:tcPr>
            <w:tcW w:w="895" w:type="pct"/>
            <w:noWrap w:val="0"/>
            <w:vAlign w:val="center"/>
          </w:tcPr>
          <w:p w14:paraId="0315E27C">
            <w:pPr>
              <w:widowControl/>
              <w:spacing w:line="280" w:lineRule="exact"/>
              <w:jc w:val="center"/>
              <w:rPr>
                <w:rFonts w:ascii="Times New Roman" w:hAnsi="Times New Roman" w:eastAsia="等线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000000"/>
                <w:sz w:val="18"/>
                <w:szCs w:val="18"/>
              </w:rPr>
              <w:t>CICC 2487</w:t>
            </w:r>
          </w:p>
        </w:tc>
        <w:tc>
          <w:tcPr>
            <w:tcW w:w="887" w:type="pct"/>
            <w:noWrap w:val="0"/>
            <w:vAlign w:val="center"/>
          </w:tcPr>
          <w:p w14:paraId="7B55110D">
            <w:pPr>
              <w:widowControl/>
              <w:spacing w:line="280" w:lineRule="exact"/>
              <w:jc w:val="center"/>
              <w:rPr>
                <w:rFonts w:ascii="Times New Roman" w:hAnsi="Times New Roman" w:eastAsia="等线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000000"/>
                <w:sz w:val="18"/>
                <w:szCs w:val="18"/>
              </w:rPr>
              <w:t>GDMCC 3.516</w:t>
            </w:r>
          </w:p>
        </w:tc>
      </w:tr>
      <w:tr w14:paraId="53FA5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6"/>
            <w:noWrap/>
            <w:vAlign w:val="center"/>
          </w:tcPr>
          <w:p w14:paraId="370E3C6E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a：同一序号菌种</w:t>
            </w:r>
            <w:r>
              <w:rPr>
                <w:rFonts w:hint="eastAsia" w:ascii="Times New Roman" w:hAnsi="Times New Roman"/>
                <w:sz w:val="18"/>
                <w:szCs w:val="18"/>
              </w:rPr>
              <w:t>的</w:t>
            </w:r>
            <w:r>
              <w:rPr>
                <w:rFonts w:ascii="Times New Roman" w:hAnsi="Times New Roman"/>
                <w:sz w:val="18"/>
                <w:szCs w:val="18"/>
              </w:rPr>
              <w:t>不同编号为同一株菌在</w:t>
            </w:r>
            <w:r>
              <w:rPr>
                <w:rFonts w:hint="eastAsia" w:ascii="Times New Roman" w:hAnsi="Times New Roman"/>
                <w:sz w:val="18"/>
                <w:szCs w:val="18"/>
              </w:rPr>
              <w:t>不同</w:t>
            </w:r>
            <w:r>
              <w:rPr>
                <w:rFonts w:ascii="Times New Roman" w:hAnsi="Times New Roman"/>
                <w:sz w:val="18"/>
                <w:szCs w:val="18"/>
              </w:rPr>
              <w:t>菌种保藏管理</w:t>
            </w:r>
            <w:r>
              <w:rPr>
                <w:rFonts w:hint="eastAsia" w:ascii="Times New Roman" w:hAnsi="Times New Roman"/>
                <w:sz w:val="18"/>
                <w:szCs w:val="18"/>
              </w:rPr>
              <w:t>机构</w:t>
            </w:r>
            <w:r>
              <w:rPr>
                <w:rFonts w:ascii="Times New Roman" w:hAnsi="Times New Roman"/>
                <w:sz w:val="18"/>
                <w:szCs w:val="18"/>
              </w:rPr>
              <w:t>同时注册获得</w:t>
            </w:r>
            <w:r>
              <w:rPr>
                <w:rFonts w:hint="eastAsia" w:ascii="Times New Roman" w:hAnsi="Times New Roman"/>
                <w:sz w:val="18"/>
                <w:szCs w:val="18"/>
              </w:rPr>
              <w:t>；</w:t>
            </w:r>
          </w:p>
          <w:p w14:paraId="7CA20C2C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b：CMCC代表中国医学细菌保藏管理中心；</w:t>
            </w:r>
          </w:p>
          <w:p w14:paraId="42108FDA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c：CICC代表中国工业微生物菌种保藏管理中心；</w:t>
            </w:r>
          </w:p>
          <w:p w14:paraId="3FAAC20B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d：GDMCC代表广东省微生物菌种保藏管理中心</w:t>
            </w:r>
            <w:r>
              <w:rPr>
                <w:rFonts w:hint="eastAsia" w:ascii="Times New Roman" w:hAnsi="Times New Roman"/>
                <w:sz w:val="18"/>
                <w:szCs w:val="18"/>
              </w:rPr>
              <w:t>。</w:t>
            </w:r>
          </w:p>
        </w:tc>
      </w:tr>
    </w:tbl>
    <w:p w14:paraId="1E91EF20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863089"/>
    <w:rsid w:val="6986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2026-11-02T08:46:00Z</dcterms:created>
  <dc:creator>YU</dc:creator>
  <cp:lastModifiedBy>YU</cp:lastModifiedBy>
  <dcterms:modified xsi:type="dcterms:W3CDTF">2026-11-02T08:46:31Z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69FA31FBFC37422C8B08177C141F7517_11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