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C5D65C">
      <w:pPr>
        <w:tabs>
          <w:tab w:val="right" w:leader="dot" w:pos="8844"/>
        </w:tabs>
        <w:spacing w:before="156" w:after="156" w:line="300" w:lineRule="auto"/>
        <w:jc w:val="both"/>
        <w:outlineLvl w:val="1"/>
        <w:rPr>
          <w:rFonts w:hint="eastAsia" w:ascii="黑体" w:hAnsi="黑体" w:eastAsia="黑体"/>
          <w:sz w:val="32"/>
          <w:szCs w:val="32"/>
        </w:rPr>
      </w:pPr>
      <w:bookmarkStart w:id="0" w:name="_Hlk194351614"/>
      <w:r>
        <w:rPr>
          <w:rFonts w:hint="eastAsia" w:ascii="黑体" w:hAnsi="黑体" w:eastAsia="黑体"/>
          <w:sz w:val="32"/>
          <w:szCs w:val="32"/>
        </w:rPr>
        <w:t>附件7</w:t>
      </w:r>
    </w:p>
    <w:p w14:paraId="0A87534B">
      <w:pPr>
        <w:tabs>
          <w:tab w:val="right" w:leader="dot" w:pos="8844"/>
        </w:tabs>
        <w:spacing w:before="156" w:after="156" w:line="300" w:lineRule="auto"/>
        <w:jc w:val="center"/>
        <w:outlineLvl w:val="1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化妆品中洋葱伯克霍尔德菌群</w:t>
      </w:r>
      <w:bookmarkEnd w:id="0"/>
      <w:r>
        <w:rPr>
          <w:rFonts w:hint="eastAsia" w:ascii="黑体" w:hAnsi="黑体" w:eastAsia="黑体"/>
          <w:sz w:val="32"/>
          <w:szCs w:val="32"/>
        </w:rPr>
        <w:t>的检验方法</w:t>
      </w:r>
    </w:p>
    <w:p w14:paraId="5A1834D2">
      <w:pPr>
        <w:spacing w:before="156" w:after="156" w:line="300" w:lineRule="auto"/>
        <w:jc w:val="center"/>
        <w:rPr>
          <w:rFonts w:ascii="Times New Roman" w:hAnsi="Times New Roman"/>
          <w:kern w:val="0"/>
          <w:szCs w:val="21"/>
        </w:rPr>
      </w:pPr>
      <w:r>
        <w:rPr>
          <w:rFonts w:hint="eastAsia" w:ascii="Times New Roman" w:hAnsi="Times New Roman"/>
          <w:kern w:val="0"/>
          <w:szCs w:val="21"/>
        </w:rPr>
        <w:t>Detection of</w:t>
      </w:r>
      <w:r>
        <w:rPr>
          <w:rFonts w:ascii="Times New Roman" w:hAnsi="Times New Roman"/>
          <w:kern w:val="0"/>
          <w:szCs w:val="21"/>
        </w:rPr>
        <w:t xml:space="preserve"> </w:t>
      </w:r>
      <w:r>
        <w:rPr>
          <w:rFonts w:ascii="Times New Roman" w:hAnsi="Times New Roman"/>
          <w:i/>
          <w:iCs/>
          <w:kern w:val="0"/>
          <w:szCs w:val="21"/>
        </w:rPr>
        <w:t>Burkholderia cepacia</w:t>
      </w:r>
      <w:r>
        <w:rPr>
          <w:rFonts w:ascii="Times New Roman" w:hAnsi="Times New Roman"/>
          <w:kern w:val="0"/>
          <w:szCs w:val="21"/>
        </w:rPr>
        <w:t xml:space="preserve"> Complex in Cosmetics</w:t>
      </w:r>
    </w:p>
    <w:p w14:paraId="4C040437">
      <w:pPr>
        <w:keepNext/>
        <w:keepLines/>
        <w:spacing w:before="156" w:beforeLines="50" w:after="156" w:afterLines="50" w:line="300" w:lineRule="auto"/>
        <w:jc w:val="left"/>
        <w:outlineLvl w:val="2"/>
        <w:rPr>
          <w:rFonts w:ascii="Times New Roman" w:hAnsi="Times New Roman" w:eastAsia="黑体"/>
          <w:bCs/>
          <w:kern w:val="0"/>
          <w:szCs w:val="32"/>
        </w:rPr>
      </w:pPr>
      <w:r>
        <w:rPr>
          <w:rFonts w:ascii="Times New Roman" w:hAnsi="Times New Roman" w:eastAsia="黑体"/>
          <w:bCs/>
          <w:kern w:val="0"/>
          <w:szCs w:val="32"/>
        </w:rPr>
        <w:t>1  范围</w:t>
      </w:r>
    </w:p>
    <w:p w14:paraId="014287AC">
      <w:pPr>
        <w:spacing w:line="300" w:lineRule="auto"/>
        <w:ind w:firstLine="420"/>
        <w:rPr>
          <w:kern w:val="0"/>
          <w:szCs w:val="21"/>
        </w:rPr>
      </w:pPr>
      <w:r>
        <w:rPr>
          <w:kern w:val="0"/>
          <w:szCs w:val="21"/>
        </w:rPr>
        <w:t>本</w:t>
      </w:r>
      <w:r>
        <w:rPr>
          <w:rFonts w:hint="eastAsia"/>
          <w:kern w:val="0"/>
          <w:szCs w:val="21"/>
        </w:rPr>
        <w:t>方法</w:t>
      </w:r>
      <w:r>
        <w:rPr>
          <w:kern w:val="0"/>
          <w:szCs w:val="21"/>
        </w:rPr>
        <w:t>规定了</w:t>
      </w:r>
      <w:r>
        <w:rPr>
          <w:rFonts w:hint="eastAsia"/>
          <w:kern w:val="0"/>
          <w:szCs w:val="21"/>
        </w:rPr>
        <w:t>化妆品</w:t>
      </w:r>
      <w:r>
        <w:rPr>
          <w:kern w:val="0"/>
          <w:szCs w:val="21"/>
        </w:rPr>
        <w:t>中</w:t>
      </w:r>
      <w:r>
        <w:rPr>
          <w:rFonts w:hint="eastAsia"/>
          <w:kern w:val="0"/>
          <w:szCs w:val="21"/>
        </w:rPr>
        <w:t>洋葱伯克霍尔德菌群</w:t>
      </w:r>
      <w:r>
        <w:rPr>
          <w:kern w:val="0"/>
          <w:szCs w:val="21"/>
        </w:rPr>
        <w:t>的检验方法。</w:t>
      </w:r>
    </w:p>
    <w:p w14:paraId="693E91D3">
      <w:pPr>
        <w:spacing w:line="300" w:lineRule="auto"/>
        <w:ind w:firstLine="420"/>
        <w:rPr>
          <w:kern w:val="0"/>
          <w:szCs w:val="21"/>
        </w:rPr>
      </w:pPr>
      <w:r>
        <w:rPr>
          <w:kern w:val="0"/>
          <w:szCs w:val="21"/>
        </w:rPr>
        <w:t>本</w:t>
      </w:r>
      <w:r>
        <w:rPr>
          <w:rFonts w:hint="eastAsia"/>
          <w:kern w:val="0"/>
          <w:szCs w:val="21"/>
        </w:rPr>
        <w:t>方法</w:t>
      </w:r>
      <w:r>
        <w:rPr>
          <w:kern w:val="0"/>
          <w:szCs w:val="21"/>
        </w:rPr>
        <w:t>适用于</w:t>
      </w:r>
      <w:r>
        <w:rPr>
          <w:rFonts w:hint="eastAsia"/>
          <w:kern w:val="0"/>
          <w:szCs w:val="21"/>
        </w:rPr>
        <w:t>化妆品</w:t>
      </w:r>
      <w:r>
        <w:rPr>
          <w:kern w:val="0"/>
          <w:szCs w:val="21"/>
        </w:rPr>
        <w:t>中</w:t>
      </w:r>
      <w:r>
        <w:rPr>
          <w:rFonts w:hint="eastAsia"/>
          <w:kern w:val="0"/>
          <w:szCs w:val="21"/>
        </w:rPr>
        <w:t>洋葱伯克霍尔德菌群</w:t>
      </w:r>
      <w:r>
        <w:rPr>
          <w:kern w:val="0"/>
          <w:szCs w:val="21"/>
        </w:rPr>
        <w:t>的检验。</w:t>
      </w:r>
    </w:p>
    <w:p w14:paraId="5B4F5099">
      <w:pPr>
        <w:keepNext/>
        <w:keepLines/>
        <w:spacing w:before="156" w:beforeLines="50" w:after="156" w:afterLines="50" w:line="300" w:lineRule="auto"/>
        <w:jc w:val="left"/>
        <w:outlineLvl w:val="2"/>
        <w:rPr>
          <w:rFonts w:ascii="Times New Roman" w:hAnsi="Times New Roman" w:eastAsia="黑体"/>
          <w:bCs/>
          <w:kern w:val="0"/>
          <w:szCs w:val="32"/>
        </w:rPr>
      </w:pPr>
      <w:r>
        <w:rPr>
          <w:rFonts w:ascii="Times New Roman" w:hAnsi="Times New Roman" w:eastAsia="黑体"/>
          <w:bCs/>
          <w:kern w:val="0"/>
          <w:szCs w:val="32"/>
        </w:rPr>
        <w:t>2  定义</w:t>
      </w:r>
    </w:p>
    <w:p w14:paraId="7F388C3C">
      <w:pPr>
        <w:spacing w:line="300" w:lineRule="auto"/>
        <w:ind w:firstLine="420"/>
        <w:rPr>
          <w:kern w:val="0"/>
          <w:szCs w:val="21"/>
        </w:rPr>
      </w:pPr>
      <w:bookmarkStart w:id="1" w:name="OLE_LINK275"/>
      <w:bookmarkStart w:id="2" w:name="OLE_LINK274"/>
      <w:r>
        <w:rPr>
          <w:rFonts w:hint="eastAsia"/>
          <w:kern w:val="0"/>
          <w:szCs w:val="21"/>
        </w:rPr>
        <w:t xml:space="preserve">洋葱伯克霍尔德菌群  </w:t>
      </w:r>
      <w:r>
        <w:rPr>
          <w:rFonts w:ascii="Times New Roman" w:hAnsi="Times New Roman"/>
          <w:i/>
          <w:iCs/>
          <w:kern w:val="0"/>
          <w:szCs w:val="21"/>
        </w:rPr>
        <w:t>Burkholderia cepacia</w:t>
      </w:r>
      <w:r>
        <w:rPr>
          <w:rFonts w:ascii="Times New Roman" w:hAnsi="Times New Roman"/>
          <w:kern w:val="0"/>
          <w:szCs w:val="21"/>
        </w:rPr>
        <w:t xml:space="preserve"> complex</w:t>
      </w:r>
    </w:p>
    <w:p w14:paraId="60D4A678">
      <w:pPr>
        <w:spacing w:line="300" w:lineRule="auto"/>
        <w:ind w:firstLine="420"/>
        <w:rPr>
          <w:kern w:val="0"/>
          <w:szCs w:val="21"/>
        </w:rPr>
      </w:pPr>
      <w:r>
        <w:rPr>
          <w:rFonts w:hint="eastAsia"/>
          <w:kern w:val="0"/>
          <w:szCs w:val="21"/>
        </w:rPr>
        <w:t>为需氧非发酵的</w:t>
      </w:r>
      <w:r>
        <w:rPr>
          <w:kern w:val="0"/>
          <w:szCs w:val="21"/>
        </w:rPr>
        <w:t>革兰氏阴性</w:t>
      </w:r>
      <w:r>
        <w:rPr>
          <w:rFonts w:hint="eastAsia"/>
          <w:kern w:val="0"/>
          <w:szCs w:val="21"/>
        </w:rPr>
        <w:t>杆</w:t>
      </w:r>
      <w:r>
        <w:rPr>
          <w:kern w:val="0"/>
          <w:szCs w:val="21"/>
        </w:rPr>
        <w:t>菌，</w:t>
      </w:r>
      <w:r>
        <w:rPr>
          <w:rFonts w:hint="eastAsia"/>
          <w:kern w:val="0"/>
          <w:szCs w:val="21"/>
        </w:rPr>
        <w:t>借助极生鞭毛进行运动。由多种表型近似，但基因型存在差异的菌种组成，代表菌种为洋葱伯克霍尔德菌。</w:t>
      </w:r>
    </w:p>
    <w:p w14:paraId="16D40D0C">
      <w:pPr>
        <w:spacing w:line="300" w:lineRule="auto"/>
        <w:ind w:firstLine="420"/>
        <w:rPr>
          <w:kern w:val="0"/>
          <w:szCs w:val="21"/>
        </w:rPr>
      </w:pPr>
      <w:r>
        <w:rPr>
          <w:rFonts w:hint="eastAsia"/>
          <w:kern w:val="0"/>
          <w:szCs w:val="21"/>
        </w:rPr>
        <w:t>注：</w:t>
      </w:r>
      <w:r>
        <w:rPr>
          <w:rFonts w:hint="eastAsia" w:ascii="宋体" w:hAnsi="宋体"/>
          <w:kern w:val="0"/>
          <w:szCs w:val="21"/>
        </w:rPr>
        <w:t>洋葱伯克霍尔德菌群已分类命名的种可参考附录A。</w:t>
      </w:r>
    </w:p>
    <w:bookmarkEnd w:id="1"/>
    <w:bookmarkEnd w:id="2"/>
    <w:p w14:paraId="3263D409">
      <w:pPr>
        <w:keepNext/>
        <w:keepLines/>
        <w:spacing w:before="156" w:beforeLines="50" w:after="156" w:afterLines="50" w:line="300" w:lineRule="auto"/>
        <w:jc w:val="left"/>
        <w:outlineLvl w:val="2"/>
        <w:rPr>
          <w:rFonts w:ascii="Times New Roman" w:hAnsi="Times New Roman" w:eastAsia="黑体"/>
          <w:bCs/>
          <w:kern w:val="0"/>
          <w:szCs w:val="32"/>
        </w:rPr>
      </w:pPr>
      <w:bookmarkStart w:id="3" w:name="_Toc91679064"/>
      <w:r>
        <w:rPr>
          <w:rFonts w:hint="eastAsia" w:ascii="Times New Roman" w:hAnsi="Times New Roman" w:eastAsia="黑体"/>
          <w:bCs/>
          <w:kern w:val="0"/>
          <w:szCs w:val="32"/>
        </w:rPr>
        <w:t>3</w:t>
      </w:r>
      <w:r>
        <w:rPr>
          <w:rFonts w:ascii="Times New Roman" w:hAnsi="Times New Roman" w:eastAsia="黑体"/>
          <w:bCs/>
          <w:kern w:val="0"/>
          <w:szCs w:val="32"/>
        </w:rPr>
        <w:t xml:space="preserve">  </w:t>
      </w:r>
      <w:bookmarkEnd w:id="3"/>
      <w:r>
        <w:rPr>
          <w:rFonts w:hint="eastAsia" w:ascii="Times New Roman" w:hAnsi="Times New Roman" w:eastAsia="黑体"/>
          <w:bCs/>
          <w:kern w:val="0"/>
          <w:szCs w:val="32"/>
        </w:rPr>
        <w:t>仪器和设备</w:t>
      </w:r>
    </w:p>
    <w:p w14:paraId="4E15D8D9">
      <w:pPr>
        <w:spacing w:before="156" w:beforeLines="50" w:after="156" w:afterLines="50" w:line="300" w:lineRule="auto"/>
        <w:ind w:firstLine="480"/>
        <w:rPr>
          <w:rFonts w:ascii="Times New Roman" w:hAnsi="Times New Roman"/>
          <w:kern w:val="0"/>
          <w:szCs w:val="21"/>
        </w:rPr>
      </w:pPr>
      <w:r>
        <w:rPr>
          <w:rFonts w:hint="eastAsia" w:ascii="Times New Roman" w:hAnsi="Times New Roman"/>
          <w:kern w:val="0"/>
          <w:szCs w:val="21"/>
        </w:rPr>
        <w:t>除微生物实验室常规灭菌及培养设备外，其他设备和材料如下：</w:t>
      </w:r>
    </w:p>
    <w:p w14:paraId="6092D526">
      <w:pPr>
        <w:spacing w:before="156" w:beforeLines="50" w:after="156" w:afterLines="50" w:line="300" w:lineRule="auto"/>
        <w:rPr>
          <w:rFonts w:ascii="Times New Roman" w:hAnsi="Times New Roman"/>
          <w:kern w:val="0"/>
          <w:szCs w:val="21"/>
        </w:rPr>
      </w:pPr>
      <w:r>
        <w:rPr>
          <w:rFonts w:hint="eastAsia" w:ascii="Times New Roman" w:hAnsi="Times New Roman"/>
          <w:kern w:val="0"/>
          <w:szCs w:val="21"/>
        </w:rPr>
        <w:t>3</w:t>
      </w:r>
      <w:r>
        <w:rPr>
          <w:rFonts w:ascii="Times New Roman" w:hAnsi="Times New Roman"/>
          <w:kern w:val="0"/>
          <w:szCs w:val="21"/>
        </w:rPr>
        <w:t>.1  恒温培养箱：</w:t>
      </w:r>
      <w:r>
        <w:rPr>
          <w:rFonts w:ascii="Times New Roman" w:hAnsi="Times New Roman"/>
          <w:szCs w:val="21"/>
        </w:rPr>
        <w:t>36</w:t>
      </w:r>
      <w:r>
        <w:rPr>
          <w:rFonts w:ascii="Times New Roman" w:hAnsi="Times New Roman" w:eastAsia="仿宋_GB2312"/>
          <w:szCs w:val="21"/>
        </w:rPr>
        <w:t>±</w:t>
      </w:r>
      <w:r>
        <w:rPr>
          <w:rFonts w:ascii="Times New Roman" w:hAnsi="Times New Roman"/>
          <w:szCs w:val="21"/>
        </w:rPr>
        <w:t>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kern w:val="0"/>
          <w:szCs w:val="21"/>
        </w:rPr>
        <w:t>℃。</w:t>
      </w:r>
    </w:p>
    <w:p w14:paraId="558815FB">
      <w:pPr>
        <w:spacing w:before="156" w:beforeLines="50" w:after="156" w:afterLines="50" w:line="300" w:lineRule="auto"/>
        <w:rPr>
          <w:rFonts w:ascii="Times New Roman" w:hAnsi="Times New Roman"/>
          <w:kern w:val="0"/>
          <w:szCs w:val="21"/>
        </w:rPr>
      </w:pPr>
      <w:r>
        <w:rPr>
          <w:rFonts w:hint="eastAsia" w:ascii="Times New Roman" w:hAnsi="Times New Roman"/>
          <w:kern w:val="0"/>
          <w:szCs w:val="21"/>
        </w:rPr>
        <w:t>3</w:t>
      </w:r>
      <w:r>
        <w:rPr>
          <w:rFonts w:ascii="Times New Roman" w:hAnsi="Times New Roman"/>
          <w:kern w:val="0"/>
          <w:szCs w:val="21"/>
        </w:rPr>
        <w:t>.2  冰箱：2~8</w:t>
      </w:r>
      <w:r>
        <w:rPr>
          <w:rFonts w:hint="eastAsia" w:ascii="Times New Roman" w:hAnsi="Times New Roman"/>
          <w:kern w:val="0"/>
          <w:szCs w:val="21"/>
        </w:rPr>
        <w:t xml:space="preserve"> </w:t>
      </w:r>
      <w:r>
        <w:rPr>
          <w:rFonts w:ascii="Times New Roman" w:hAnsi="Times New Roman"/>
          <w:kern w:val="0"/>
          <w:szCs w:val="21"/>
        </w:rPr>
        <w:t>℃。</w:t>
      </w:r>
    </w:p>
    <w:p w14:paraId="5DD5DF27">
      <w:pPr>
        <w:spacing w:before="156" w:beforeLines="50" w:after="156" w:afterLines="50" w:line="300" w:lineRule="auto"/>
        <w:rPr>
          <w:rFonts w:ascii="Times New Roman" w:hAnsi="Times New Roman"/>
          <w:kern w:val="0"/>
          <w:szCs w:val="21"/>
        </w:rPr>
      </w:pPr>
      <w:r>
        <w:rPr>
          <w:rFonts w:hint="eastAsia" w:ascii="Times New Roman" w:hAnsi="Times New Roman"/>
          <w:kern w:val="0"/>
          <w:szCs w:val="21"/>
        </w:rPr>
        <w:t>3</w:t>
      </w:r>
      <w:r>
        <w:rPr>
          <w:rFonts w:ascii="Times New Roman" w:hAnsi="Times New Roman"/>
          <w:kern w:val="0"/>
          <w:szCs w:val="21"/>
        </w:rPr>
        <w:t>.3  恒温水浴箱。</w:t>
      </w:r>
    </w:p>
    <w:p w14:paraId="7E48FACF">
      <w:pPr>
        <w:spacing w:before="156" w:beforeLines="50" w:after="156" w:afterLines="50" w:line="300" w:lineRule="auto"/>
        <w:rPr>
          <w:rFonts w:ascii="Times New Roman" w:hAnsi="Times New Roman"/>
          <w:kern w:val="0"/>
          <w:szCs w:val="21"/>
        </w:rPr>
      </w:pPr>
      <w:r>
        <w:rPr>
          <w:rFonts w:hint="eastAsia" w:ascii="Times New Roman" w:hAnsi="Times New Roman"/>
          <w:kern w:val="0"/>
          <w:szCs w:val="21"/>
        </w:rPr>
        <w:t>3</w:t>
      </w:r>
      <w:r>
        <w:rPr>
          <w:rFonts w:ascii="Times New Roman" w:hAnsi="Times New Roman"/>
          <w:kern w:val="0"/>
          <w:szCs w:val="21"/>
        </w:rPr>
        <w:t>.4  天平：</w:t>
      </w:r>
      <w:r>
        <w:rPr>
          <w:rFonts w:hint="eastAsia" w:ascii="Times New Roman" w:hAnsi="Times New Roman"/>
          <w:kern w:val="0"/>
          <w:szCs w:val="21"/>
        </w:rPr>
        <w:t>显示分度值</w:t>
      </w:r>
      <w:r>
        <w:rPr>
          <w:rFonts w:ascii="Times New Roman" w:hAnsi="Times New Roman"/>
          <w:kern w:val="0"/>
          <w:szCs w:val="21"/>
        </w:rPr>
        <w:t>为0.1 g。</w:t>
      </w:r>
    </w:p>
    <w:p w14:paraId="7AC10412">
      <w:pPr>
        <w:spacing w:before="156" w:beforeLines="50" w:after="156" w:afterLines="50" w:line="300" w:lineRule="auto"/>
        <w:rPr>
          <w:rFonts w:ascii="Times New Roman" w:hAnsi="Times New Roman"/>
          <w:kern w:val="0"/>
          <w:szCs w:val="21"/>
        </w:rPr>
      </w:pPr>
      <w:r>
        <w:rPr>
          <w:rFonts w:hint="eastAsia" w:ascii="Times New Roman" w:hAnsi="Times New Roman"/>
          <w:kern w:val="0"/>
          <w:szCs w:val="21"/>
        </w:rPr>
        <w:t>3</w:t>
      </w:r>
      <w:r>
        <w:rPr>
          <w:rFonts w:ascii="Times New Roman" w:hAnsi="Times New Roman"/>
          <w:kern w:val="0"/>
          <w:szCs w:val="21"/>
        </w:rPr>
        <w:t xml:space="preserve">.5  </w:t>
      </w:r>
      <w:r>
        <w:rPr>
          <w:rFonts w:hint="eastAsia" w:ascii="Times New Roman" w:hAnsi="Times New Roman"/>
          <w:kern w:val="0"/>
          <w:szCs w:val="21"/>
        </w:rPr>
        <w:t>均质器及无菌均质袋或无菌均质杯。</w:t>
      </w:r>
    </w:p>
    <w:p w14:paraId="0B0B1A95">
      <w:pPr>
        <w:spacing w:before="156" w:beforeLines="50" w:after="156" w:afterLines="50" w:line="300" w:lineRule="auto"/>
        <w:rPr>
          <w:rFonts w:ascii="Times New Roman" w:hAnsi="Times New Roman"/>
          <w:kern w:val="0"/>
          <w:szCs w:val="21"/>
        </w:rPr>
      </w:pPr>
      <w:r>
        <w:rPr>
          <w:rFonts w:hint="eastAsia" w:ascii="Times New Roman" w:hAnsi="Times New Roman"/>
          <w:kern w:val="0"/>
          <w:szCs w:val="21"/>
        </w:rPr>
        <w:t>3</w:t>
      </w:r>
      <w:r>
        <w:rPr>
          <w:rFonts w:ascii="Times New Roman" w:hAnsi="Times New Roman"/>
          <w:kern w:val="0"/>
          <w:szCs w:val="21"/>
        </w:rPr>
        <w:t>.6  无菌吸管：1 mL（具0.01 mL刻度）、10 mL（具0.1</w:t>
      </w:r>
      <w:r>
        <w:rPr>
          <w:rFonts w:hint="eastAsia" w:ascii="Times New Roman" w:hAnsi="Times New Roman"/>
          <w:kern w:val="0"/>
          <w:szCs w:val="21"/>
        </w:rPr>
        <w:t xml:space="preserve"> </w:t>
      </w:r>
      <w:r>
        <w:rPr>
          <w:rFonts w:ascii="Times New Roman" w:hAnsi="Times New Roman"/>
          <w:kern w:val="0"/>
          <w:szCs w:val="21"/>
        </w:rPr>
        <w:t>mL刻度）或微量移液器及配套无菌吸头。</w:t>
      </w:r>
    </w:p>
    <w:p w14:paraId="36B58F04">
      <w:pPr>
        <w:spacing w:before="156" w:beforeLines="50" w:after="156" w:afterLines="50" w:line="300" w:lineRule="auto"/>
        <w:rPr>
          <w:rFonts w:ascii="Times New Roman" w:hAnsi="Times New Roman"/>
          <w:kern w:val="0"/>
          <w:szCs w:val="21"/>
        </w:rPr>
      </w:pPr>
      <w:r>
        <w:rPr>
          <w:rFonts w:hint="eastAsia" w:ascii="Times New Roman" w:hAnsi="Times New Roman"/>
          <w:kern w:val="0"/>
          <w:szCs w:val="21"/>
        </w:rPr>
        <w:t>3</w:t>
      </w:r>
      <w:r>
        <w:rPr>
          <w:rFonts w:ascii="Times New Roman" w:hAnsi="Times New Roman"/>
          <w:kern w:val="0"/>
          <w:szCs w:val="21"/>
        </w:rPr>
        <w:t>.</w:t>
      </w:r>
      <w:r>
        <w:rPr>
          <w:rFonts w:hint="eastAsia" w:ascii="Times New Roman" w:hAnsi="Times New Roman"/>
          <w:kern w:val="0"/>
          <w:szCs w:val="21"/>
        </w:rPr>
        <w:t>7</w:t>
      </w:r>
      <w:r>
        <w:rPr>
          <w:rFonts w:ascii="Times New Roman" w:hAnsi="Times New Roman"/>
          <w:kern w:val="0"/>
          <w:szCs w:val="21"/>
        </w:rPr>
        <w:t xml:space="preserve">  </w:t>
      </w:r>
      <w:r>
        <w:rPr>
          <w:rFonts w:hint="eastAsia" w:ascii="Times New Roman" w:hAnsi="Times New Roman"/>
          <w:kern w:val="0"/>
          <w:szCs w:val="21"/>
        </w:rPr>
        <w:t>无菌锥形</w:t>
      </w:r>
      <w:r>
        <w:rPr>
          <w:rFonts w:ascii="Times New Roman" w:hAnsi="Times New Roman"/>
          <w:kern w:val="0"/>
          <w:szCs w:val="21"/>
        </w:rPr>
        <w:t>瓶</w:t>
      </w:r>
      <w:r>
        <w:rPr>
          <w:rFonts w:hint="eastAsia" w:ascii="Times New Roman" w:hAnsi="Times New Roman"/>
          <w:kern w:val="0"/>
          <w:szCs w:val="21"/>
        </w:rPr>
        <w:t>：容量</w:t>
      </w:r>
      <w:r>
        <w:rPr>
          <w:rFonts w:ascii="Times New Roman" w:hAnsi="Times New Roman"/>
          <w:kern w:val="0"/>
          <w:szCs w:val="21"/>
        </w:rPr>
        <w:t>250 mL、150 mL、100 mL。</w:t>
      </w:r>
    </w:p>
    <w:p w14:paraId="04E1B5DE">
      <w:pPr>
        <w:spacing w:before="156" w:beforeLines="50" w:after="156" w:afterLines="50" w:line="300" w:lineRule="auto"/>
        <w:rPr>
          <w:rFonts w:ascii="Times New Roman" w:hAnsi="Times New Roman"/>
          <w:kern w:val="0"/>
          <w:szCs w:val="21"/>
        </w:rPr>
      </w:pPr>
      <w:r>
        <w:rPr>
          <w:rFonts w:hint="eastAsia" w:ascii="Times New Roman" w:hAnsi="Times New Roman"/>
          <w:kern w:val="0"/>
          <w:szCs w:val="21"/>
        </w:rPr>
        <w:t>3</w:t>
      </w:r>
      <w:r>
        <w:rPr>
          <w:rFonts w:ascii="Times New Roman" w:hAnsi="Times New Roman"/>
          <w:kern w:val="0"/>
          <w:szCs w:val="21"/>
        </w:rPr>
        <w:t>.</w:t>
      </w:r>
      <w:r>
        <w:rPr>
          <w:rFonts w:hint="eastAsia" w:ascii="Times New Roman" w:hAnsi="Times New Roman"/>
          <w:kern w:val="0"/>
          <w:szCs w:val="21"/>
        </w:rPr>
        <w:t>8</w:t>
      </w:r>
      <w:r>
        <w:rPr>
          <w:rFonts w:ascii="Times New Roman" w:hAnsi="Times New Roman"/>
          <w:kern w:val="0"/>
          <w:szCs w:val="21"/>
        </w:rPr>
        <w:t xml:space="preserve">  灭菌培养皿：直径90 mm。</w:t>
      </w:r>
    </w:p>
    <w:p w14:paraId="2DF5CF02">
      <w:pPr>
        <w:spacing w:before="156" w:beforeLines="50" w:after="156" w:afterLines="50" w:line="300" w:lineRule="auto"/>
        <w:rPr>
          <w:rFonts w:ascii="Times New Roman" w:hAnsi="Times New Roman"/>
          <w:kern w:val="0"/>
          <w:szCs w:val="21"/>
        </w:rPr>
      </w:pPr>
      <w:r>
        <w:rPr>
          <w:rFonts w:hint="eastAsia" w:ascii="Times New Roman" w:hAnsi="Times New Roman"/>
          <w:kern w:val="0"/>
          <w:szCs w:val="21"/>
        </w:rPr>
        <w:t>3</w:t>
      </w:r>
      <w:r>
        <w:rPr>
          <w:rFonts w:ascii="Times New Roman" w:hAnsi="Times New Roman"/>
          <w:kern w:val="0"/>
          <w:szCs w:val="21"/>
        </w:rPr>
        <w:t>.</w:t>
      </w:r>
      <w:r>
        <w:rPr>
          <w:rFonts w:hint="eastAsia" w:ascii="Times New Roman" w:hAnsi="Times New Roman"/>
          <w:kern w:val="0"/>
          <w:szCs w:val="21"/>
        </w:rPr>
        <w:t>9</w:t>
      </w:r>
      <w:r>
        <w:rPr>
          <w:rFonts w:ascii="Times New Roman" w:hAnsi="Times New Roman"/>
          <w:kern w:val="0"/>
          <w:szCs w:val="21"/>
        </w:rPr>
        <w:t xml:space="preserve"> </w:t>
      </w:r>
      <w:r>
        <w:rPr>
          <w:rFonts w:hint="eastAsia" w:ascii="Times New Roman" w:hAnsi="Times New Roman"/>
          <w:kern w:val="0"/>
          <w:szCs w:val="21"/>
        </w:rPr>
        <w:t xml:space="preserve"> </w:t>
      </w:r>
      <w:r>
        <w:rPr>
          <w:rFonts w:ascii="Times New Roman" w:hAnsi="Times New Roman"/>
          <w:kern w:val="0"/>
          <w:szCs w:val="21"/>
        </w:rPr>
        <w:t>pH计或pH比色管或精密pH试纸</w:t>
      </w:r>
      <w:r>
        <w:rPr>
          <w:rFonts w:hint="eastAsia" w:ascii="Times New Roman" w:hAnsi="Times New Roman"/>
          <w:kern w:val="0"/>
          <w:szCs w:val="21"/>
        </w:rPr>
        <w:t>。</w:t>
      </w:r>
    </w:p>
    <w:p w14:paraId="3BF1A9C8">
      <w:pPr>
        <w:spacing w:before="156" w:beforeLines="50" w:after="156" w:afterLines="50" w:line="300" w:lineRule="auto"/>
        <w:rPr>
          <w:rFonts w:ascii="Times New Roman" w:hAnsi="Times New Roman"/>
          <w:kern w:val="0"/>
          <w:szCs w:val="21"/>
        </w:rPr>
      </w:pPr>
      <w:r>
        <w:rPr>
          <w:rFonts w:hint="eastAsia" w:ascii="Times New Roman" w:hAnsi="Times New Roman"/>
          <w:kern w:val="0"/>
          <w:szCs w:val="21"/>
        </w:rPr>
        <w:t>3</w:t>
      </w:r>
      <w:r>
        <w:rPr>
          <w:rFonts w:ascii="Times New Roman" w:hAnsi="Times New Roman"/>
          <w:kern w:val="0"/>
          <w:szCs w:val="21"/>
        </w:rPr>
        <w:t>.</w:t>
      </w:r>
      <w:r>
        <w:rPr>
          <w:rFonts w:hint="eastAsia" w:ascii="Times New Roman" w:hAnsi="Times New Roman"/>
          <w:kern w:val="0"/>
          <w:szCs w:val="21"/>
        </w:rPr>
        <w:t xml:space="preserve">10  </w:t>
      </w:r>
      <w:r>
        <w:rPr>
          <w:rFonts w:ascii="Times New Roman" w:hAnsi="Times New Roman"/>
          <w:kern w:val="0"/>
          <w:szCs w:val="21"/>
        </w:rPr>
        <w:t>无菌试管。</w:t>
      </w:r>
    </w:p>
    <w:p w14:paraId="1A640B88">
      <w:pPr>
        <w:spacing w:before="156" w:beforeLines="50" w:after="156" w:afterLines="50" w:line="300" w:lineRule="auto"/>
        <w:rPr>
          <w:rFonts w:ascii="Times New Roman" w:hAnsi="Times New Roman"/>
          <w:kern w:val="0"/>
          <w:szCs w:val="21"/>
        </w:rPr>
      </w:pPr>
      <w:r>
        <w:rPr>
          <w:rFonts w:hint="eastAsia" w:ascii="Times New Roman" w:hAnsi="Times New Roman"/>
          <w:kern w:val="0"/>
          <w:szCs w:val="21"/>
        </w:rPr>
        <w:t>3</w:t>
      </w:r>
      <w:r>
        <w:rPr>
          <w:rFonts w:ascii="Times New Roman" w:hAnsi="Times New Roman"/>
          <w:kern w:val="0"/>
          <w:szCs w:val="21"/>
        </w:rPr>
        <w:t>.1</w:t>
      </w:r>
      <w:r>
        <w:rPr>
          <w:rFonts w:hint="eastAsia" w:ascii="Times New Roman" w:hAnsi="Times New Roman"/>
          <w:kern w:val="0"/>
          <w:szCs w:val="21"/>
        </w:rPr>
        <w:t>1</w:t>
      </w:r>
      <w:r>
        <w:rPr>
          <w:rFonts w:ascii="Times New Roman" w:hAnsi="Times New Roman"/>
          <w:kern w:val="0"/>
          <w:szCs w:val="21"/>
        </w:rPr>
        <w:t xml:space="preserve"> </w:t>
      </w:r>
      <w:r>
        <w:rPr>
          <w:rFonts w:hint="eastAsia" w:ascii="Times New Roman" w:hAnsi="Times New Roman"/>
          <w:kern w:val="0"/>
          <w:szCs w:val="21"/>
        </w:rPr>
        <w:t xml:space="preserve"> </w:t>
      </w:r>
      <w:r>
        <w:rPr>
          <w:rFonts w:ascii="Times New Roman" w:hAnsi="Times New Roman"/>
          <w:kern w:val="0"/>
          <w:szCs w:val="21"/>
        </w:rPr>
        <w:t>显微镜。</w:t>
      </w:r>
    </w:p>
    <w:p w14:paraId="09A82F7C">
      <w:pPr>
        <w:spacing w:before="156" w:beforeLines="50" w:after="156" w:afterLines="50" w:line="300" w:lineRule="auto"/>
        <w:rPr>
          <w:rFonts w:ascii="Times New Roman" w:hAnsi="Times New Roman"/>
          <w:kern w:val="0"/>
          <w:szCs w:val="21"/>
        </w:rPr>
      </w:pPr>
      <w:r>
        <w:rPr>
          <w:rFonts w:hint="eastAsia" w:ascii="Times New Roman" w:hAnsi="Times New Roman"/>
          <w:kern w:val="0"/>
          <w:szCs w:val="21"/>
        </w:rPr>
        <w:t>3</w:t>
      </w:r>
      <w:r>
        <w:rPr>
          <w:rFonts w:ascii="Times New Roman" w:hAnsi="Times New Roman"/>
          <w:kern w:val="0"/>
          <w:szCs w:val="21"/>
        </w:rPr>
        <w:t>.</w:t>
      </w:r>
      <w:r>
        <w:rPr>
          <w:rFonts w:hint="eastAsia" w:ascii="Times New Roman" w:hAnsi="Times New Roman"/>
          <w:kern w:val="0"/>
          <w:szCs w:val="21"/>
        </w:rPr>
        <w:t xml:space="preserve">12  </w:t>
      </w:r>
      <w:r>
        <w:rPr>
          <w:rFonts w:ascii="Times New Roman" w:hAnsi="Times New Roman"/>
          <w:kern w:val="0"/>
          <w:szCs w:val="21"/>
        </w:rPr>
        <w:t>载玻片</w:t>
      </w:r>
      <w:r>
        <w:rPr>
          <w:rFonts w:hint="eastAsia" w:ascii="Times New Roman" w:hAnsi="Times New Roman"/>
          <w:kern w:val="0"/>
          <w:szCs w:val="21"/>
        </w:rPr>
        <w:t>。</w:t>
      </w:r>
    </w:p>
    <w:p w14:paraId="53EF95CC">
      <w:pPr>
        <w:keepNext/>
        <w:keepLines/>
        <w:spacing w:before="156" w:beforeLines="50" w:after="156" w:afterLines="50" w:line="300" w:lineRule="auto"/>
        <w:jc w:val="left"/>
        <w:outlineLvl w:val="2"/>
        <w:rPr>
          <w:rFonts w:ascii="Times New Roman" w:hAnsi="Times New Roman" w:eastAsia="黑体"/>
          <w:bCs/>
          <w:kern w:val="0"/>
          <w:szCs w:val="32"/>
        </w:rPr>
      </w:pPr>
      <w:r>
        <w:rPr>
          <w:rFonts w:hint="eastAsia" w:ascii="Times New Roman" w:hAnsi="Times New Roman" w:eastAsia="黑体"/>
          <w:bCs/>
          <w:kern w:val="0"/>
          <w:szCs w:val="32"/>
        </w:rPr>
        <w:t>4</w:t>
      </w:r>
      <w:r>
        <w:rPr>
          <w:rFonts w:ascii="Times New Roman" w:hAnsi="Times New Roman" w:eastAsia="黑体"/>
          <w:bCs/>
          <w:kern w:val="0"/>
          <w:szCs w:val="32"/>
        </w:rPr>
        <w:t xml:space="preserve">  培养基和试剂</w:t>
      </w:r>
    </w:p>
    <w:p w14:paraId="7CC3A89D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>.1  SCDLP液体培养基</w:t>
      </w:r>
      <w:r>
        <w:rPr>
          <w:rFonts w:hint="eastAsia" w:ascii="Times New Roman" w:hAnsi="Times New Roman"/>
          <w:kern w:val="0"/>
          <w:szCs w:val="21"/>
        </w:rPr>
        <w:t>：见B</w:t>
      </w:r>
      <w:r>
        <w:rPr>
          <w:rFonts w:ascii="Times New Roman" w:hAnsi="Times New Roman"/>
          <w:kern w:val="0"/>
          <w:szCs w:val="21"/>
        </w:rPr>
        <w:t>.1</w:t>
      </w:r>
      <w:r>
        <w:rPr>
          <w:rFonts w:hint="eastAsia" w:ascii="Times New Roman" w:hAnsi="Times New Roman"/>
          <w:kern w:val="0"/>
          <w:szCs w:val="21"/>
        </w:rPr>
        <w:t>。</w:t>
      </w:r>
    </w:p>
    <w:p w14:paraId="7DCC040D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>.2  洋葱</w:t>
      </w:r>
      <w:r>
        <w:rPr>
          <w:rFonts w:hint="eastAsia" w:ascii="Times New Roman" w:hAnsi="Times New Roman"/>
          <w:szCs w:val="21"/>
        </w:rPr>
        <w:t>伯克霍尔德菌</w:t>
      </w:r>
      <w:r>
        <w:rPr>
          <w:rFonts w:ascii="Times New Roman" w:hAnsi="Times New Roman"/>
          <w:szCs w:val="21"/>
        </w:rPr>
        <w:t>选择性琼脂（BCSA）培养基</w:t>
      </w:r>
      <w:r>
        <w:rPr>
          <w:rFonts w:hint="eastAsia" w:ascii="Times New Roman" w:hAnsi="Times New Roman"/>
          <w:szCs w:val="21"/>
        </w:rPr>
        <w:t>：见B.2。</w:t>
      </w:r>
    </w:p>
    <w:p w14:paraId="728F1843">
      <w:pPr>
        <w:spacing w:before="156" w:beforeLines="50" w:after="156" w:afterLines="50" w:line="300" w:lineRule="auto"/>
        <w:rPr>
          <w:kern w:val="0"/>
          <w:szCs w:val="21"/>
        </w:rPr>
      </w:pPr>
      <w:r>
        <w:rPr>
          <w:rFonts w:hint="eastAsia" w:ascii="Times New Roman" w:hAnsi="Times New Roman"/>
          <w:szCs w:val="21"/>
        </w:rPr>
        <w:t xml:space="preserve">4.3  </w:t>
      </w:r>
      <w:r>
        <w:rPr>
          <w:rFonts w:ascii="Times New Roman" w:hAnsi="Times New Roman"/>
          <w:szCs w:val="21"/>
        </w:rPr>
        <w:t>氧化酶试剂</w:t>
      </w:r>
      <w:r>
        <w:rPr>
          <w:rFonts w:hint="eastAsia" w:ascii="Times New Roman" w:hAnsi="Times New Roman"/>
          <w:kern w:val="0"/>
          <w:szCs w:val="21"/>
        </w:rPr>
        <w:t>：见B</w:t>
      </w:r>
      <w:r>
        <w:rPr>
          <w:rFonts w:ascii="Times New Roman" w:hAnsi="Times New Roman"/>
          <w:kern w:val="0"/>
          <w:szCs w:val="21"/>
        </w:rPr>
        <w:t>.</w:t>
      </w:r>
      <w:r>
        <w:rPr>
          <w:rFonts w:hint="eastAsia" w:ascii="Times New Roman" w:hAnsi="Times New Roman"/>
          <w:kern w:val="0"/>
          <w:szCs w:val="21"/>
        </w:rPr>
        <w:t>3。</w:t>
      </w:r>
    </w:p>
    <w:p w14:paraId="48457EA1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szCs w:val="21"/>
        </w:rPr>
        <w:t xml:space="preserve"> 西蒙氏枸橼酸盐琼脂培养基</w:t>
      </w:r>
      <w:r>
        <w:rPr>
          <w:rFonts w:hint="eastAsia" w:ascii="Times New Roman" w:hAnsi="Times New Roman"/>
          <w:kern w:val="0"/>
          <w:szCs w:val="21"/>
        </w:rPr>
        <w:t>：见B</w:t>
      </w:r>
      <w:r>
        <w:rPr>
          <w:rFonts w:ascii="Times New Roman" w:hAnsi="Times New Roman"/>
          <w:kern w:val="0"/>
          <w:szCs w:val="21"/>
        </w:rPr>
        <w:t>.</w:t>
      </w:r>
      <w:r>
        <w:rPr>
          <w:rFonts w:hint="eastAsia" w:ascii="Times New Roman" w:hAnsi="Times New Roman"/>
          <w:kern w:val="0"/>
          <w:szCs w:val="21"/>
        </w:rPr>
        <w:t>4。</w:t>
      </w:r>
    </w:p>
    <w:p w14:paraId="147FC109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bookmarkStart w:id="4" w:name="OLE_LINK282"/>
      <w:bookmarkStart w:id="5" w:name="OLE_LINK283"/>
      <w:r>
        <w:rPr>
          <w:rFonts w:hint="eastAsia"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5</w:t>
      </w:r>
      <w:r>
        <w:rPr>
          <w:rFonts w:ascii="Times New Roman" w:hAnsi="Times New Roman"/>
          <w:color w:val="FF0000"/>
          <w:szCs w:val="21"/>
        </w:rPr>
        <w:t xml:space="preserve">  </w:t>
      </w:r>
      <w:r>
        <w:rPr>
          <w:rFonts w:hint="eastAsia" w:ascii="Times New Roman" w:hAnsi="Times New Roman"/>
          <w:szCs w:val="21"/>
        </w:rPr>
        <w:t>胰酪大豆胨琼脂</w:t>
      </w:r>
      <w:bookmarkStart w:id="6" w:name="OLE_LINK278"/>
      <w:bookmarkStart w:id="7" w:name="OLE_LINK279"/>
      <w:r>
        <w:rPr>
          <w:rFonts w:hint="eastAsia" w:ascii="Times New Roman" w:hAnsi="Times New Roman"/>
          <w:szCs w:val="21"/>
        </w:rPr>
        <w:t>（TSA）</w:t>
      </w:r>
      <w:bookmarkEnd w:id="6"/>
      <w:bookmarkEnd w:id="7"/>
      <w:r>
        <w:rPr>
          <w:rFonts w:hint="eastAsia" w:ascii="Times New Roman" w:hAnsi="Times New Roman"/>
          <w:szCs w:val="21"/>
        </w:rPr>
        <w:t>培养基</w:t>
      </w:r>
      <w:bookmarkStart w:id="8" w:name="OLE_LINK276"/>
      <w:bookmarkStart w:id="9" w:name="OLE_LINK277"/>
      <w:r>
        <w:rPr>
          <w:rFonts w:hint="eastAsia" w:ascii="Times New Roman" w:hAnsi="Times New Roman"/>
          <w:szCs w:val="21"/>
        </w:rPr>
        <w:t>：</w:t>
      </w:r>
      <w:r>
        <w:rPr>
          <w:rFonts w:hint="eastAsia" w:ascii="Times New Roman" w:hAnsi="Times New Roman"/>
          <w:kern w:val="0"/>
          <w:szCs w:val="21"/>
        </w:rPr>
        <w:t>见B</w:t>
      </w:r>
      <w:r>
        <w:rPr>
          <w:rFonts w:ascii="Times New Roman" w:hAnsi="Times New Roman"/>
          <w:kern w:val="0"/>
          <w:szCs w:val="21"/>
        </w:rPr>
        <w:t>.</w:t>
      </w:r>
      <w:r>
        <w:rPr>
          <w:rFonts w:hint="eastAsia" w:ascii="Times New Roman" w:hAnsi="Times New Roman"/>
          <w:kern w:val="0"/>
          <w:szCs w:val="21"/>
        </w:rPr>
        <w:t>5。</w:t>
      </w:r>
      <w:bookmarkEnd w:id="8"/>
      <w:bookmarkEnd w:id="9"/>
    </w:p>
    <w:bookmarkEnd w:id="4"/>
    <w:bookmarkEnd w:id="5"/>
    <w:p w14:paraId="36124237">
      <w:pPr>
        <w:keepNext/>
        <w:keepLines/>
        <w:spacing w:before="156" w:beforeLines="50" w:after="156" w:afterLines="50" w:line="300" w:lineRule="auto"/>
        <w:jc w:val="left"/>
        <w:outlineLvl w:val="2"/>
        <w:rPr>
          <w:rFonts w:ascii="Times New Roman" w:hAnsi="Times New Roman" w:eastAsia="黑体"/>
          <w:bCs/>
          <w:kern w:val="0"/>
          <w:szCs w:val="32"/>
        </w:rPr>
      </w:pPr>
      <w:r>
        <w:rPr>
          <w:rFonts w:hint="eastAsia" w:ascii="Times New Roman" w:hAnsi="Times New Roman" w:eastAsia="黑体"/>
          <w:bCs/>
          <w:kern w:val="0"/>
          <w:szCs w:val="32"/>
        </w:rPr>
        <w:t>5</w:t>
      </w:r>
      <w:r>
        <w:rPr>
          <w:rFonts w:ascii="Times New Roman" w:hAnsi="Times New Roman" w:eastAsia="黑体"/>
          <w:bCs/>
          <w:kern w:val="0"/>
          <w:szCs w:val="32"/>
        </w:rPr>
        <w:t xml:space="preserve">  操作步骤</w:t>
      </w:r>
    </w:p>
    <w:p w14:paraId="30D35454">
      <w:pPr>
        <w:spacing w:before="156" w:beforeLines="50" w:after="156" w:afterLines="50" w:line="300" w:lineRule="auto"/>
        <w:rPr>
          <w:rFonts w:ascii="Times New Roman" w:hAnsi="Times New Roman"/>
          <w:kern w:val="0"/>
          <w:szCs w:val="21"/>
        </w:rPr>
      </w:pPr>
      <w:r>
        <w:rPr>
          <w:rFonts w:hint="eastAsia" w:ascii="Times New Roman" w:hAnsi="Times New Roman"/>
          <w:kern w:val="0"/>
          <w:szCs w:val="21"/>
        </w:rPr>
        <w:t>5</w:t>
      </w:r>
      <w:r>
        <w:rPr>
          <w:rFonts w:ascii="Times New Roman" w:hAnsi="Times New Roman"/>
          <w:kern w:val="0"/>
          <w:szCs w:val="21"/>
        </w:rPr>
        <w:t>.1</w:t>
      </w:r>
      <w:r>
        <w:rPr>
          <w:rFonts w:hint="eastAsia" w:ascii="Times New Roman" w:hAnsi="Times New Roman"/>
          <w:kern w:val="0"/>
          <w:szCs w:val="21"/>
        </w:rPr>
        <w:t xml:space="preserve"> </w:t>
      </w:r>
      <w:r>
        <w:rPr>
          <w:rFonts w:ascii="Times New Roman" w:hAnsi="Times New Roman"/>
          <w:kern w:val="0"/>
          <w:szCs w:val="21"/>
        </w:rPr>
        <w:t xml:space="preserve"> </w:t>
      </w:r>
      <w:r>
        <w:rPr>
          <w:rFonts w:hint="eastAsia" w:ascii="Times New Roman" w:hAnsi="Times New Roman"/>
          <w:kern w:val="0"/>
          <w:szCs w:val="21"/>
        </w:rPr>
        <w:t>样品的制备</w:t>
      </w:r>
    </w:p>
    <w:p w14:paraId="33BF190D">
      <w:pPr>
        <w:spacing w:before="156" w:beforeLines="50" w:after="156" w:afterLines="50" w:line="300" w:lineRule="auto"/>
        <w:ind w:firstLine="420" w:firstLineChars="200"/>
        <w:rPr>
          <w:kern w:val="0"/>
        </w:rPr>
      </w:pPr>
      <w:r>
        <w:rPr>
          <w:rFonts w:hint="eastAsia" w:ascii="Times New Roman" w:hAnsi="Times New Roman"/>
          <w:szCs w:val="21"/>
        </w:rPr>
        <w:t>按照</w:t>
      </w:r>
      <w:r>
        <w:rPr>
          <w:rFonts w:hint="eastAsia" w:ascii="Times New Roman" w:hAnsi="Times New Roman"/>
          <w:kern w:val="0"/>
          <w:szCs w:val="21"/>
        </w:rPr>
        <w:t>微生物检验方法总则4.3制备1:10检液。</w:t>
      </w:r>
    </w:p>
    <w:p w14:paraId="45324E82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5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2</w:t>
      </w:r>
      <w:r>
        <w:rPr>
          <w:rFonts w:ascii="Times New Roman" w:hAnsi="Times New Roman"/>
          <w:szCs w:val="21"/>
        </w:rPr>
        <w:t xml:space="preserve">  增菌培养</w:t>
      </w:r>
    </w:p>
    <w:p w14:paraId="38215BF4">
      <w:pPr>
        <w:spacing w:before="156" w:beforeLines="50" w:after="156" w:afterLines="50" w:line="30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取1:10检液10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mL，</w:t>
      </w:r>
      <w:r>
        <w:rPr>
          <w:rFonts w:hint="eastAsia" w:ascii="Times New Roman" w:hAnsi="Times New Roman"/>
          <w:szCs w:val="21"/>
        </w:rPr>
        <w:t>接种到</w:t>
      </w:r>
      <w:r>
        <w:rPr>
          <w:rFonts w:ascii="Times New Roman" w:hAnsi="Times New Roman"/>
          <w:szCs w:val="21"/>
        </w:rPr>
        <w:t>90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mL SCDLP液体培养基中，置36</w:t>
      </w:r>
      <w:r>
        <w:rPr>
          <w:rFonts w:ascii="Times New Roman" w:hAnsi="Times New Roman" w:eastAsia="仿宋_GB2312"/>
          <w:szCs w:val="21"/>
        </w:rPr>
        <w:t>±</w:t>
      </w:r>
      <w:r>
        <w:rPr>
          <w:rFonts w:ascii="Times New Roman" w:hAnsi="Times New Roman"/>
          <w:szCs w:val="21"/>
        </w:rPr>
        <w:t>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kern w:val="0"/>
          <w:szCs w:val="21"/>
        </w:rPr>
        <w:t>℃</w:t>
      </w:r>
      <w:r>
        <w:rPr>
          <w:rFonts w:ascii="Times New Roman" w:hAnsi="Times New Roman"/>
          <w:szCs w:val="21"/>
        </w:rPr>
        <w:t>培养48</w:t>
      </w:r>
      <w:r>
        <w:rPr>
          <w:rFonts w:hint="eastAsia" w:ascii="Times New Roman" w:hAnsi="Times New Roman"/>
          <w:szCs w:val="21"/>
        </w:rPr>
        <w:t>~</w:t>
      </w:r>
      <w:r>
        <w:rPr>
          <w:rFonts w:ascii="Times New Roman" w:hAnsi="Times New Roman"/>
          <w:szCs w:val="21"/>
        </w:rPr>
        <w:t>72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h。</w:t>
      </w:r>
    </w:p>
    <w:p w14:paraId="58D8D7F4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5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 xml:space="preserve">  分离培养</w:t>
      </w:r>
    </w:p>
    <w:p w14:paraId="017387D9">
      <w:pPr>
        <w:spacing w:before="156" w:beforeLines="50" w:after="156" w:afterLines="50" w:line="30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取上述增菌培养液，</w:t>
      </w:r>
      <w:r>
        <w:rPr>
          <w:rFonts w:ascii="Times New Roman" w:hAnsi="Times New Roman"/>
          <w:szCs w:val="21"/>
        </w:rPr>
        <w:t>划线接种BCSA琼脂平板，于36</w:t>
      </w:r>
      <w:r>
        <w:rPr>
          <w:rFonts w:ascii="Times New Roman" w:hAnsi="Times New Roman" w:eastAsia="仿宋_GB2312"/>
          <w:szCs w:val="21"/>
        </w:rPr>
        <w:t>±</w:t>
      </w:r>
      <w:r>
        <w:rPr>
          <w:rFonts w:ascii="Times New Roman" w:hAnsi="Times New Roman"/>
          <w:szCs w:val="21"/>
        </w:rPr>
        <w:t>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kern w:val="0"/>
          <w:szCs w:val="21"/>
        </w:rPr>
        <w:t>℃</w:t>
      </w:r>
      <w:r>
        <w:rPr>
          <w:rFonts w:ascii="Times New Roman" w:hAnsi="Times New Roman"/>
          <w:szCs w:val="21"/>
        </w:rPr>
        <w:t>培养48~72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h。典型菌落在BCSA琼脂平板上</w:t>
      </w:r>
      <w:r>
        <w:rPr>
          <w:rFonts w:hint="eastAsia" w:ascii="Times New Roman" w:hAnsi="Times New Roman"/>
          <w:szCs w:val="21"/>
        </w:rPr>
        <w:t>为棕绿色菌落并带有黄色晕圈，或者为白色菌落，培养基颜色为粉色或粉红色。</w:t>
      </w:r>
    </w:p>
    <w:p w14:paraId="3963E446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5.4</w:t>
      </w:r>
      <w:r>
        <w:rPr>
          <w:rFonts w:ascii="Times New Roman" w:hAnsi="Times New Roman"/>
          <w:szCs w:val="21"/>
        </w:rPr>
        <w:t xml:space="preserve">  纯化</w:t>
      </w:r>
    </w:p>
    <w:p w14:paraId="63B8E3DD">
      <w:pPr>
        <w:spacing w:before="156" w:beforeLines="50" w:after="156" w:afterLines="50" w:line="30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挑取可疑菌落划线接种于胰酪大豆胨琼脂（TSA），于36</w:t>
      </w:r>
      <w:r>
        <w:rPr>
          <w:rFonts w:ascii="Times New Roman" w:hAnsi="Times New Roman" w:eastAsia="仿宋_GB2312"/>
          <w:szCs w:val="21"/>
        </w:rPr>
        <w:t>±</w:t>
      </w:r>
      <w:r>
        <w:rPr>
          <w:rFonts w:ascii="Times New Roman" w:hAnsi="Times New Roman"/>
          <w:szCs w:val="21"/>
        </w:rPr>
        <w:t>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kern w:val="0"/>
          <w:szCs w:val="21"/>
        </w:rPr>
        <w:t>℃</w:t>
      </w:r>
      <w:r>
        <w:rPr>
          <w:rFonts w:ascii="Times New Roman" w:hAnsi="Times New Roman"/>
          <w:szCs w:val="21"/>
        </w:rPr>
        <w:t>培养48</w:t>
      </w:r>
      <w:r>
        <w:rPr>
          <w:rFonts w:hint="eastAsia" w:ascii="Times New Roman" w:hAnsi="Times New Roman"/>
          <w:szCs w:val="21"/>
        </w:rPr>
        <w:t>~</w:t>
      </w:r>
      <w:r>
        <w:rPr>
          <w:rFonts w:ascii="Times New Roman" w:hAnsi="Times New Roman"/>
          <w:szCs w:val="21"/>
        </w:rPr>
        <w:t>72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h。</w:t>
      </w:r>
    </w:p>
    <w:p w14:paraId="44B98E54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5.5</w:t>
      </w:r>
      <w:r>
        <w:rPr>
          <w:rFonts w:ascii="Times New Roman" w:hAnsi="Times New Roman"/>
          <w:szCs w:val="21"/>
        </w:rPr>
        <w:t xml:space="preserve">  染色镜检</w:t>
      </w:r>
    </w:p>
    <w:p w14:paraId="1C2EC0E3">
      <w:pPr>
        <w:spacing w:before="156" w:beforeLines="50" w:after="156" w:afterLines="50" w:line="30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挑取可疑菌落</w:t>
      </w:r>
      <w:r>
        <w:rPr>
          <w:rFonts w:hint="eastAsia" w:ascii="Times New Roman" w:hAnsi="Times New Roman"/>
          <w:szCs w:val="21"/>
        </w:rPr>
        <w:t>进行</w:t>
      </w:r>
      <w:r>
        <w:rPr>
          <w:rFonts w:ascii="Times New Roman" w:hAnsi="Times New Roman"/>
          <w:szCs w:val="21"/>
        </w:rPr>
        <w:t>革兰氏染色，镜检为革兰氏阴性杆菌者应进行后续试验。</w:t>
      </w:r>
    </w:p>
    <w:p w14:paraId="6206A7F4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5.6</w:t>
      </w:r>
      <w:r>
        <w:rPr>
          <w:rFonts w:ascii="Times New Roman" w:hAnsi="Times New Roman"/>
          <w:szCs w:val="21"/>
        </w:rPr>
        <w:t xml:space="preserve">  氧化酶</w:t>
      </w:r>
      <w:r>
        <w:rPr>
          <w:rFonts w:hint="eastAsia" w:ascii="Times New Roman" w:hAnsi="Times New Roman"/>
          <w:szCs w:val="21"/>
        </w:rPr>
        <w:t>试</w:t>
      </w:r>
      <w:r>
        <w:rPr>
          <w:rFonts w:ascii="Times New Roman" w:hAnsi="Times New Roman"/>
          <w:szCs w:val="21"/>
        </w:rPr>
        <w:t>验</w:t>
      </w:r>
    </w:p>
    <w:p w14:paraId="19460B3D">
      <w:pPr>
        <w:spacing w:before="156" w:beforeLines="50" w:after="156" w:afterLines="50" w:line="30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使用接种环（非镍铬丝材质）</w:t>
      </w:r>
      <w:r>
        <w:rPr>
          <w:rFonts w:ascii="Times New Roman" w:hAnsi="Times New Roman"/>
          <w:szCs w:val="21"/>
        </w:rPr>
        <w:t>挑取可疑菌落涂布于浸湿的氧化酶试剂滤纸条上，</w:t>
      </w:r>
      <w:r>
        <w:rPr>
          <w:rFonts w:hint="eastAsia" w:ascii="Times New Roman" w:hAnsi="Times New Roman"/>
          <w:szCs w:val="21"/>
        </w:rPr>
        <w:t>滤纸变为蓝色或紫红色为阳性。2~10 min之间显色为迟缓型氧化酶阳性。10 min后仍不变色为氧化酶阴性。洋葱伯克霍尔德菌群为氧化酶阴性或迟缓型氧化酶阳性。</w:t>
      </w:r>
    </w:p>
    <w:p w14:paraId="1EF56AC0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5.7</w:t>
      </w:r>
      <w:r>
        <w:rPr>
          <w:rFonts w:ascii="Times New Roman" w:hAnsi="Times New Roman"/>
          <w:szCs w:val="21"/>
        </w:rPr>
        <w:t xml:space="preserve">  枸橼酸盐利用试验</w:t>
      </w:r>
    </w:p>
    <w:p w14:paraId="4B4E3756">
      <w:pPr>
        <w:spacing w:before="156" w:beforeLines="50" w:after="156" w:afterLines="50" w:line="30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挑取TSA平板上的可疑菌落，接种到西蒙氏枸橼酸盐</w:t>
      </w:r>
      <w:r>
        <w:rPr>
          <w:rFonts w:hint="eastAsia" w:ascii="Times New Roman" w:hAnsi="Times New Roman"/>
          <w:szCs w:val="21"/>
        </w:rPr>
        <w:t>琼脂</w:t>
      </w:r>
      <w:r>
        <w:rPr>
          <w:rFonts w:ascii="Times New Roman" w:hAnsi="Times New Roman"/>
          <w:szCs w:val="21"/>
        </w:rPr>
        <w:t>培养基上（或西蒙氏枸橼酸盐生化管中），于36</w:t>
      </w:r>
      <w:r>
        <w:rPr>
          <w:rFonts w:ascii="Times New Roman" w:hAnsi="Times New Roman" w:eastAsia="仿宋_GB2312"/>
          <w:szCs w:val="21"/>
        </w:rPr>
        <w:t>±</w:t>
      </w:r>
      <w:r>
        <w:rPr>
          <w:rFonts w:ascii="Times New Roman" w:hAnsi="Times New Roman"/>
          <w:szCs w:val="21"/>
        </w:rPr>
        <w:t>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kern w:val="0"/>
          <w:szCs w:val="21"/>
        </w:rPr>
        <w:t>℃</w:t>
      </w:r>
      <w:r>
        <w:rPr>
          <w:rFonts w:ascii="Times New Roman" w:hAnsi="Times New Roman"/>
          <w:szCs w:val="21"/>
        </w:rPr>
        <w:t>培养</w:t>
      </w:r>
      <w:r>
        <w:rPr>
          <w:rFonts w:hint="eastAsia" w:ascii="Times New Roman" w:hAnsi="Times New Roman"/>
          <w:szCs w:val="21"/>
        </w:rPr>
        <w:t xml:space="preserve">48~72 </w:t>
      </w:r>
      <w:r>
        <w:rPr>
          <w:rFonts w:ascii="Times New Roman" w:hAnsi="Times New Roman"/>
          <w:szCs w:val="21"/>
        </w:rPr>
        <w:t>h。培养基变为蓝色为阳性反应，培养基</w:t>
      </w:r>
      <w:r>
        <w:rPr>
          <w:rFonts w:hint="eastAsia" w:ascii="Times New Roman" w:hAnsi="Times New Roman"/>
          <w:szCs w:val="21"/>
        </w:rPr>
        <w:t>呈</w:t>
      </w:r>
      <w:r>
        <w:rPr>
          <w:rFonts w:ascii="Times New Roman" w:hAnsi="Times New Roman"/>
          <w:szCs w:val="21"/>
        </w:rPr>
        <w:t>绿色为阴性反应。洋葱</w:t>
      </w:r>
      <w:r>
        <w:rPr>
          <w:rFonts w:hint="eastAsia" w:ascii="Times New Roman" w:hAnsi="Times New Roman"/>
          <w:szCs w:val="21"/>
        </w:rPr>
        <w:t>伯克霍尔德菌</w:t>
      </w:r>
      <w:r>
        <w:rPr>
          <w:rFonts w:ascii="Times New Roman" w:hAnsi="Times New Roman"/>
          <w:szCs w:val="21"/>
        </w:rPr>
        <w:t>群为阳性反应。</w:t>
      </w:r>
    </w:p>
    <w:p w14:paraId="42830FAF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5.8</w:t>
      </w:r>
      <w:r>
        <w:rPr>
          <w:rFonts w:ascii="Times New Roman" w:hAnsi="Times New Roman"/>
          <w:szCs w:val="21"/>
        </w:rPr>
        <w:t xml:space="preserve">  如使用生化鉴定试剂盒或微生物鉴定系统，可按</w:t>
      </w:r>
      <w:r>
        <w:rPr>
          <w:rFonts w:hint="eastAsia" w:ascii="Times New Roman" w:hAnsi="Times New Roman"/>
          <w:szCs w:val="21"/>
        </w:rPr>
        <w:t>其</w:t>
      </w:r>
      <w:r>
        <w:rPr>
          <w:rFonts w:ascii="Times New Roman" w:hAnsi="Times New Roman"/>
          <w:szCs w:val="21"/>
        </w:rPr>
        <w:t>操作说明进行鉴定。</w:t>
      </w:r>
    </w:p>
    <w:p w14:paraId="58C65D93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5.9</w:t>
      </w:r>
      <w:r>
        <w:rPr>
          <w:rFonts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如生化鉴定结果</w:t>
      </w:r>
      <w:r>
        <w:rPr>
          <w:rFonts w:hint="eastAsia" w:ascii="Times New Roman" w:hAnsi="Times New Roman"/>
          <w:szCs w:val="21"/>
        </w:rPr>
        <w:t>发现</w:t>
      </w:r>
      <w:r>
        <w:rPr>
          <w:rFonts w:ascii="Times New Roman" w:hAnsi="Times New Roman"/>
          <w:szCs w:val="21"/>
        </w:rPr>
        <w:t>符合</w:t>
      </w:r>
      <w:r>
        <w:rPr>
          <w:rFonts w:hint="eastAsia" w:ascii="Times New Roman" w:hAnsi="Times New Roman"/>
          <w:szCs w:val="21"/>
        </w:rPr>
        <w:t>特征</w:t>
      </w:r>
      <w:r>
        <w:rPr>
          <w:rFonts w:ascii="Times New Roman" w:hAnsi="Times New Roman"/>
          <w:szCs w:val="21"/>
        </w:rPr>
        <w:t>的可疑菌落，可选择使用分子生物学技术或其他方法进一步鉴定确认。</w:t>
      </w:r>
    </w:p>
    <w:p w14:paraId="1AEE207B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 xml:space="preserve">5.10  </w:t>
      </w:r>
      <w:r>
        <w:rPr>
          <w:rFonts w:ascii="Times New Roman" w:hAnsi="Times New Roman"/>
          <w:szCs w:val="21"/>
        </w:rPr>
        <w:t>若实验室按</w:t>
      </w:r>
      <w:r>
        <w:rPr>
          <w:rFonts w:hint="eastAsia" w:ascii="Times New Roman" w:hAnsi="Times New Roman"/>
          <w:szCs w:val="21"/>
        </w:rPr>
        <w:t>照</w:t>
      </w:r>
      <w:r>
        <w:rPr>
          <w:rFonts w:ascii="Times New Roman" w:hAnsi="Times New Roman"/>
          <w:szCs w:val="21"/>
        </w:rPr>
        <w:t>微生物检验方法总则</w:t>
      </w:r>
      <w:r>
        <w:rPr>
          <w:rFonts w:hint="eastAsia" w:ascii="Times New Roman" w:hAnsi="Times New Roman"/>
          <w:szCs w:val="21"/>
        </w:rPr>
        <w:t>附录E</w:t>
      </w:r>
      <w:r>
        <w:rPr>
          <w:rFonts w:ascii="Times New Roman" w:hAnsi="Times New Roman"/>
          <w:szCs w:val="21"/>
        </w:rPr>
        <w:t>开展方法适用性试验，可采用经适用性试验确认的方法进行</w:t>
      </w:r>
      <w:r>
        <w:rPr>
          <w:rFonts w:hint="eastAsia" w:ascii="Times New Roman" w:hAnsi="Times New Roman"/>
          <w:szCs w:val="21"/>
        </w:rPr>
        <w:t>洋葱伯克霍尔德菌群的检验</w:t>
      </w:r>
      <w:r>
        <w:rPr>
          <w:rFonts w:ascii="Times New Roman" w:hAnsi="Times New Roman"/>
          <w:szCs w:val="21"/>
        </w:rPr>
        <w:t>。</w:t>
      </w:r>
      <w:r>
        <w:rPr>
          <w:rFonts w:hint="eastAsia" w:ascii="Times New Roman" w:hAnsi="Times New Roman"/>
          <w:szCs w:val="21"/>
        </w:rPr>
        <w:t>推荐质控菌株信息详见附录C。</w:t>
      </w:r>
    </w:p>
    <w:p w14:paraId="2343E987">
      <w:pPr>
        <w:keepNext/>
        <w:keepLines/>
        <w:spacing w:before="156" w:beforeLines="50" w:after="156" w:afterLines="50" w:line="300" w:lineRule="auto"/>
        <w:jc w:val="left"/>
        <w:outlineLvl w:val="2"/>
        <w:rPr>
          <w:rFonts w:ascii="Times New Roman" w:hAnsi="Times New Roman" w:eastAsia="黑体"/>
          <w:bCs/>
          <w:kern w:val="0"/>
          <w:szCs w:val="32"/>
        </w:rPr>
      </w:pPr>
      <w:bookmarkStart w:id="10" w:name="_Toc91679067"/>
      <w:bookmarkStart w:id="11" w:name="OLE_LINK269"/>
      <w:r>
        <w:rPr>
          <w:rFonts w:hint="eastAsia" w:ascii="Times New Roman" w:hAnsi="Times New Roman" w:eastAsia="黑体"/>
          <w:bCs/>
          <w:kern w:val="0"/>
          <w:szCs w:val="32"/>
        </w:rPr>
        <w:t>6</w:t>
      </w:r>
      <w:r>
        <w:rPr>
          <w:rFonts w:ascii="Times New Roman" w:hAnsi="Times New Roman" w:eastAsia="黑体"/>
          <w:bCs/>
          <w:kern w:val="0"/>
          <w:szCs w:val="32"/>
        </w:rPr>
        <w:t xml:space="preserve">  结果</w:t>
      </w:r>
      <w:r>
        <w:rPr>
          <w:rFonts w:hint="eastAsia" w:ascii="Times New Roman" w:hAnsi="Times New Roman" w:eastAsia="黑体"/>
          <w:bCs/>
          <w:kern w:val="0"/>
          <w:szCs w:val="32"/>
        </w:rPr>
        <w:t>与</w:t>
      </w:r>
      <w:r>
        <w:rPr>
          <w:rFonts w:ascii="Times New Roman" w:hAnsi="Times New Roman" w:eastAsia="黑体"/>
          <w:bCs/>
          <w:kern w:val="0"/>
          <w:szCs w:val="32"/>
        </w:rPr>
        <w:t>报告</w:t>
      </w:r>
      <w:bookmarkEnd w:id="10"/>
    </w:p>
    <w:bookmarkEnd w:id="11"/>
    <w:p w14:paraId="635E2156">
      <w:pPr>
        <w:spacing w:before="156" w:beforeLines="50" w:after="156" w:afterLines="50" w:line="300" w:lineRule="auto"/>
        <w:ind w:firstLine="42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综合以上</w:t>
      </w:r>
      <w:r>
        <w:rPr>
          <w:rFonts w:ascii="Times New Roman" w:hAnsi="Times New Roman"/>
          <w:kern w:val="0"/>
          <w:szCs w:val="21"/>
        </w:rPr>
        <w:t>试验</w:t>
      </w:r>
      <w:r>
        <w:rPr>
          <w:rFonts w:ascii="宋体" w:hAnsi="宋体"/>
          <w:kern w:val="0"/>
          <w:szCs w:val="21"/>
        </w:rPr>
        <w:t>结果,报告样品中检出或未检出</w:t>
      </w:r>
      <w:r>
        <w:rPr>
          <w:rFonts w:hint="eastAsia" w:ascii="宋体" w:hAnsi="宋体"/>
          <w:kern w:val="0"/>
          <w:szCs w:val="21"/>
        </w:rPr>
        <w:t>洋葱伯克霍尔德菌群</w:t>
      </w:r>
      <w:r>
        <w:rPr>
          <w:rFonts w:ascii="宋体" w:hAnsi="宋体"/>
          <w:kern w:val="0"/>
          <w:szCs w:val="21"/>
        </w:rPr>
        <w:t>。</w:t>
      </w:r>
    </w:p>
    <w:p w14:paraId="5411E536">
      <w:pPr>
        <w:spacing w:before="156" w:beforeLines="50" w:after="156" w:afterLines="50" w:line="300" w:lineRule="auto"/>
        <w:ind w:firstLine="0" w:firstLineChars="0"/>
        <w:jc w:val="center"/>
        <w:outlineLvl w:val="9"/>
        <w:rPr>
          <w:rFonts w:ascii="黑体" w:hAnsi="黑体" w:eastAsia="黑体" w:cs="黑体"/>
          <w:szCs w:val="21"/>
        </w:rPr>
      </w:pPr>
      <w:r>
        <w:rPr>
          <w:rFonts w:ascii="Times New Roman" w:hAnsi="Times New Roman" w:eastAsia="黑体"/>
          <w:color w:val="000000"/>
          <w:kern w:val="0"/>
          <w:szCs w:val="21"/>
        </w:rPr>
        <w:br w:type="page" w:clear="all"/>
      </w:r>
      <w:r>
        <w:rPr>
          <w:rFonts w:ascii="黑体" w:hAnsi="黑体" w:eastAsia="黑体" w:cs="黑体"/>
          <w:szCs w:val="21"/>
        </w:rPr>
        <w:t>附录</w:t>
      </w:r>
      <w:r>
        <w:rPr>
          <w:rFonts w:hint="eastAsia" w:ascii="黑体" w:hAnsi="黑体" w:eastAsia="黑体" w:cs="黑体"/>
          <w:szCs w:val="21"/>
        </w:rPr>
        <w:t>A</w:t>
      </w:r>
    </w:p>
    <w:p w14:paraId="1CEE3CB0">
      <w:pPr>
        <w:spacing w:before="156" w:beforeLines="50" w:after="156" w:afterLines="50" w:line="300" w:lineRule="auto"/>
        <w:jc w:val="center"/>
        <w:rPr>
          <w:rFonts w:ascii="黑体" w:hAnsi="黑体" w:eastAsia="黑体" w:cs="黑体"/>
          <w:szCs w:val="21"/>
        </w:rPr>
      </w:pPr>
      <w:r>
        <w:rPr>
          <w:rFonts w:ascii="黑体" w:hAnsi="黑体" w:eastAsia="黑体" w:cs="黑体"/>
          <w:szCs w:val="21"/>
        </w:rPr>
        <w:t>（资料性附录）</w:t>
      </w:r>
    </w:p>
    <w:p w14:paraId="0232DF49">
      <w:pPr>
        <w:spacing w:before="156" w:beforeLines="50" w:after="156" w:afterLines="50" w:line="300" w:lineRule="auto"/>
        <w:jc w:val="center"/>
        <w:rPr>
          <w:rFonts w:ascii="黑体" w:hAnsi="黑体" w:eastAsia="黑体" w:cs="黑体"/>
          <w:szCs w:val="20"/>
        </w:rPr>
      </w:pPr>
      <w:r>
        <w:rPr>
          <w:rFonts w:hint="eastAsia" w:ascii="黑体" w:hAnsi="黑体" w:eastAsia="黑体" w:cs="黑体"/>
          <w:szCs w:val="20"/>
        </w:rPr>
        <w:t>表</w:t>
      </w:r>
      <w:r>
        <w:rPr>
          <w:rFonts w:ascii="Times New Roman" w:hAnsi="Times New Roman" w:eastAsia="黑体"/>
          <w:szCs w:val="20"/>
        </w:rPr>
        <w:t>A</w:t>
      </w:r>
      <w:r>
        <w:rPr>
          <w:rFonts w:hint="eastAsia" w:ascii="Times New Roman" w:hAnsi="Times New Roman" w:eastAsia="黑体"/>
          <w:szCs w:val="20"/>
        </w:rPr>
        <w:t>.1</w:t>
      </w:r>
      <w:r>
        <w:rPr>
          <w:rFonts w:ascii="Times New Roman" w:hAnsi="Times New Roman" w:eastAsia="黑体"/>
          <w:szCs w:val="20"/>
        </w:rPr>
        <w:t xml:space="preserve"> </w:t>
      </w:r>
      <w:r>
        <w:rPr>
          <w:rFonts w:hint="eastAsia" w:ascii="黑体" w:hAnsi="黑体" w:eastAsia="黑体" w:cs="黑体"/>
          <w:szCs w:val="20"/>
        </w:rPr>
        <w:t>洋葱伯克霍尔德菌群已分类命名的种</w:t>
      </w:r>
    </w:p>
    <w:tbl>
      <w:tblPr>
        <w:tblStyle w:val="2"/>
        <w:tblW w:w="85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2575"/>
        <w:gridCol w:w="2881"/>
        <w:gridCol w:w="2131"/>
      </w:tblGrid>
      <w:tr w14:paraId="25BF1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93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FBAC8A1">
            <w:pPr>
              <w:spacing w:line="300" w:lineRule="auto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szCs w:val="21"/>
              </w:rPr>
              <w:t>序号</w:t>
            </w:r>
          </w:p>
        </w:tc>
        <w:tc>
          <w:tcPr>
            <w:tcW w:w="257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C9CD5C3">
            <w:pPr>
              <w:spacing w:line="300" w:lineRule="auto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szCs w:val="21"/>
              </w:rPr>
              <w:t>名称</w:t>
            </w:r>
          </w:p>
        </w:tc>
        <w:tc>
          <w:tcPr>
            <w:tcW w:w="28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E5E0536">
            <w:pPr>
              <w:spacing w:line="300" w:lineRule="auto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szCs w:val="21"/>
              </w:rPr>
              <w:t>中文名称</w:t>
            </w:r>
          </w:p>
        </w:tc>
        <w:tc>
          <w:tcPr>
            <w:tcW w:w="213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08C9F82">
            <w:pPr>
              <w:spacing w:line="300" w:lineRule="auto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szCs w:val="21"/>
              </w:rPr>
              <w:t>备注</w:t>
            </w:r>
          </w:p>
        </w:tc>
      </w:tr>
      <w:tr w14:paraId="6AAD2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tcBorders>
              <w:top w:val="single" w:color="auto" w:sz="4" w:space="0"/>
            </w:tcBorders>
            <w:noWrap w:val="0"/>
            <w:vAlign w:val="center"/>
          </w:tcPr>
          <w:p w14:paraId="6DAD86F2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</w:p>
        </w:tc>
        <w:tc>
          <w:tcPr>
            <w:tcW w:w="2575" w:type="dxa"/>
            <w:tcBorders>
              <w:top w:val="single" w:color="auto" w:sz="4" w:space="0"/>
            </w:tcBorders>
            <w:noWrap w:val="0"/>
            <w:vAlign w:val="center"/>
          </w:tcPr>
          <w:p w14:paraId="3CE4F8FD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cepacia</w:t>
            </w:r>
          </w:p>
        </w:tc>
        <w:tc>
          <w:tcPr>
            <w:tcW w:w="2881" w:type="dxa"/>
            <w:tcBorders>
              <w:top w:val="single" w:color="auto" w:sz="4" w:space="0"/>
            </w:tcBorders>
            <w:noWrap w:val="0"/>
            <w:vAlign w:val="center"/>
          </w:tcPr>
          <w:p w14:paraId="3C609CD0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洋葱伯克霍尔德菌</w:t>
            </w:r>
          </w:p>
        </w:tc>
        <w:tc>
          <w:tcPr>
            <w:tcW w:w="2131" w:type="dxa"/>
            <w:tcBorders>
              <w:top w:val="single" w:color="auto" w:sz="4" w:space="0"/>
            </w:tcBorders>
            <w:noWrap w:val="0"/>
            <w:vAlign w:val="center"/>
          </w:tcPr>
          <w:p w14:paraId="084A7566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基因型I</w:t>
            </w:r>
          </w:p>
        </w:tc>
      </w:tr>
      <w:tr w14:paraId="01320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noWrap w:val="0"/>
            <w:vAlign w:val="center"/>
          </w:tcPr>
          <w:p w14:paraId="7CEF3E9B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2</w:t>
            </w:r>
          </w:p>
        </w:tc>
        <w:tc>
          <w:tcPr>
            <w:tcW w:w="2575" w:type="dxa"/>
            <w:noWrap w:val="0"/>
            <w:vAlign w:val="center"/>
          </w:tcPr>
          <w:p w14:paraId="0D53EE95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multivorans</w:t>
            </w:r>
          </w:p>
        </w:tc>
        <w:tc>
          <w:tcPr>
            <w:tcW w:w="2881" w:type="dxa"/>
            <w:noWrap w:val="0"/>
            <w:vAlign w:val="center"/>
          </w:tcPr>
          <w:p w14:paraId="7F3228C5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多噬（食）伯克霍尔德菌</w:t>
            </w:r>
          </w:p>
        </w:tc>
        <w:tc>
          <w:tcPr>
            <w:tcW w:w="2131" w:type="dxa"/>
            <w:noWrap w:val="0"/>
            <w:vAlign w:val="center"/>
          </w:tcPr>
          <w:p w14:paraId="01958BC4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基因型II</w:t>
            </w:r>
          </w:p>
        </w:tc>
      </w:tr>
      <w:tr w14:paraId="0CB89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noWrap w:val="0"/>
            <w:vAlign w:val="center"/>
          </w:tcPr>
          <w:p w14:paraId="03DDCA9A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3</w:t>
            </w:r>
          </w:p>
        </w:tc>
        <w:tc>
          <w:tcPr>
            <w:tcW w:w="2575" w:type="dxa"/>
            <w:noWrap w:val="0"/>
            <w:vAlign w:val="center"/>
          </w:tcPr>
          <w:p w14:paraId="4AC63371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cenocepacia</w:t>
            </w:r>
          </w:p>
        </w:tc>
        <w:tc>
          <w:tcPr>
            <w:tcW w:w="2881" w:type="dxa"/>
            <w:noWrap w:val="0"/>
            <w:vAlign w:val="center"/>
          </w:tcPr>
          <w:p w14:paraId="25ECC8E6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新洋葱伯克霍尔德菌</w:t>
            </w:r>
          </w:p>
        </w:tc>
        <w:tc>
          <w:tcPr>
            <w:tcW w:w="2131" w:type="dxa"/>
            <w:noWrap w:val="0"/>
            <w:vAlign w:val="center"/>
          </w:tcPr>
          <w:p w14:paraId="5455B520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基因型III</w:t>
            </w:r>
          </w:p>
        </w:tc>
      </w:tr>
      <w:tr w14:paraId="4AAB87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noWrap w:val="0"/>
            <w:vAlign w:val="center"/>
          </w:tcPr>
          <w:p w14:paraId="4FD73285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4</w:t>
            </w:r>
          </w:p>
        </w:tc>
        <w:tc>
          <w:tcPr>
            <w:tcW w:w="2575" w:type="dxa"/>
            <w:noWrap w:val="0"/>
            <w:vAlign w:val="center"/>
          </w:tcPr>
          <w:p w14:paraId="5DBE508B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stabilis</w:t>
            </w:r>
          </w:p>
        </w:tc>
        <w:tc>
          <w:tcPr>
            <w:tcW w:w="2881" w:type="dxa"/>
            <w:noWrap w:val="0"/>
            <w:vAlign w:val="center"/>
          </w:tcPr>
          <w:p w14:paraId="55CF35A1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稳定伯克霍尔德菌</w:t>
            </w:r>
          </w:p>
        </w:tc>
        <w:tc>
          <w:tcPr>
            <w:tcW w:w="2131" w:type="dxa"/>
            <w:noWrap w:val="0"/>
            <w:vAlign w:val="center"/>
          </w:tcPr>
          <w:p w14:paraId="63016F68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基因型IV</w:t>
            </w:r>
          </w:p>
        </w:tc>
      </w:tr>
      <w:tr w14:paraId="0A232E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noWrap w:val="0"/>
            <w:vAlign w:val="center"/>
          </w:tcPr>
          <w:p w14:paraId="1080CD84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5</w:t>
            </w:r>
          </w:p>
        </w:tc>
        <w:tc>
          <w:tcPr>
            <w:tcW w:w="2575" w:type="dxa"/>
            <w:noWrap w:val="0"/>
            <w:vAlign w:val="center"/>
          </w:tcPr>
          <w:p w14:paraId="353A9A9E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vietnamiensis</w:t>
            </w:r>
          </w:p>
        </w:tc>
        <w:tc>
          <w:tcPr>
            <w:tcW w:w="2881" w:type="dxa"/>
            <w:noWrap w:val="0"/>
            <w:vAlign w:val="center"/>
          </w:tcPr>
          <w:p w14:paraId="552617C9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越南伯克霍尔德菌</w:t>
            </w:r>
          </w:p>
        </w:tc>
        <w:tc>
          <w:tcPr>
            <w:tcW w:w="2131" w:type="dxa"/>
            <w:noWrap w:val="0"/>
            <w:vAlign w:val="center"/>
          </w:tcPr>
          <w:p w14:paraId="3F2E8F9A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基因型V</w:t>
            </w:r>
          </w:p>
        </w:tc>
      </w:tr>
      <w:tr w14:paraId="72126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noWrap w:val="0"/>
            <w:vAlign w:val="center"/>
          </w:tcPr>
          <w:p w14:paraId="1AE7C112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6</w:t>
            </w:r>
          </w:p>
        </w:tc>
        <w:tc>
          <w:tcPr>
            <w:tcW w:w="2575" w:type="dxa"/>
            <w:noWrap w:val="0"/>
            <w:vAlign w:val="center"/>
          </w:tcPr>
          <w:p w14:paraId="7DFF7743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dolosa</w:t>
            </w:r>
          </w:p>
        </w:tc>
        <w:tc>
          <w:tcPr>
            <w:tcW w:w="2881" w:type="dxa"/>
            <w:noWrap w:val="0"/>
            <w:vAlign w:val="center"/>
          </w:tcPr>
          <w:p w14:paraId="1EBC1BB7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狡猾伯克霍尔德菌</w:t>
            </w:r>
          </w:p>
        </w:tc>
        <w:tc>
          <w:tcPr>
            <w:tcW w:w="2131" w:type="dxa"/>
            <w:noWrap w:val="0"/>
            <w:vAlign w:val="center"/>
          </w:tcPr>
          <w:p w14:paraId="437C6148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基因型VI</w:t>
            </w:r>
          </w:p>
        </w:tc>
      </w:tr>
      <w:tr w14:paraId="0D28F2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noWrap w:val="0"/>
            <w:vAlign w:val="center"/>
          </w:tcPr>
          <w:p w14:paraId="35E42BC3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7</w:t>
            </w:r>
          </w:p>
        </w:tc>
        <w:tc>
          <w:tcPr>
            <w:tcW w:w="2575" w:type="dxa"/>
            <w:noWrap w:val="0"/>
            <w:vAlign w:val="center"/>
          </w:tcPr>
          <w:p w14:paraId="32117E2C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ambifaria</w:t>
            </w:r>
          </w:p>
        </w:tc>
        <w:tc>
          <w:tcPr>
            <w:tcW w:w="2881" w:type="dxa"/>
            <w:noWrap w:val="0"/>
            <w:vAlign w:val="center"/>
          </w:tcPr>
          <w:p w14:paraId="673596DB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双向伯克霍尔德菌</w:t>
            </w:r>
          </w:p>
        </w:tc>
        <w:tc>
          <w:tcPr>
            <w:tcW w:w="2131" w:type="dxa"/>
            <w:noWrap w:val="0"/>
            <w:vAlign w:val="center"/>
          </w:tcPr>
          <w:p w14:paraId="688C2452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基因型VII</w:t>
            </w:r>
          </w:p>
        </w:tc>
      </w:tr>
      <w:tr w14:paraId="4BFD3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noWrap w:val="0"/>
            <w:vAlign w:val="center"/>
          </w:tcPr>
          <w:p w14:paraId="1B3B488A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8</w:t>
            </w:r>
          </w:p>
        </w:tc>
        <w:tc>
          <w:tcPr>
            <w:tcW w:w="2575" w:type="dxa"/>
            <w:noWrap w:val="0"/>
            <w:vAlign w:val="center"/>
          </w:tcPr>
          <w:p w14:paraId="216C48B8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anthina</w:t>
            </w:r>
          </w:p>
        </w:tc>
        <w:tc>
          <w:tcPr>
            <w:tcW w:w="2881" w:type="dxa"/>
            <w:noWrap w:val="0"/>
            <w:vAlign w:val="center"/>
          </w:tcPr>
          <w:p w14:paraId="7F943F6F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花园伯克霍尔德菌</w:t>
            </w:r>
          </w:p>
        </w:tc>
        <w:tc>
          <w:tcPr>
            <w:tcW w:w="2131" w:type="dxa"/>
            <w:noWrap w:val="0"/>
            <w:vAlign w:val="center"/>
          </w:tcPr>
          <w:p w14:paraId="5F3297E6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基因型VIII</w:t>
            </w:r>
          </w:p>
        </w:tc>
      </w:tr>
      <w:tr w14:paraId="67A79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noWrap w:val="0"/>
            <w:vAlign w:val="center"/>
          </w:tcPr>
          <w:p w14:paraId="6801E653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9</w:t>
            </w:r>
          </w:p>
        </w:tc>
        <w:tc>
          <w:tcPr>
            <w:tcW w:w="2575" w:type="dxa"/>
            <w:noWrap w:val="0"/>
            <w:vAlign w:val="center"/>
          </w:tcPr>
          <w:p w14:paraId="14B9331D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pyrrocinia</w:t>
            </w:r>
          </w:p>
        </w:tc>
        <w:tc>
          <w:tcPr>
            <w:tcW w:w="2881" w:type="dxa"/>
            <w:noWrap w:val="0"/>
            <w:vAlign w:val="center"/>
          </w:tcPr>
          <w:p w14:paraId="7DEA4ADD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吡咯菌素伯克霍尔德菌</w:t>
            </w:r>
          </w:p>
        </w:tc>
        <w:tc>
          <w:tcPr>
            <w:tcW w:w="2131" w:type="dxa"/>
            <w:noWrap w:val="0"/>
            <w:vAlign w:val="center"/>
          </w:tcPr>
          <w:p w14:paraId="60827CA2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基因型IX</w:t>
            </w:r>
          </w:p>
        </w:tc>
      </w:tr>
      <w:tr w14:paraId="7589B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noWrap w:val="0"/>
            <w:vAlign w:val="center"/>
          </w:tcPr>
          <w:p w14:paraId="67B97A55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2575" w:type="dxa"/>
            <w:noWrap w:val="0"/>
            <w:vAlign w:val="center"/>
          </w:tcPr>
          <w:p w14:paraId="0A0DEC4D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latens</w:t>
            </w:r>
          </w:p>
        </w:tc>
        <w:tc>
          <w:tcPr>
            <w:tcW w:w="2881" w:type="dxa"/>
            <w:noWrap w:val="0"/>
            <w:vAlign w:val="center"/>
          </w:tcPr>
          <w:p w14:paraId="22509ABB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隐蔽伯克霍尔德菌</w:t>
            </w:r>
          </w:p>
        </w:tc>
        <w:tc>
          <w:tcPr>
            <w:tcW w:w="2131" w:type="dxa"/>
            <w:noWrap w:val="0"/>
            <w:vAlign w:val="center"/>
          </w:tcPr>
          <w:p w14:paraId="49D6834D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/</w:t>
            </w:r>
          </w:p>
        </w:tc>
      </w:tr>
      <w:tr w14:paraId="108AB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noWrap w:val="0"/>
            <w:vAlign w:val="center"/>
          </w:tcPr>
          <w:p w14:paraId="4CCB26CC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2575" w:type="dxa"/>
            <w:noWrap w:val="0"/>
            <w:vAlign w:val="center"/>
          </w:tcPr>
          <w:p w14:paraId="019EF238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diffusa</w:t>
            </w:r>
          </w:p>
        </w:tc>
        <w:tc>
          <w:tcPr>
            <w:tcW w:w="2881" w:type="dxa"/>
            <w:noWrap w:val="0"/>
            <w:vAlign w:val="center"/>
          </w:tcPr>
          <w:p w14:paraId="779673CD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广布伯克霍尔德菌</w:t>
            </w:r>
          </w:p>
        </w:tc>
        <w:tc>
          <w:tcPr>
            <w:tcW w:w="2131" w:type="dxa"/>
            <w:noWrap w:val="0"/>
            <w:vAlign w:val="center"/>
          </w:tcPr>
          <w:p w14:paraId="21705A73">
            <w:pPr>
              <w:spacing w:after="160" w:line="300" w:lineRule="auto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/</w:t>
            </w:r>
          </w:p>
        </w:tc>
      </w:tr>
      <w:tr w14:paraId="3CE5A426">
        <w:trPr>
          <w:trHeight w:val="454" w:hRule="atLeast"/>
          <w:jc w:val="center"/>
        </w:trPr>
        <w:tc>
          <w:tcPr>
            <w:tcW w:w="935" w:type="dxa"/>
            <w:noWrap w:val="0"/>
            <w:vAlign w:val="center"/>
          </w:tcPr>
          <w:p w14:paraId="3432CD40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2575" w:type="dxa"/>
            <w:noWrap w:val="0"/>
            <w:vAlign w:val="center"/>
          </w:tcPr>
          <w:p w14:paraId="3F649E8A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arboris</w:t>
            </w:r>
          </w:p>
        </w:tc>
        <w:tc>
          <w:tcPr>
            <w:tcW w:w="2881" w:type="dxa"/>
            <w:noWrap w:val="0"/>
            <w:vAlign w:val="center"/>
          </w:tcPr>
          <w:p w14:paraId="6BC19E64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森林伯克霍尔德菌</w:t>
            </w:r>
          </w:p>
        </w:tc>
        <w:tc>
          <w:tcPr>
            <w:tcW w:w="2131" w:type="dxa"/>
            <w:noWrap w:val="0"/>
            <w:vAlign w:val="center"/>
          </w:tcPr>
          <w:p w14:paraId="6C9FAEE5">
            <w:pPr>
              <w:spacing w:after="160" w:line="300" w:lineRule="auto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/</w:t>
            </w:r>
          </w:p>
        </w:tc>
      </w:tr>
      <w:tr w14:paraId="5EFA1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noWrap w:val="0"/>
            <w:vAlign w:val="center"/>
          </w:tcPr>
          <w:p w14:paraId="59FCC170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2575" w:type="dxa"/>
            <w:noWrap w:val="0"/>
            <w:vAlign w:val="center"/>
          </w:tcPr>
          <w:p w14:paraId="43001A31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seminalis</w:t>
            </w:r>
          </w:p>
        </w:tc>
        <w:tc>
          <w:tcPr>
            <w:tcW w:w="2881" w:type="dxa"/>
            <w:noWrap w:val="0"/>
            <w:vAlign w:val="center"/>
          </w:tcPr>
          <w:p w14:paraId="677AB70A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种子伯克霍尔德菌</w:t>
            </w:r>
          </w:p>
        </w:tc>
        <w:tc>
          <w:tcPr>
            <w:tcW w:w="2131" w:type="dxa"/>
            <w:noWrap w:val="0"/>
            <w:vAlign w:val="center"/>
          </w:tcPr>
          <w:p w14:paraId="3C00DAA2">
            <w:pPr>
              <w:spacing w:after="160" w:line="300" w:lineRule="auto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/</w:t>
            </w:r>
          </w:p>
        </w:tc>
      </w:tr>
      <w:tr w14:paraId="068D3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noWrap w:val="0"/>
            <w:vAlign w:val="center"/>
          </w:tcPr>
          <w:p w14:paraId="1F181527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2575" w:type="dxa"/>
            <w:noWrap w:val="0"/>
            <w:vAlign w:val="center"/>
          </w:tcPr>
          <w:p w14:paraId="4E916D82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metallica</w:t>
            </w:r>
          </w:p>
        </w:tc>
        <w:tc>
          <w:tcPr>
            <w:tcW w:w="2881" w:type="dxa"/>
            <w:noWrap w:val="0"/>
            <w:vAlign w:val="center"/>
          </w:tcPr>
          <w:p w14:paraId="734269F5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金属伯克霍尔德菌</w:t>
            </w:r>
          </w:p>
        </w:tc>
        <w:tc>
          <w:tcPr>
            <w:tcW w:w="2131" w:type="dxa"/>
            <w:noWrap w:val="0"/>
            <w:vAlign w:val="center"/>
          </w:tcPr>
          <w:p w14:paraId="0DE7084C">
            <w:pPr>
              <w:spacing w:after="160" w:line="300" w:lineRule="auto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/</w:t>
            </w:r>
          </w:p>
        </w:tc>
      </w:tr>
      <w:tr w14:paraId="6738F5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noWrap w:val="0"/>
            <w:vAlign w:val="center"/>
          </w:tcPr>
          <w:p w14:paraId="23A32E5F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2575" w:type="dxa"/>
            <w:noWrap w:val="0"/>
            <w:vAlign w:val="center"/>
          </w:tcPr>
          <w:p w14:paraId="62D2494D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ubonensis</w:t>
            </w:r>
          </w:p>
        </w:tc>
        <w:tc>
          <w:tcPr>
            <w:tcW w:w="2881" w:type="dxa"/>
            <w:noWrap w:val="0"/>
            <w:vAlign w:val="center"/>
          </w:tcPr>
          <w:p w14:paraId="663AB15E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乌汶伯克霍尔德菌</w:t>
            </w:r>
          </w:p>
        </w:tc>
        <w:tc>
          <w:tcPr>
            <w:tcW w:w="2131" w:type="dxa"/>
            <w:noWrap w:val="0"/>
            <w:vAlign w:val="center"/>
          </w:tcPr>
          <w:p w14:paraId="0DC570CC">
            <w:pPr>
              <w:spacing w:after="160" w:line="300" w:lineRule="auto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/</w:t>
            </w:r>
          </w:p>
        </w:tc>
      </w:tr>
      <w:tr w14:paraId="36CB5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noWrap w:val="0"/>
            <w:vAlign w:val="center"/>
          </w:tcPr>
          <w:p w14:paraId="0B910557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6</w:t>
            </w:r>
          </w:p>
        </w:tc>
        <w:tc>
          <w:tcPr>
            <w:tcW w:w="2575" w:type="dxa"/>
            <w:noWrap w:val="0"/>
            <w:vAlign w:val="center"/>
          </w:tcPr>
          <w:p w14:paraId="2132CFF7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contaminans</w:t>
            </w:r>
          </w:p>
        </w:tc>
        <w:tc>
          <w:tcPr>
            <w:tcW w:w="2881" w:type="dxa"/>
            <w:noWrap w:val="0"/>
            <w:vAlign w:val="center"/>
          </w:tcPr>
          <w:p w14:paraId="0A011F35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污染伯克霍尔德菌</w:t>
            </w:r>
          </w:p>
        </w:tc>
        <w:tc>
          <w:tcPr>
            <w:tcW w:w="2131" w:type="dxa"/>
            <w:noWrap w:val="0"/>
            <w:vAlign w:val="center"/>
          </w:tcPr>
          <w:p w14:paraId="1393F22A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Taxon K</w:t>
            </w:r>
          </w:p>
        </w:tc>
      </w:tr>
      <w:tr w14:paraId="4DF66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noWrap w:val="0"/>
            <w:vAlign w:val="center"/>
          </w:tcPr>
          <w:p w14:paraId="32EFA78E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7</w:t>
            </w:r>
          </w:p>
        </w:tc>
        <w:tc>
          <w:tcPr>
            <w:tcW w:w="2575" w:type="dxa"/>
            <w:noWrap w:val="0"/>
            <w:vAlign w:val="center"/>
          </w:tcPr>
          <w:p w14:paraId="37D7FED0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lata</w:t>
            </w:r>
          </w:p>
        </w:tc>
        <w:tc>
          <w:tcPr>
            <w:tcW w:w="2881" w:type="dxa"/>
            <w:noWrap w:val="0"/>
            <w:vAlign w:val="center"/>
          </w:tcPr>
          <w:p w14:paraId="638C41D6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普通伯克霍尔德菌</w:t>
            </w:r>
          </w:p>
        </w:tc>
        <w:tc>
          <w:tcPr>
            <w:tcW w:w="2131" w:type="dxa"/>
            <w:noWrap w:val="0"/>
            <w:vAlign w:val="center"/>
          </w:tcPr>
          <w:p w14:paraId="2E177DF2">
            <w:pPr>
              <w:spacing w:after="160" w:line="300" w:lineRule="auto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/</w:t>
            </w:r>
          </w:p>
        </w:tc>
      </w:tr>
      <w:tr w14:paraId="3BDE3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noWrap w:val="0"/>
            <w:vAlign w:val="center"/>
          </w:tcPr>
          <w:p w14:paraId="05C7788E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8</w:t>
            </w:r>
          </w:p>
        </w:tc>
        <w:tc>
          <w:tcPr>
            <w:tcW w:w="2575" w:type="dxa"/>
            <w:noWrap w:val="0"/>
            <w:vAlign w:val="center"/>
          </w:tcPr>
          <w:p w14:paraId="4CDA313D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stagnalis</w:t>
            </w:r>
          </w:p>
        </w:tc>
        <w:tc>
          <w:tcPr>
            <w:tcW w:w="2881" w:type="dxa"/>
            <w:noWrap w:val="0"/>
            <w:vAlign w:val="center"/>
          </w:tcPr>
          <w:p w14:paraId="2A6EFBCC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湖水伯克霍尔德菌</w:t>
            </w:r>
          </w:p>
        </w:tc>
        <w:tc>
          <w:tcPr>
            <w:tcW w:w="2131" w:type="dxa"/>
            <w:noWrap w:val="0"/>
            <w:vAlign w:val="center"/>
          </w:tcPr>
          <w:p w14:paraId="442A9E67">
            <w:pPr>
              <w:spacing w:after="160" w:line="300" w:lineRule="auto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/</w:t>
            </w:r>
          </w:p>
        </w:tc>
      </w:tr>
      <w:tr w14:paraId="481F8F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noWrap w:val="0"/>
            <w:vAlign w:val="center"/>
          </w:tcPr>
          <w:p w14:paraId="4330ED3F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9</w:t>
            </w:r>
          </w:p>
        </w:tc>
        <w:tc>
          <w:tcPr>
            <w:tcW w:w="2575" w:type="dxa"/>
            <w:noWrap w:val="0"/>
            <w:vAlign w:val="center"/>
          </w:tcPr>
          <w:p w14:paraId="354AC2ED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territorrii</w:t>
            </w:r>
          </w:p>
        </w:tc>
        <w:tc>
          <w:tcPr>
            <w:tcW w:w="2881" w:type="dxa"/>
            <w:noWrap w:val="0"/>
            <w:vAlign w:val="center"/>
          </w:tcPr>
          <w:p w14:paraId="235B9039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领土伯克霍尔德菌</w:t>
            </w:r>
          </w:p>
        </w:tc>
        <w:tc>
          <w:tcPr>
            <w:tcW w:w="2131" w:type="dxa"/>
            <w:noWrap w:val="0"/>
            <w:vAlign w:val="center"/>
          </w:tcPr>
          <w:p w14:paraId="6F0D50E1">
            <w:pPr>
              <w:spacing w:after="160" w:line="300" w:lineRule="auto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/</w:t>
            </w:r>
          </w:p>
        </w:tc>
      </w:tr>
      <w:tr w14:paraId="47461B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noWrap w:val="0"/>
            <w:vAlign w:val="center"/>
          </w:tcPr>
          <w:p w14:paraId="1180AA4B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2</w:t>
            </w:r>
            <w:r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2575" w:type="dxa"/>
            <w:noWrap w:val="0"/>
            <w:vAlign w:val="center"/>
          </w:tcPr>
          <w:p w14:paraId="52D101D4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pseudomultivorans</w:t>
            </w:r>
          </w:p>
        </w:tc>
        <w:tc>
          <w:tcPr>
            <w:tcW w:w="2881" w:type="dxa"/>
            <w:noWrap w:val="0"/>
            <w:vAlign w:val="center"/>
          </w:tcPr>
          <w:p w14:paraId="5703862B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假多噬伯克霍尔德菌</w:t>
            </w:r>
          </w:p>
        </w:tc>
        <w:tc>
          <w:tcPr>
            <w:tcW w:w="2131" w:type="dxa"/>
            <w:noWrap w:val="0"/>
            <w:vAlign w:val="center"/>
          </w:tcPr>
          <w:p w14:paraId="0BA5D536">
            <w:pPr>
              <w:spacing w:after="160" w:line="300" w:lineRule="auto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/</w:t>
            </w:r>
          </w:p>
        </w:tc>
      </w:tr>
      <w:tr w14:paraId="10D61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noWrap w:val="0"/>
            <w:vAlign w:val="center"/>
          </w:tcPr>
          <w:p w14:paraId="2F4856B9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2</w:t>
            </w:r>
            <w:r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2575" w:type="dxa"/>
            <w:noWrap w:val="0"/>
            <w:vAlign w:val="center"/>
          </w:tcPr>
          <w:p w14:paraId="7B5E52DF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catarinensis</w:t>
            </w:r>
          </w:p>
        </w:tc>
        <w:tc>
          <w:tcPr>
            <w:tcW w:w="2881" w:type="dxa"/>
            <w:noWrap w:val="0"/>
            <w:vAlign w:val="center"/>
          </w:tcPr>
          <w:p w14:paraId="3B0BEEF8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圣卡塔琳娜伯克霍尔德菌</w:t>
            </w:r>
          </w:p>
        </w:tc>
        <w:tc>
          <w:tcPr>
            <w:tcW w:w="2131" w:type="dxa"/>
            <w:noWrap w:val="0"/>
            <w:vAlign w:val="center"/>
          </w:tcPr>
          <w:p w14:paraId="3626D8E8">
            <w:pPr>
              <w:spacing w:after="160" w:line="300" w:lineRule="auto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/</w:t>
            </w:r>
          </w:p>
        </w:tc>
      </w:tr>
      <w:tr w14:paraId="000C9896">
        <w:trPr>
          <w:trHeight w:val="454" w:hRule="atLeast"/>
          <w:jc w:val="center"/>
        </w:trPr>
        <w:tc>
          <w:tcPr>
            <w:tcW w:w="935" w:type="dxa"/>
            <w:noWrap w:val="0"/>
            <w:vAlign w:val="center"/>
          </w:tcPr>
          <w:p w14:paraId="1BA10F2B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2</w:t>
            </w:r>
            <w:r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2575" w:type="dxa"/>
            <w:noWrap w:val="0"/>
            <w:vAlign w:val="center"/>
          </w:tcPr>
          <w:p w14:paraId="17736E5D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puraquae</w:t>
            </w:r>
          </w:p>
        </w:tc>
        <w:tc>
          <w:tcPr>
            <w:tcW w:w="2881" w:type="dxa"/>
            <w:noWrap w:val="0"/>
            <w:vAlign w:val="center"/>
          </w:tcPr>
          <w:p w14:paraId="6A71D10B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纯水伯克霍尔德菌</w:t>
            </w:r>
          </w:p>
        </w:tc>
        <w:tc>
          <w:tcPr>
            <w:tcW w:w="2131" w:type="dxa"/>
            <w:noWrap w:val="0"/>
            <w:vAlign w:val="center"/>
          </w:tcPr>
          <w:p w14:paraId="664301E1">
            <w:pPr>
              <w:spacing w:after="160" w:line="300" w:lineRule="auto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/</w:t>
            </w:r>
          </w:p>
        </w:tc>
      </w:tr>
      <w:tr w14:paraId="6E3DD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tcBorders>
              <w:bottom w:val="single" w:color="auto" w:sz="4" w:space="0"/>
            </w:tcBorders>
            <w:noWrap w:val="0"/>
            <w:vAlign w:val="center"/>
          </w:tcPr>
          <w:p w14:paraId="12C31B44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2</w:t>
            </w:r>
            <w:r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2575" w:type="dxa"/>
            <w:tcBorders>
              <w:bottom w:val="single" w:color="auto" w:sz="4" w:space="0"/>
            </w:tcBorders>
            <w:noWrap w:val="0"/>
            <w:vAlign w:val="center"/>
          </w:tcPr>
          <w:p w14:paraId="035E56CF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paludis</w:t>
            </w:r>
          </w:p>
        </w:tc>
        <w:tc>
          <w:tcPr>
            <w:tcW w:w="2881" w:type="dxa"/>
            <w:tcBorders>
              <w:bottom w:val="single" w:color="auto" w:sz="4" w:space="0"/>
            </w:tcBorders>
            <w:noWrap w:val="0"/>
            <w:vAlign w:val="center"/>
          </w:tcPr>
          <w:p w14:paraId="736FFCAD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沼泽伯克霍尔德菌</w:t>
            </w:r>
          </w:p>
        </w:tc>
        <w:tc>
          <w:tcPr>
            <w:tcW w:w="2131" w:type="dxa"/>
            <w:tcBorders>
              <w:bottom w:val="single" w:color="auto" w:sz="4" w:space="0"/>
            </w:tcBorders>
            <w:noWrap w:val="0"/>
            <w:vAlign w:val="center"/>
          </w:tcPr>
          <w:p w14:paraId="17327177">
            <w:pPr>
              <w:spacing w:after="160" w:line="300" w:lineRule="auto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/</w:t>
            </w:r>
          </w:p>
        </w:tc>
      </w:tr>
      <w:tr w14:paraId="7225AF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tcBorders>
              <w:top w:val="single" w:color="auto" w:sz="4" w:space="0"/>
            </w:tcBorders>
            <w:noWrap w:val="0"/>
            <w:vAlign w:val="center"/>
          </w:tcPr>
          <w:p w14:paraId="75410D0A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2</w:t>
            </w:r>
            <w:r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2575" w:type="dxa"/>
            <w:tcBorders>
              <w:top w:val="single" w:color="auto" w:sz="4" w:space="0"/>
            </w:tcBorders>
            <w:noWrap w:val="0"/>
            <w:vAlign w:val="center"/>
          </w:tcPr>
          <w:p w14:paraId="6D9F153A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szCs w:val="21"/>
              </w:rPr>
              <w:t>B. aenigmatica</w:t>
            </w:r>
          </w:p>
        </w:tc>
        <w:tc>
          <w:tcPr>
            <w:tcW w:w="2881" w:type="dxa"/>
            <w:tcBorders>
              <w:top w:val="single" w:color="auto" w:sz="4" w:space="0"/>
            </w:tcBorders>
            <w:noWrap w:val="0"/>
            <w:vAlign w:val="center"/>
          </w:tcPr>
          <w:p w14:paraId="331CCDDD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神秘伯克霍尔德菌</w:t>
            </w:r>
          </w:p>
        </w:tc>
        <w:tc>
          <w:tcPr>
            <w:tcW w:w="2131" w:type="dxa"/>
            <w:tcBorders>
              <w:top w:val="single" w:color="auto" w:sz="4" w:space="0"/>
            </w:tcBorders>
            <w:noWrap w:val="0"/>
            <w:vAlign w:val="center"/>
          </w:tcPr>
          <w:p w14:paraId="513F2AB7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Taxon K</w:t>
            </w:r>
          </w:p>
        </w:tc>
      </w:tr>
      <w:tr w14:paraId="7C190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5" w:type="dxa"/>
            <w:tcBorders>
              <w:bottom w:val="single" w:color="auto" w:sz="4" w:space="0"/>
            </w:tcBorders>
            <w:noWrap w:val="0"/>
            <w:vAlign w:val="center"/>
          </w:tcPr>
          <w:p w14:paraId="2167F09C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2</w:t>
            </w:r>
            <w:r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2575" w:type="dxa"/>
            <w:tcBorders>
              <w:bottom w:val="single" w:color="auto" w:sz="4" w:space="0"/>
            </w:tcBorders>
            <w:noWrap w:val="0"/>
            <w:vAlign w:val="center"/>
          </w:tcPr>
          <w:p w14:paraId="5B506907">
            <w:pPr>
              <w:spacing w:line="30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B.</w:t>
            </w:r>
            <w:r>
              <w:rPr>
                <w:rFonts w:hint="eastAsia" w:ascii="Times New Roman" w:hAnsi="Times New Roman"/>
                <w:i/>
                <w:iCs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Cs w:val="21"/>
              </w:rPr>
              <w:t>orbicola</w:t>
            </w:r>
          </w:p>
        </w:tc>
        <w:tc>
          <w:tcPr>
            <w:tcW w:w="2881" w:type="dxa"/>
            <w:tcBorders>
              <w:bottom w:val="single" w:color="auto" w:sz="4" w:space="0"/>
            </w:tcBorders>
            <w:noWrap w:val="0"/>
            <w:vAlign w:val="center"/>
          </w:tcPr>
          <w:p w14:paraId="294C0678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奥尔比科拉伯克霍尔德菌</w:t>
            </w:r>
          </w:p>
        </w:tc>
        <w:tc>
          <w:tcPr>
            <w:tcW w:w="2131" w:type="dxa"/>
            <w:tcBorders>
              <w:bottom w:val="single" w:color="auto" w:sz="4" w:space="0"/>
            </w:tcBorders>
            <w:noWrap w:val="0"/>
            <w:vAlign w:val="center"/>
          </w:tcPr>
          <w:p w14:paraId="24419E92">
            <w:pPr>
              <w:spacing w:line="30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/</w:t>
            </w:r>
          </w:p>
        </w:tc>
      </w:tr>
    </w:tbl>
    <w:p w14:paraId="2F528165">
      <w:pPr>
        <w:tabs>
          <w:tab w:val="right" w:leader="dot" w:pos="8844"/>
        </w:tabs>
        <w:spacing w:before="156" w:beforeLines="50" w:after="156" w:afterLines="50" w:line="300" w:lineRule="auto"/>
        <w:jc w:val="center"/>
        <w:outlineLvl w:val="9"/>
        <w:rPr>
          <w:rFonts w:ascii="黑体" w:hAnsi="黑体" w:eastAsia="黑体" w:cs="黑体"/>
          <w:kern w:val="2"/>
          <w:szCs w:val="21"/>
        </w:rPr>
      </w:pPr>
      <w:r>
        <w:rPr>
          <w:rFonts w:ascii="黑体" w:hAnsi="黑体" w:eastAsia="黑体" w:cs="黑体"/>
          <w:kern w:val="2"/>
          <w:szCs w:val="21"/>
        </w:rPr>
        <w:t>附录</w:t>
      </w:r>
      <w:r>
        <w:rPr>
          <w:rFonts w:hint="default" w:ascii="Times New Roman" w:hAnsi="Times New Roman" w:eastAsia="黑体" w:cs="Times New Roman"/>
          <w:kern w:val="2"/>
          <w:szCs w:val="21"/>
          <w:lang w:val="en-US" w:eastAsia="zh-CN"/>
        </w:rPr>
        <w:t>B</w:t>
      </w:r>
    </w:p>
    <w:p w14:paraId="4FD1D53E">
      <w:pPr>
        <w:spacing w:before="120" w:beforeLines="50" w:after="120" w:afterLines="50" w:line="300" w:lineRule="auto"/>
        <w:ind w:left="0"/>
        <w:jc w:val="center"/>
        <w:rPr>
          <w:rFonts w:ascii="黑体" w:hAnsi="黑体" w:eastAsia="黑体" w:cs="黑体"/>
          <w:kern w:val="2"/>
          <w:szCs w:val="21"/>
        </w:rPr>
      </w:pPr>
      <w:r>
        <w:rPr>
          <w:rFonts w:hint="eastAsia" w:ascii="黑体" w:hAnsi="黑体" w:eastAsia="黑体" w:cs="黑体"/>
          <w:kern w:val="0"/>
          <w:szCs w:val="21"/>
        </w:rPr>
        <w:t>（规范性附录）</w:t>
      </w:r>
    </w:p>
    <w:p w14:paraId="3F9620C4">
      <w:pPr>
        <w:spacing w:before="120" w:beforeLines="50" w:after="120" w:afterLines="50" w:line="300" w:lineRule="auto"/>
        <w:ind w:left="0"/>
        <w:jc w:val="center"/>
        <w:rPr>
          <w:rFonts w:ascii="黑体" w:hAnsi="黑体" w:eastAsia="黑体" w:cs="黑体"/>
          <w:kern w:val="0"/>
          <w:szCs w:val="21"/>
        </w:rPr>
      </w:pPr>
      <w:r>
        <w:rPr>
          <w:rFonts w:ascii="黑体" w:hAnsi="黑体" w:eastAsia="黑体" w:cs="黑体"/>
          <w:kern w:val="0"/>
          <w:szCs w:val="21"/>
        </w:rPr>
        <w:t>培养基和试剂</w:t>
      </w:r>
    </w:p>
    <w:p w14:paraId="466F1EE4">
      <w:pPr>
        <w:spacing w:before="120" w:beforeLines="50" w:after="120" w:afterLines="50" w:line="300" w:lineRule="auto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hint="eastAsia" w:ascii="Times New Roman" w:hAnsi="Times New Roman" w:cs="Times New Roman"/>
          <w:kern w:val="0"/>
          <w:szCs w:val="21"/>
          <w:lang w:val="en-US" w:eastAsia="zh-CN"/>
        </w:rPr>
        <w:t>B</w:t>
      </w:r>
      <w:r>
        <w:rPr>
          <w:rFonts w:ascii="Times New Roman" w:hAnsi="Times New Roman" w:eastAsia="宋体" w:cs="Times New Roman"/>
          <w:kern w:val="0"/>
          <w:szCs w:val="21"/>
        </w:rPr>
        <w:t>.1  SCDLP</w:t>
      </w:r>
      <w:r>
        <w:rPr>
          <w:rFonts w:hint="eastAsia" w:ascii="Times New Roman" w:hAnsi="Times New Roman" w:eastAsia="宋体" w:cs="Times New Roman"/>
          <w:kern w:val="0"/>
          <w:szCs w:val="21"/>
        </w:rPr>
        <w:t>液体培养基</w:t>
      </w:r>
    </w:p>
    <w:p w14:paraId="01A7CD2C">
      <w:pPr>
        <w:spacing w:before="120" w:beforeLines="50" w:after="120" w:afterLines="50" w:line="300" w:lineRule="auto"/>
        <w:ind w:firstLine="420" w:firstLineChars="200"/>
        <w:rPr>
          <w:rFonts w:ascii="Times New Roman" w:hAnsi="Times New Roman" w:eastAsia="宋体" w:cs="Times New Roman"/>
          <w:kern w:val="2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见微生物检验方法总则</w:t>
      </w:r>
      <w:r>
        <w:rPr>
          <w:rFonts w:hint="eastAsia" w:ascii="Times New Roman" w:hAnsi="Times New Roman" w:cs="Times New Roman"/>
          <w:kern w:val="0"/>
          <w:szCs w:val="21"/>
          <w:lang w:val="en-US" w:eastAsia="zh-CN"/>
        </w:rPr>
        <w:t>C</w:t>
      </w:r>
      <w:r>
        <w:rPr>
          <w:rFonts w:ascii="Times New Roman" w:hAnsi="Times New Roman" w:eastAsia="宋体" w:cs="Times New Roman"/>
          <w:kern w:val="0"/>
          <w:szCs w:val="21"/>
        </w:rPr>
        <w:t>.1</w:t>
      </w:r>
      <w:r>
        <w:rPr>
          <w:rFonts w:hint="eastAsia" w:ascii="Times New Roman" w:hAnsi="Times New Roman" w:eastAsia="宋体" w:cs="Times New Roman"/>
          <w:kern w:val="0"/>
          <w:szCs w:val="21"/>
        </w:rPr>
        <w:t>。</w:t>
      </w:r>
    </w:p>
    <w:p w14:paraId="62C4417E">
      <w:pPr>
        <w:spacing w:before="120" w:beforeLines="50" w:after="120" w:afterLines="50" w:line="300" w:lineRule="auto"/>
        <w:rPr>
          <w:rFonts w:ascii="Times New Roman" w:hAnsi="Times New Roman" w:eastAsia="宋体" w:cs="Times New Roman"/>
          <w:kern w:val="2"/>
          <w:szCs w:val="21"/>
        </w:rPr>
      </w:pPr>
      <w:r>
        <w:rPr>
          <w:rFonts w:hint="eastAsia" w:ascii="Times New Roman" w:hAnsi="Times New Roman" w:cs="Times New Roman"/>
          <w:kern w:val="2"/>
          <w:szCs w:val="21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kern w:val="2"/>
          <w:szCs w:val="21"/>
        </w:rPr>
        <w:t xml:space="preserve">.2  </w:t>
      </w:r>
      <w:r>
        <w:rPr>
          <w:rFonts w:ascii="Times New Roman" w:hAnsi="Times New Roman" w:eastAsia="宋体" w:cs="Times New Roman"/>
          <w:kern w:val="2"/>
          <w:szCs w:val="21"/>
        </w:rPr>
        <w:t>洋葱</w:t>
      </w:r>
      <w:r>
        <w:rPr>
          <w:rFonts w:hint="eastAsia" w:ascii="Times New Roman" w:hAnsi="Times New Roman" w:eastAsia="宋体" w:cs="Times New Roman"/>
          <w:kern w:val="2"/>
          <w:szCs w:val="21"/>
        </w:rPr>
        <w:t>伯克霍尔德菌</w:t>
      </w:r>
      <w:r>
        <w:rPr>
          <w:rFonts w:ascii="Times New Roman" w:hAnsi="Times New Roman" w:eastAsia="宋体" w:cs="Times New Roman"/>
          <w:kern w:val="2"/>
          <w:szCs w:val="21"/>
        </w:rPr>
        <w:t>选择性琼脂（BCSA）培养基</w:t>
      </w:r>
    </w:p>
    <w:p w14:paraId="4B2C188F">
      <w:pPr>
        <w:widowControl w:val="0"/>
        <w:tabs>
          <w:tab w:val="right" w:pos="4620"/>
        </w:tabs>
        <w:spacing w:after="0" w:line="300" w:lineRule="auto"/>
        <w:ind w:left="0" w:firstLine="525"/>
        <w:jc w:val="both"/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</w:pP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成分：胰蛋白胨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ab/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10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 xml:space="preserve">.0 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g</w:t>
      </w:r>
    </w:p>
    <w:p w14:paraId="065EE947">
      <w:pPr>
        <w:widowControl w:val="0"/>
        <w:tabs>
          <w:tab w:val="right" w:pos="4620"/>
        </w:tabs>
        <w:spacing w:after="0" w:line="300" w:lineRule="auto"/>
        <w:ind w:left="420" w:firstLine="735"/>
        <w:jc w:val="both"/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</w:pP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酵母浸粉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ab/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1.5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 xml:space="preserve"> 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g</w:t>
      </w:r>
    </w:p>
    <w:p w14:paraId="2E11C778">
      <w:pPr>
        <w:widowControl w:val="0"/>
        <w:tabs>
          <w:tab w:val="right" w:pos="4620"/>
        </w:tabs>
        <w:spacing w:after="0" w:line="300" w:lineRule="auto"/>
        <w:ind w:left="420" w:firstLine="735"/>
        <w:jc w:val="both"/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</w:pP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蔗糖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ab/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10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 xml:space="preserve">.0 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g</w:t>
      </w:r>
    </w:p>
    <w:p w14:paraId="7943FCC4">
      <w:pPr>
        <w:widowControl w:val="0"/>
        <w:tabs>
          <w:tab w:val="right" w:pos="4620"/>
        </w:tabs>
        <w:spacing w:after="0" w:line="300" w:lineRule="auto"/>
        <w:ind w:left="420" w:firstLine="735"/>
        <w:jc w:val="both"/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</w:pP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乳糖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ab/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10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 xml:space="preserve">.0 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g</w:t>
      </w:r>
    </w:p>
    <w:p w14:paraId="3ACB47B5">
      <w:pPr>
        <w:widowControl w:val="0"/>
        <w:tabs>
          <w:tab w:val="right" w:pos="4620"/>
        </w:tabs>
        <w:spacing w:after="0" w:line="300" w:lineRule="auto"/>
        <w:ind w:left="420" w:firstLine="735"/>
        <w:jc w:val="both"/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</w:pP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氯化钠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ab/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5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 xml:space="preserve">.0 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g</w:t>
      </w:r>
    </w:p>
    <w:p w14:paraId="58EC9486">
      <w:pPr>
        <w:widowControl w:val="0"/>
        <w:tabs>
          <w:tab w:val="right" w:pos="4620"/>
        </w:tabs>
        <w:spacing w:after="0" w:line="300" w:lineRule="auto"/>
        <w:ind w:left="420" w:firstLine="735"/>
        <w:jc w:val="both"/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</w:pP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酚红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ab/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0.08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 xml:space="preserve"> 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g</w:t>
      </w:r>
    </w:p>
    <w:p w14:paraId="11E734EC">
      <w:pPr>
        <w:widowControl w:val="0"/>
        <w:tabs>
          <w:tab w:val="right" w:pos="4620"/>
        </w:tabs>
        <w:spacing w:after="0" w:line="300" w:lineRule="auto"/>
        <w:ind w:left="420" w:firstLine="735"/>
        <w:jc w:val="both"/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</w:pP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结晶紫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ab/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2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 xml:space="preserve"> 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mg</w:t>
      </w:r>
    </w:p>
    <w:p w14:paraId="2290A4ED">
      <w:pPr>
        <w:widowControl w:val="0"/>
        <w:tabs>
          <w:tab w:val="right" w:pos="4620"/>
        </w:tabs>
        <w:spacing w:after="0" w:line="300" w:lineRule="auto"/>
        <w:ind w:left="420" w:firstLine="735"/>
        <w:jc w:val="both"/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</w:pP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庆大霉素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ab/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0.01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 xml:space="preserve"> 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g</w:t>
      </w:r>
    </w:p>
    <w:p w14:paraId="2A1EF794">
      <w:pPr>
        <w:widowControl w:val="0"/>
        <w:tabs>
          <w:tab w:val="right" w:pos="4620"/>
        </w:tabs>
        <w:spacing w:after="0" w:line="300" w:lineRule="auto"/>
        <w:ind w:left="420" w:firstLine="735"/>
        <w:jc w:val="both"/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</w:pP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万古霉素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ab/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2.5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 xml:space="preserve"> 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mg</w:t>
      </w:r>
    </w:p>
    <w:p w14:paraId="45049837">
      <w:pPr>
        <w:widowControl w:val="0"/>
        <w:tabs>
          <w:tab w:val="right" w:pos="4620"/>
        </w:tabs>
        <w:spacing w:after="0" w:line="300" w:lineRule="auto"/>
        <w:ind w:left="420" w:firstLine="735"/>
        <w:jc w:val="both"/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</w:pP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多粘菌素B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ab/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600000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 xml:space="preserve"> 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U</w:t>
      </w:r>
    </w:p>
    <w:p w14:paraId="031AFB7A">
      <w:pPr>
        <w:widowControl w:val="0"/>
        <w:tabs>
          <w:tab w:val="right" w:pos="4620"/>
        </w:tabs>
        <w:spacing w:after="0" w:line="300" w:lineRule="auto"/>
        <w:ind w:left="420" w:firstLine="735"/>
        <w:jc w:val="both"/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</w:pP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琼脂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ab/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14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 xml:space="preserve">.0 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g</w:t>
      </w:r>
    </w:p>
    <w:p w14:paraId="1D611F67">
      <w:pPr>
        <w:widowControl w:val="0"/>
        <w:tabs>
          <w:tab w:val="right" w:pos="4620"/>
        </w:tabs>
        <w:spacing w:after="0" w:line="300" w:lineRule="auto"/>
        <w:ind w:left="420" w:firstLine="735"/>
        <w:jc w:val="both"/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</w:pP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蒸馏水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ab/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1000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 xml:space="preserve"> 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>mL</w:t>
      </w:r>
    </w:p>
    <w:p w14:paraId="50F39CF0">
      <w:pPr>
        <w:widowControl w:val="0"/>
        <w:spacing w:after="0" w:line="300" w:lineRule="auto"/>
        <w:ind w:left="0" w:firstLine="420"/>
        <w:jc w:val="both"/>
        <w:rPr>
          <w:rFonts w:ascii="Times New Roman" w:hAnsi="Times New Roman" w:eastAsia="宋体" w:cs="Times New Roman"/>
          <w:sz w:val="21"/>
          <w:szCs w:val="21"/>
          <w:lang w:val="en-US" w:eastAsia="zh-CN" w:bidi="ar-SA"/>
        </w:rPr>
      </w:pPr>
      <w:r>
        <w:rPr>
          <w:rFonts w:ascii="Times New Roman" w:hAnsi="Times New Roman" w:eastAsia="宋体" w:cs="Times New Roman"/>
          <w:sz w:val="21"/>
          <w:szCs w:val="21"/>
          <w:lang w:val="en-US" w:eastAsia="zh-CN" w:bidi="ar-SA"/>
        </w:rPr>
        <w:t>制法：除琼脂、庆大霉素、万古霉素和多黏菌素B外，取上述成分混合，微温溶解，调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 w:bidi="ar-SA"/>
        </w:rPr>
        <w:t>节</w:t>
      </w:r>
      <w:r>
        <w:rPr>
          <w:rFonts w:ascii="Times New Roman" w:hAnsi="Times New Roman" w:eastAsia="宋体" w:cs="Times New Roman"/>
          <w:sz w:val="21"/>
          <w:szCs w:val="21"/>
          <w:lang w:val="en-US" w:eastAsia="zh-CN" w:bidi="ar-SA"/>
        </w:rPr>
        <w:t>pH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 w:bidi="ar-SA"/>
        </w:rPr>
        <w:t>值</w:t>
      </w:r>
      <w:r>
        <w:rPr>
          <w:rFonts w:ascii="Times New Roman" w:hAnsi="Times New Roman" w:eastAsia="宋体" w:cs="Times New Roman"/>
          <w:sz w:val="21"/>
          <w:szCs w:val="21"/>
          <w:lang w:val="en-US" w:eastAsia="zh-CN" w:bidi="ar-SA"/>
        </w:rPr>
        <w:t>，加入琼脂，加热融化后，121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 w:bidi="ar-SA"/>
        </w:rPr>
        <w:t xml:space="preserve"> </w:t>
      </w:r>
      <w:r>
        <w:rPr>
          <w:rFonts w:ascii="Times New Roman" w:hAnsi="Times New Roman" w:eastAsia="宋体" w:cs="Times New Roman"/>
          <w:sz w:val="21"/>
          <w:szCs w:val="21"/>
          <w:lang w:val="en-US" w:eastAsia="zh-CN" w:bidi="ar-SA"/>
        </w:rPr>
        <w:t>℃高压灭菌15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 w:bidi="ar-SA"/>
        </w:rPr>
        <w:t xml:space="preserve"> </w:t>
      </w:r>
      <w:r>
        <w:rPr>
          <w:rFonts w:ascii="Times New Roman" w:hAnsi="Times New Roman" w:eastAsia="宋体" w:cs="Times New Roman"/>
          <w:sz w:val="21"/>
          <w:szCs w:val="21"/>
          <w:lang w:val="en-US" w:eastAsia="zh-CN" w:bidi="ar-SA"/>
        </w:rPr>
        <w:t>min，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 w:bidi="ar-SA"/>
        </w:rPr>
        <w:t>待</w:t>
      </w:r>
      <w:r>
        <w:rPr>
          <w:rFonts w:ascii="Times New Roman" w:hAnsi="Times New Roman" w:eastAsia="宋体" w:cs="Times New Roman"/>
          <w:sz w:val="21"/>
          <w:szCs w:val="21"/>
          <w:lang w:val="en-US" w:eastAsia="zh-CN" w:bidi="ar-SA"/>
        </w:rPr>
        <w:t>冷却至45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 w:bidi="ar-SA"/>
        </w:rPr>
        <w:t>~</w:t>
      </w:r>
      <w:r>
        <w:rPr>
          <w:rFonts w:ascii="Times New Roman" w:hAnsi="Times New Roman" w:eastAsia="宋体" w:cs="Times New Roman"/>
          <w:sz w:val="21"/>
          <w:szCs w:val="21"/>
          <w:lang w:val="en-US" w:eastAsia="zh-CN" w:bidi="ar-SA"/>
        </w:rPr>
        <w:t>50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 w:bidi="ar-SA"/>
        </w:rPr>
        <w:t xml:space="preserve"> </w:t>
      </w:r>
      <w:r>
        <w:rPr>
          <w:rFonts w:ascii="Times New Roman" w:hAnsi="Times New Roman" w:eastAsia="宋体" w:cs="Times New Roman"/>
          <w:sz w:val="21"/>
          <w:szCs w:val="21"/>
          <w:lang w:val="en-US" w:eastAsia="zh-CN" w:bidi="ar-SA"/>
        </w:rPr>
        <w:t>℃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 w:bidi="ar-SA"/>
        </w:rPr>
        <w:t>再</w:t>
      </w:r>
      <w:r>
        <w:rPr>
          <w:rFonts w:ascii="Times New Roman" w:hAnsi="Times New Roman" w:eastAsia="宋体" w:cs="Times New Roman"/>
          <w:sz w:val="21"/>
          <w:szCs w:val="21"/>
          <w:lang w:val="en-US" w:eastAsia="zh-CN" w:bidi="ar-SA"/>
        </w:rPr>
        <w:t>加入庆大霉素、万古霉素和多粘菌素B，混匀，倾注平板。</w:t>
      </w:r>
      <w:r>
        <w:rPr>
          <w:rFonts w:hint="eastAsia" w:ascii="Times New Roman" w:hAnsi="Times New Roman" w:cs="Times New Roman"/>
          <w:sz w:val="21"/>
          <w:szCs w:val="21"/>
          <w:lang w:val="en-US" w:eastAsia="zh-CN" w:bidi="ar-SA"/>
        </w:rPr>
        <w:t>室温下培养基pH值应为</w:t>
      </w:r>
      <w:r>
        <w:rPr>
          <w:rFonts w:ascii="Times New Roman" w:hAnsi="Times New Roman" w:eastAsia="宋体" w:cs="Times New Roman"/>
          <w:sz w:val="21"/>
          <w:szCs w:val="21"/>
          <w:lang w:val="en-US" w:eastAsia="zh-CN" w:bidi="ar-SA"/>
        </w:rPr>
        <w:t>6.8±0.2</w:t>
      </w:r>
      <w:r>
        <w:rPr>
          <w:rFonts w:hint="eastAsia" w:ascii="Times New Roman" w:hAnsi="Times New Roman" w:cs="Times New Roman"/>
          <w:sz w:val="21"/>
          <w:szCs w:val="21"/>
          <w:lang w:val="en-US" w:eastAsia="zh-CN" w:bidi="ar-SA"/>
        </w:rPr>
        <w:t>。</w:t>
      </w:r>
    </w:p>
    <w:p w14:paraId="798FD2E7">
      <w:pPr>
        <w:spacing w:before="120" w:beforeLines="50" w:after="120" w:afterLines="50" w:line="300" w:lineRule="auto"/>
        <w:rPr>
          <w:rFonts w:ascii="Times New Roman" w:hAnsi="Times New Roman" w:eastAsia="宋体" w:cs="Times New Roman"/>
          <w:kern w:val="2"/>
          <w:szCs w:val="21"/>
        </w:rPr>
      </w:pPr>
      <w:r>
        <w:rPr>
          <w:rFonts w:hint="eastAsia" w:ascii="Times New Roman" w:hAnsi="Times New Roman" w:cs="Times New Roman"/>
          <w:kern w:val="2"/>
          <w:szCs w:val="21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kern w:val="2"/>
          <w:szCs w:val="21"/>
        </w:rPr>
        <w:t xml:space="preserve">.3  </w:t>
      </w:r>
      <w:r>
        <w:rPr>
          <w:rFonts w:ascii="Times New Roman" w:hAnsi="Times New Roman" w:eastAsia="宋体" w:cs="Times New Roman"/>
          <w:kern w:val="2"/>
          <w:szCs w:val="21"/>
        </w:rPr>
        <w:t>氧化酶试剂</w:t>
      </w:r>
    </w:p>
    <w:p w14:paraId="0D1B20D7">
      <w:pPr>
        <w:tabs>
          <w:tab w:val="right" w:pos="4620"/>
        </w:tabs>
        <w:spacing w:after="0" w:line="300" w:lineRule="auto"/>
        <w:ind w:firstLine="420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ascii="Times New Roman" w:hAnsi="Times New Roman" w:eastAsia="宋体" w:cs="Times New Roman"/>
          <w:kern w:val="0"/>
          <w:szCs w:val="21"/>
        </w:rPr>
        <w:t>成分</w:t>
      </w:r>
      <w:r>
        <w:rPr>
          <w:rFonts w:hint="eastAsia" w:ascii="Times New Roman" w:hAnsi="Times New Roman" w:eastAsia="宋体" w:cs="Times New Roman"/>
          <w:kern w:val="0"/>
          <w:szCs w:val="21"/>
        </w:rPr>
        <w:t>：</w:t>
      </w:r>
      <w:r>
        <w:rPr>
          <w:rFonts w:ascii="Times New Roman" w:hAnsi="Times New Roman" w:eastAsia="宋体" w:cs="Times New Roman"/>
          <w:kern w:val="0"/>
          <w:szCs w:val="21"/>
        </w:rPr>
        <w:t>四甲基对苯二胺盐酸盐</w:t>
      </w:r>
      <w:r>
        <w:rPr>
          <w:rFonts w:ascii="Times New Roman" w:hAnsi="Times New Roman" w:eastAsia="宋体" w:cs="Times New Roman"/>
          <w:kern w:val="0"/>
          <w:szCs w:val="21"/>
        </w:rPr>
        <w:tab/>
      </w:r>
      <w:r>
        <w:rPr>
          <w:rFonts w:ascii="Times New Roman" w:hAnsi="Times New Roman" w:eastAsia="宋体" w:cs="Times New Roman"/>
          <w:kern w:val="0"/>
          <w:szCs w:val="21"/>
        </w:rPr>
        <w:t>1.0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</w:t>
      </w:r>
      <w:r>
        <w:rPr>
          <w:rFonts w:ascii="Times New Roman" w:hAnsi="Times New Roman" w:eastAsia="宋体" w:cs="Times New Roman"/>
          <w:kern w:val="0"/>
          <w:szCs w:val="21"/>
        </w:rPr>
        <w:t>g</w:t>
      </w:r>
    </w:p>
    <w:p w14:paraId="77E468E9">
      <w:pPr>
        <w:tabs>
          <w:tab w:val="right" w:pos="4620"/>
        </w:tabs>
        <w:spacing w:after="0" w:line="300" w:lineRule="auto"/>
        <w:ind w:firstLine="1050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ascii="Times New Roman" w:hAnsi="Times New Roman" w:eastAsia="宋体" w:cs="Times New Roman"/>
          <w:kern w:val="0"/>
          <w:szCs w:val="21"/>
        </w:rPr>
        <w:t>蒸馏水</w:t>
      </w:r>
      <w:r>
        <w:rPr>
          <w:rFonts w:ascii="Times New Roman" w:hAnsi="Times New Roman" w:eastAsia="宋体" w:cs="Times New Roman"/>
          <w:kern w:val="0"/>
          <w:szCs w:val="21"/>
        </w:rPr>
        <w:tab/>
      </w:r>
      <w:r>
        <w:rPr>
          <w:rFonts w:ascii="Times New Roman" w:hAnsi="Times New Roman" w:eastAsia="宋体" w:cs="Times New Roman"/>
          <w:kern w:val="0"/>
          <w:szCs w:val="21"/>
        </w:rPr>
        <w:t>100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</w:t>
      </w:r>
      <w:r>
        <w:rPr>
          <w:rFonts w:ascii="Times New Roman" w:hAnsi="Times New Roman" w:eastAsia="宋体" w:cs="Times New Roman"/>
          <w:kern w:val="0"/>
          <w:szCs w:val="21"/>
        </w:rPr>
        <w:t>mL</w:t>
      </w:r>
    </w:p>
    <w:p w14:paraId="4D7200B0">
      <w:pPr>
        <w:widowControl w:val="0"/>
        <w:spacing w:after="0" w:line="300" w:lineRule="auto"/>
        <w:ind w:left="0" w:firstLine="420"/>
        <w:jc w:val="both"/>
        <w:rPr>
          <w:rFonts w:ascii="Times New Roman" w:hAnsi="Times New Roman" w:eastAsia="宋体" w:cs="Times New Roman"/>
          <w:sz w:val="21"/>
          <w:szCs w:val="21"/>
          <w:lang w:val="en-US" w:eastAsia="zh-CN" w:bidi="ar-SA"/>
        </w:rPr>
      </w:pPr>
      <w:r>
        <w:rPr>
          <w:rFonts w:ascii="Times New Roman" w:hAnsi="Times New Roman" w:eastAsia="宋体" w:cs="Times New Roman"/>
          <w:sz w:val="21"/>
          <w:szCs w:val="21"/>
          <w:lang w:val="en-US" w:eastAsia="zh-CN" w:bidi="ar-SA"/>
        </w:rPr>
        <w:t>制法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 w:bidi="ar-SA"/>
        </w:rPr>
        <w:t>：</w:t>
      </w:r>
      <w:r>
        <w:rPr>
          <w:rFonts w:ascii="Times New Roman" w:hAnsi="Times New Roman" w:eastAsia="宋体" w:cs="Times New Roman"/>
          <w:sz w:val="21"/>
          <w:szCs w:val="21"/>
          <w:lang w:val="en-US" w:eastAsia="zh-CN" w:bidi="ar-SA"/>
        </w:rPr>
        <w:t>使用前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 w:bidi="ar-SA"/>
        </w:rPr>
        <w:t>取上述成分</w:t>
      </w:r>
      <w:r>
        <w:rPr>
          <w:rFonts w:ascii="Times New Roman" w:hAnsi="Times New Roman" w:eastAsia="宋体" w:cs="Times New Roman"/>
          <w:sz w:val="21"/>
          <w:szCs w:val="21"/>
          <w:lang w:val="en-US" w:eastAsia="zh-CN" w:bidi="ar-SA"/>
        </w:rPr>
        <w:t>溶于蒸馏水中。</w:t>
      </w:r>
    </w:p>
    <w:p w14:paraId="58512F5A">
      <w:pPr>
        <w:spacing w:before="120" w:beforeLines="50" w:after="120" w:afterLines="50" w:line="300" w:lineRule="auto"/>
        <w:rPr>
          <w:rFonts w:ascii="Times New Roman" w:hAnsi="Times New Roman" w:eastAsia="宋体" w:cs="Times New Roman"/>
          <w:kern w:val="2"/>
          <w:szCs w:val="21"/>
        </w:rPr>
      </w:pPr>
      <w:r>
        <w:rPr>
          <w:rFonts w:hint="eastAsia" w:ascii="Times New Roman" w:hAnsi="Times New Roman" w:cs="Times New Roman"/>
          <w:kern w:val="2"/>
          <w:szCs w:val="21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kern w:val="2"/>
          <w:szCs w:val="21"/>
        </w:rPr>
        <w:t>.</w:t>
      </w:r>
      <w:r>
        <w:rPr>
          <w:rFonts w:hint="eastAsia" w:ascii="Times New Roman" w:hAnsi="Times New Roman" w:cs="Times New Roman"/>
          <w:kern w:val="2"/>
          <w:szCs w:val="21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kern w:val="2"/>
          <w:szCs w:val="21"/>
        </w:rPr>
        <w:t xml:space="preserve">  西蒙氏枸橼酸盐琼脂培养基</w:t>
      </w:r>
    </w:p>
    <w:p w14:paraId="3F727ED3">
      <w:pPr>
        <w:widowControl w:val="0"/>
        <w:tabs>
          <w:tab w:val="right" w:pos="4620"/>
        </w:tabs>
        <w:spacing w:after="0" w:line="300" w:lineRule="auto"/>
        <w:ind w:left="0" w:firstLine="420"/>
        <w:jc w:val="both"/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成分：氯化钠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ab/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5.0 g</w:t>
      </w:r>
    </w:p>
    <w:p w14:paraId="7AE8D7CD">
      <w:pPr>
        <w:widowControl w:val="0"/>
        <w:tabs>
          <w:tab w:val="right" w:pos="4620"/>
        </w:tabs>
        <w:spacing w:after="0" w:line="300" w:lineRule="auto"/>
        <w:ind w:left="0" w:firstLine="1050" w:firstLineChars="500"/>
        <w:jc w:val="both"/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硫酸镁（MgSO</w:t>
      </w:r>
      <w:r>
        <w:rPr>
          <w:rFonts w:hint="eastAsia" w:ascii="Times New Roman" w:hAnsi="Times New Roman" w:eastAsia="宋体" w:cs="Times New Roman"/>
          <w:sz w:val="21"/>
          <w:szCs w:val="20"/>
          <w:vertAlign w:val="subscript"/>
          <w:lang w:val="en-US" w:eastAsia="zh-CN" w:bidi="ar-SA"/>
        </w:rPr>
        <w:t>4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·7 H</w:t>
      </w:r>
      <w:r>
        <w:rPr>
          <w:rFonts w:hint="eastAsia" w:ascii="Times New Roman" w:hAnsi="Times New Roman" w:eastAsia="宋体" w:cs="Times New Roman"/>
          <w:sz w:val="21"/>
          <w:szCs w:val="20"/>
          <w:vertAlign w:val="subscript"/>
          <w:lang w:val="en-US" w:eastAsia="zh-CN" w:bidi="ar-SA"/>
        </w:rPr>
        <w:t>2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O）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ab/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0.2 g</w:t>
      </w:r>
    </w:p>
    <w:p w14:paraId="7ACC3C7E">
      <w:pPr>
        <w:widowControl w:val="0"/>
        <w:tabs>
          <w:tab w:val="right" w:pos="4620"/>
        </w:tabs>
        <w:spacing w:after="0" w:line="300" w:lineRule="auto"/>
        <w:ind w:left="0" w:firstLine="1050" w:firstLineChars="500"/>
        <w:jc w:val="both"/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磷酸二氢铵（NH</w:t>
      </w:r>
      <w:r>
        <w:rPr>
          <w:rFonts w:hint="eastAsia" w:ascii="Times New Roman" w:hAnsi="Times New Roman" w:eastAsia="宋体" w:cs="Times New Roman"/>
          <w:sz w:val="21"/>
          <w:szCs w:val="20"/>
          <w:vertAlign w:val="subscript"/>
          <w:lang w:val="en-US" w:eastAsia="zh-CN" w:bidi="ar-SA"/>
        </w:rPr>
        <w:t>4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H</w:t>
      </w:r>
      <w:r>
        <w:rPr>
          <w:rFonts w:hint="eastAsia" w:ascii="Times New Roman" w:hAnsi="Times New Roman" w:eastAsia="宋体" w:cs="Times New Roman"/>
          <w:sz w:val="21"/>
          <w:szCs w:val="20"/>
          <w:vertAlign w:val="subscript"/>
          <w:lang w:val="en-US" w:eastAsia="zh-CN" w:bidi="ar-SA"/>
        </w:rPr>
        <w:t>2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PO</w:t>
      </w:r>
      <w:r>
        <w:rPr>
          <w:rFonts w:hint="eastAsia" w:ascii="Times New Roman" w:hAnsi="Times New Roman" w:eastAsia="宋体" w:cs="Times New Roman"/>
          <w:sz w:val="21"/>
          <w:szCs w:val="20"/>
          <w:vertAlign w:val="subscript"/>
          <w:lang w:val="en-US" w:eastAsia="zh-CN" w:bidi="ar-SA"/>
        </w:rPr>
        <w:t>4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）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ab/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1.0 g</w:t>
      </w:r>
    </w:p>
    <w:p w14:paraId="547EE87F">
      <w:pPr>
        <w:widowControl w:val="0"/>
        <w:tabs>
          <w:tab w:val="right" w:pos="4620"/>
        </w:tabs>
        <w:spacing w:after="0" w:line="300" w:lineRule="auto"/>
        <w:ind w:left="0" w:firstLine="1050" w:firstLineChars="500"/>
        <w:jc w:val="both"/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磷酸氢二钾（K</w:t>
      </w:r>
      <w:r>
        <w:rPr>
          <w:rFonts w:hint="eastAsia" w:ascii="Times New Roman" w:hAnsi="Times New Roman" w:eastAsia="宋体" w:cs="Times New Roman"/>
          <w:sz w:val="21"/>
          <w:szCs w:val="20"/>
          <w:vertAlign w:val="subscript"/>
          <w:lang w:val="en-US" w:eastAsia="zh-CN" w:bidi="ar-SA"/>
        </w:rPr>
        <w:t>2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HPO</w:t>
      </w:r>
      <w:r>
        <w:rPr>
          <w:rFonts w:hint="eastAsia" w:ascii="Times New Roman" w:hAnsi="Times New Roman" w:eastAsia="宋体" w:cs="Times New Roman"/>
          <w:sz w:val="21"/>
          <w:szCs w:val="20"/>
          <w:vertAlign w:val="subscript"/>
          <w:lang w:val="en-US" w:eastAsia="zh-CN" w:bidi="ar-SA"/>
        </w:rPr>
        <w:t>4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）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ab/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1.0 g</w:t>
      </w:r>
    </w:p>
    <w:p w14:paraId="5CDB440E">
      <w:pPr>
        <w:widowControl w:val="0"/>
        <w:tabs>
          <w:tab w:val="right" w:pos="4620"/>
        </w:tabs>
        <w:spacing w:after="0" w:line="300" w:lineRule="auto"/>
        <w:ind w:left="0" w:firstLine="1050" w:firstLineChars="500"/>
        <w:jc w:val="both"/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柠檬酸钠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ab/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5.0 g</w:t>
      </w:r>
    </w:p>
    <w:p w14:paraId="00903D85">
      <w:pPr>
        <w:widowControl w:val="0"/>
        <w:tabs>
          <w:tab w:val="right" w:pos="4620"/>
        </w:tabs>
        <w:spacing w:after="0" w:line="300" w:lineRule="auto"/>
        <w:ind w:left="0" w:firstLine="1050" w:firstLineChars="500"/>
        <w:jc w:val="both"/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琼脂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ab/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20.0 g</w:t>
      </w:r>
    </w:p>
    <w:p w14:paraId="2F035041">
      <w:pPr>
        <w:widowControl w:val="0"/>
        <w:tabs>
          <w:tab w:val="right" w:pos="4620"/>
        </w:tabs>
        <w:spacing w:after="0" w:line="300" w:lineRule="auto"/>
        <w:ind w:left="0" w:firstLine="1050" w:firstLineChars="500"/>
        <w:jc w:val="both"/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0.2%溴麝香草酚蓝溶液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ab/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40.0 mL</w:t>
      </w:r>
    </w:p>
    <w:p w14:paraId="250D92FA">
      <w:pPr>
        <w:widowControl w:val="0"/>
        <w:tabs>
          <w:tab w:val="right" w:pos="4620"/>
        </w:tabs>
        <w:spacing w:after="0" w:line="300" w:lineRule="auto"/>
        <w:ind w:left="0" w:firstLine="1050" w:firstLineChars="500"/>
        <w:jc w:val="both"/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蒸馏水</w:t>
      </w:r>
      <w:r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  <w:tab/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1000 mL</w:t>
      </w:r>
    </w:p>
    <w:p w14:paraId="28A9DF1D">
      <w:pPr>
        <w:widowControl w:val="0"/>
        <w:spacing w:after="0" w:line="300" w:lineRule="auto"/>
        <w:ind w:left="0" w:firstLine="420"/>
        <w:jc w:val="both"/>
        <w:rPr>
          <w:rFonts w:ascii="Times New Roman" w:hAnsi="Times New Roman" w:eastAsia="宋体" w:cs="Times New Roman"/>
          <w:sz w:val="21"/>
          <w:szCs w:val="2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 xml:space="preserve">制法：将盐类溶于水中，调节pH值，加入琼脂，加热融化后加入过滤后的溴麝香草酚蓝溶液，混合均匀，分装试管，121 </w:t>
      </w:r>
      <w:r>
        <w:rPr>
          <w:rFonts w:ascii="Times New Roman" w:hAnsi="Times New Roman" w:eastAsia="宋体" w:cs="Times New Roman"/>
          <w:sz w:val="21"/>
          <w:szCs w:val="21"/>
          <w:lang w:val="en-US" w:eastAsia="zh-CN" w:bidi="ar-SA"/>
        </w:rPr>
        <w:t>℃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 w:bidi="ar-SA"/>
        </w:rPr>
        <w:t>高压灭菌15 min，制成斜面备用。</w:t>
      </w:r>
      <w:r>
        <w:rPr>
          <w:rFonts w:hint="eastAsia" w:ascii="Times New Roman" w:hAnsi="Times New Roman" w:cs="Times New Roman"/>
          <w:sz w:val="21"/>
          <w:szCs w:val="21"/>
          <w:lang w:val="en-US" w:eastAsia="zh-CN" w:bidi="ar-SA"/>
        </w:rPr>
        <w:t>室温下培养基pH值应为</w:t>
      </w:r>
      <w:r>
        <w:rPr>
          <w:rFonts w:ascii="Times New Roman" w:hAnsi="Times New Roman" w:eastAsia="宋体" w:cs="Times New Roman"/>
          <w:sz w:val="21"/>
          <w:szCs w:val="21"/>
          <w:lang w:val="en-US" w:eastAsia="zh-CN" w:bidi="ar-SA"/>
        </w:rPr>
        <w:t>6.8±0.2</w:t>
      </w:r>
      <w:r>
        <w:rPr>
          <w:rFonts w:hint="eastAsia" w:ascii="Times New Roman" w:hAnsi="Times New Roman" w:cs="Times New Roman"/>
          <w:sz w:val="21"/>
          <w:szCs w:val="21"/>
          <w:lang w:val="en-US" w:eastAsia="zh-CN" w:bidi="ar-SA"/>
        </w:rPr>
        <w:t>。</w:t>
      </w:r>
    </w:p>
    <w:p w14:paraId="477674C1">
      <w:pPr>
        <w:spacing w:before="120" w:beforeLines="50" w:after="120" w:afterLines="50" w:line="300" w:lineRule="auto"/>
        <w:rPr>
          <w:rFonts w:ascii="Times New Roman" w:hAnsi="Times New Roman" w:eastAsia="宋体" w:cs="Times New Roman"/>
          <w:kern w:val="2"/>
          <w:szCs w:val="21"/>
        </w:rPr>
      </w:pPr>
      <w:r>
        <w:rPr>
          <w:rFonts w:hint="eastAsia" w:ascii="Times New Roman" w:hAnsi="Times New Roman" w:cs="Times New Roman"/>
          <w:kern w:val="2"/>
          <w:szCs w:val="21"/>
          <w:lang w:val="en-US" w:eastAsia="zh-CN"/>
        </w:rPr>
        <w:t>B</w:t>
      </w:r>
      <w:r>
        <w:rPr>
          <w:rFonts w:ascii="Times New Roman" w:hAnsi="Times New Roman" w:eastAsia="宋体" w:cs="Times New Roman"/>
          <w:kern w:val="2"/>
          <w:szCs w:val="21"/>
        </w:rPr>
        <w:t>.</w:t>
      </w:r>
      <w:r>
        <w:rPr>
          <w:rFonts w:hint="eastAsia" w:ascii="Times New Roman" w:hAnsi="Times New Roman" w:cs="Times New Roman"/>
          <w:kern w:val="2"/>
          <w:szCs w:val="21"/>
          <w:lang w:val="en-US" w:eastAsia="zh-CN"/>
        </w:rPr>
        <w:t>5</w:t>
      </w:r>
      <w:r>
        <w:rPr>
          <w:rFonts w:ascii="Times New Roman" w:hAnsi="Times New Roman" w:eastAsia="宋体" w:cs="Times New Roman"/>
          <w:color w:val="FF0000"/>
          <w:kern w:val="2"/>
          <w:szCs w:val="21"/>
        </w:rPr>
        <w:t xml:space="preserve">  </w:t>
      </w:r>
      <w:r>
        <w:rPr>
          <w:rFonts w:hint="eastAsia" w:ascii="Times New Roman" w:hAnsi="Times New Roman" w:eastAsia="宋体" w:cs="Times New Roman"/>
          <w:kern w:val="2"/>
          <w:szCs w:val="21"/>
        </w:rPr>
        <w:t>胰酪大豆胨琼脂（TSA）培养基</w:t>
      </w:r>
    </w:p>
    <w:p w14:paraId="115AF767">
      <w:pPr>
        <w:widowControl w:val="0"/>
        <w:spacing w:after="0" w:line="300" w:lineRule="auto"/>
        <w:ind w:firstLine="420"/>
        <w:jc w:val="both"/>
        <w:rPr>
          <w:rFonts w:hint="eastAsia" w:ascii="Times New Roman" w:hAnsi="Times New Roman" w:eastAsia="宋体" w:cs="Times New Roman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 w:bidi="ar-SA"/>
        </w:rPr>
        <w:t>见微生物检验方法总则</w:t>
      </w:r>
      <w:r>
        <w:rPr>
          <w:rFonts w:hint="eastAsia" w:ascii="Times New Roman" w:hAnsi="Times New Roman" w:cs="Times New Roman"/>
          <w:sz w:val="21"/>
          <w:szCs w:val="21"/>
          <w:lang w:val="en-US" w:eastAsia="zh-CN" w:bidi="ar-SA"/>
        </w:rPr>
        <w:t>C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 w:bidi="ar-SA"/>
        </w:rPr>
        <w:t>.2。</w:t>
      </w:r>
    </w:p>
    <w:p w14:paraId="248881FB">
      <w:pPr>
        <w:spacing w:line="300" w:lineRule="auto"/>
        <w:rPr>
          <w:rFonts w:ascii="Times New Roman" w:hAnsi="Times New Roman"/>
          <w:szCs w:val="21"/>
        </w:rPr>
      </w:pPr>
    </w:p>
    <w:p w14:paraId="7B9A5E37">
      <w:pPr>
        <w:widowControl/>
        <w:spacing w:before="156" w:beforeLines="50" w:after="156" w:afterLines="50" w:line="300" w:lineRule="auto"/>
        <w:jc w:val="center"/>
        <w:outlineLvl w:val="9"/>
        <w:rPr>
          <w:rFonts w:ascii="黑体" w:hAnsi="黑体" w:eastAsia="黑体" w:cs="黑体"/>
          <w:szCs w:val="21"/>
        </w:rPr>
      </w:pPr>
      <w:r>
        <w:rPr>
          <w:rFonts w:ascii="黑体" w:hAnsi="黑体" w:eastAsia="黑体" w:cs="黑体"/>
          <w:szCs w:val="21"/>
        </w:rPr>
        <w:br w:type="page"/>
      </w:r>
      <w:r>
        <w:rPr>
          <w:rFonts w:ascii="黑体" w:hAnsi="黑体" w:eastAsia="黑体" w:cs="黑体"/>
          <w:szCs w:val="21"/>
        </w:rPr>
        <w:t>附录</w:t>
      </w:r>
      <w:r>
        <w:rPr>
          <w:rFonts w:hint="eastAsia" w:ascii="黑体" w:hAnsi="黑体" w:eastAsia="黑体" w:cs="黑体"/>
          <w:kern w:val="0"/>
          <w:szCs w:val="21"/>
        </w:rPr>
        <w:t>C</w:t>
      </w:r>
    </w:p>
    <w:p w14:paraId="78437636">
      <w:pPr>
        <w:widowControl/>
        <w:spacing w:before="156" w:beforeLines="50" w:after="156" w:afterLines="50" w:line="300" w:lineRule="auto"/>
        <w:jc w:val="center"/>
        <w:rPr>
          <w:rFonts w:ascii="黑体" w:hAnsi="黑体" w:eastAsia="黑体" w:cs="黑体"/>
          <w:kern w:val="0"/>
          <w:szCs w:val="21"/>
        </w:rPr>
      </w:pPr>
      <w:r>
        <w:rPr>
          <w:rFonts w:hint="eastAsia" w:ascii="黑体" w:hAnsi="黑体" w:eastAsia="黑体" w:cs="黑体"/>
          <w:kern w:val="0"/>
          <w:szCs w:val="21"/>
        </w:rPr>
        <w:t>（资料性附录）</w:t>
      </w:r>
    </w:p>
    <w:p w14:paraId="48ABD4A7">
      <w:pPr>
        <w:spacing w:before="156" w:beforeLines="50" w:after="156" w:afterLines="50" w:line="300" w:lineRule="auto"/>
        <w:jc w:val="center"/>
        <w:rPr>
          <w:rFonts w:ascii="黑体" w:hAnsi="黑体" w:eastAsia="黑体" w:cs="黑体"/>
          <w:kern w:val="0"/>
          <w:szCs w:val="21"/>
        </w:rPr>
      </w:pPr>
      <w:r>
        <w:rPr>
          <w:rFonts w:ascii="黑体" w:hAnsi="黑体" w:eastAsia="黑体" w:cs="黑体"/>
          <w:kern w:val="0"/>
          <w:szCs w:val="21"/>
        </w:rPr>
        <w:t>推荐质控菌株</w:t>
      </w:r>
    </w:p>
    <w:p w14:paraId="21120D42">
      <w:pPr>
        <w:spacing w:before="156" w:beforeLines="50" w:after="156" w:afterLines="50" w:line="300" w:lineRule="auto"/>
        <w:jc w:val="center"/>
        <w:rPr>
          <w:rFonts w:ascii="黑体" w:hAnsi="黑体" w:eastAsia="黑体" w:cs="黑体"/>
          <w:kern w:val="0"/>
          <w:szCs w:val="21"/>
        </w:rPr>
      </w:pPr>
      <w:r>
        <w:rPr>
          <w:rFonts w:hint="eastAsia" w:ascii="黑体" w:hAnsi="黑体" w:eastAsia="黑体" w:cs="黑体"/>
          <w:kern w:val="0"/>
          <w:szCs w:val="21"/>
        </w:rPr>
        <w:t>表</w:t>
      </w:r>
      <w:r>
        <w:rPr>
          <w:rFonts w:ascii="Times New Roman" w:hAnsi="Times New Roman" w:eastAsia="黑体"/>
          <w:kern w:val="0"/>
          <w:szCs w:val="21"/>
        </w:rPr>
        <w:t>C.1</w:t>
      </w:r>
      <w:r>
        <w:rPr>
          <w:rFonts w:hint="eastAsia" w:ascii="黑体" w:hAnsi="黑体" w:eastAsia="黑体" w:cs="黑体"/>
          <w:kern w:val="0"/>
          <w:szCs w:val="21"/>
        </w:rPr>
        <w:t xml:space="preserve"> 推荐质控菌株信息表</w:t>
      </w:r>
    </w:p>
    <w:tbl>
      <w:tblPr>
        <w:tblStyle w:val="2"/>
        <w:tblW w:w="89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1875"/>
        <w:gridCol w:w="2155"/>
        <w:gridCol w:w="1475"/>
        <w:gridCol w:w="1230"/>
        <w:gridCol w:w="1471"/>
      </w:tblGrid>
      <w:tr w14:paraId="2F6AC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9" w:type="dxa"/>
            <w:noWrap w:val="0"/>
            <w:vAlign w:val="center"/>
          </w:tcPr>
          <w:p w14:paraId="450A7E6C">
            <w:pPr>
              <w:widowControl/>
              <w:spacing w:line="300" w:lineRule="auto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序号</w:t>
            </w:r>
            <w:r>
              <w:rPr>
                <w:rFonts w:ascii="Times New Roman" w:hAnsi="Times New Roman" w:eastAsia="等线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875" w:type="dxa"/>
            <w:noWrap w:val="0"/>
            <w:vAlign w:val="center"/>
          </w:tcPr>
          <w:p w14:paraId="357D0AE4">
            <w:pPr>
              <w:widowControl/>
              <w:spacing w:line="300" w:lineRule="auto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中文名</w:t>
            </w:r>
          </w:p>
        </w:tc>
        <w:tc>
          <w:tcPr>
            <w:tcW w:w="2155" w:type="dxa"/>
            <w:noWrap w:val="0"/>
            <w:vAlign w:val="center"/>
          </w:tcPr>
          <w:p w14:paraId="7A6DB020">
            <w:pPr>
              <w:widowControl/>
              <w:spacing w:line="300" w:lineRule="auto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拉丁名</w:t>
            </w:r>
          </w:p>
        </w:tc>
        <w:tc>
          <w:tcPr>
            <w:tcW w:w="1475" w:type="dxa"/>
            <w:noWrap w:val="0"/>
            <w:vAlign w:val="center"/>
          </w:tcPr>
          <w:p w14:paraId="17AF93CF">
            <w:pPr>
              <w:widowControl/>
              <w:spacing w:line="300" w:lineRule="auto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CMCC编号</w:t>
            </w:r>
            <w:r>
              <w:rPr>
                <w:rFonts w:ascii="Times New Roman" w:hAnsi="Times New Roman" w:eastAsia="黑体"/>
                <w:color w:val="000000"/>
                <w:kern w:val="0"/>
                <w:vertAlign w:val="superscript"/>
              </w:rPr>
              <w:t>b</w:t>
            </w:r>
          </w:p>
        </w:tc>
        <w:tc>
          <w:tcPr>
            <w:tcW w:w="1230" w:type="dxa"/>
            <w:noWrap w:val="0"/>
            <w:vAlign w:val="center"/>
          </w:tcPr>
          <w:p w14:paraId="6792F418">
            <w:pPr>
              <w:widowControl/>
              <w:spacing w:line="300" w:lineRule="auto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CICC编号</w:t>
            </w: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471" w:type="dxa"/>
            <w:noWrap w:val="0"/>
            <w:vAlign w:val="center"/>
          </w:tcPr>
          <w:p w14:paraId="14FF7323">
            <w:pPr>
              <w:widowControl/>
              <w:spacing w:line="300" w:lineRule="auto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GDMCC编号</w:t>
            </w: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  <w:vertAlign w:val="superscript"/>
              </w:rPr>
              <w:t>d</w:t>
            </w:r>
          </w:p>
        </w:tc>
      </w:tr>
      <w:tr w14:paraId="1D73E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9" w:type="dxa"/>
            <w:noWrap w:val="0"/>
            <w:vAlign w:val="center"/>
          </w:tcPr>
          <w:p w14:paraId="4A74363D">
            <w:pPr>
              <w:widowControl/>
              <w:spacing w:line="300" w:lineRule="auto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875" w:type="dxa"/>
            <w:noWrap w:val="0"/>
            <w:vAlign w:val="center"/>
          </w:tcPr>
          <w:p w14:paraId="0241696F">
            <w:pPr>
              <w:widowControl/>
              <w:spacing w:line="300" w:lineRule="auto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洋葱伯克霍尔德菌</w:t>
            </w:r>
          </w:p>
        </w:tc>
        <w:tc>
          <w:tcPr>
            <w:tcW w:w="2155" w:type="dxa"/>
            <w:noWrap w:val="0"/>
            <w:vAlign w:val="center"/>
          </w:tcPr>
          <w:p w14:paraId="0BFA882B">
            <w:pPr>
              <w:widowControl/>
              <w:spacing w:line="300" w:lineRule="auto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18"/>
                <w:szCs w:val="18"/>
              </w:rPr>
              <w:t>Burkholderia cepacia</w:t>
            </w:r>
          </w:p>
        </w:tc>
        <w:tc>
          <w:tcPr>
            <w:tcW w:w="1475" w:type="dxa"/>
            <w:noWrap w:val="0"/>
            <w:vAlign w:val="center"/>
          </w:tcPr>
          <w:p w14:paraId="25012856">
            <w:pPr>
              <w:widowControl/>
              <w:spacing w:line="300" w:lineRule="auto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sz w:val="18"/>
                <w:szCs w:val="18"/>
              </w:rPr>
              <w:t>CMCC(B)23015</w:t>
            </w:r>
          </w:p>
        </w:tc>
        <w:tc>
          <w:tcPr>
            <w:tcW w:w="1230" w:type="dxa"/>
            <w:noWrap w:val="0"/>
            <w:vAlign w:val="center"/>
          </w:tcPr>
          <w:p w14:paraId="75704FCC">
            <w:pPr>
              <w:widowControl/>
              <w:spacing w:line="300" w:lineRule="auto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sz w:val="18"/>
                <w:szCs w:val="18"/>
                <w:lang w:bidi="ar"/>
              </w:rPr>
              <w:t>CICC 25293</w:t>
            </w:r>
          </w:p>
        </w:tc>
        <w:tc>
          <w:tcPr>
            <w:tcW w:w="1471" w:type="dxa"/>
            <w:noWrap w:val="0"/>
            <w:vAlign w:val="center"/>
          </w:tcPr>
          <w:p w14:paraId="15324BCC">
            <w:pPr>
              <w:widowControl/>
              <w:spacing w:line="300" w:lineRule="auto"/>
              <w:jc w:val="center"/>
              <w:rPr>
                <w:rFonts w:ascii="Times New Roman" w:hAnsi="Times New Roman" w:eastAsia="等线"/>
                <w:color w:val="00000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18"/>
                <w:szCs w:val="18"/>
              </w:rPr>
              <w:t>GDMCC 1.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18"/>
                <w:szCs w:val="18"/>
              </w:rPr>
              <w:t>6857</w:t>
            </w:r>
          </w:p>
        </w:tc>
      </w:tr>
      <w:tr w14:paraId="59D95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9" w:type="dxa"/>
            <w:noWrap w:val="0"/>
            <w:vAlign w:val="center"/>
          </w:tcPr>
          <w:p w14:paraId="62045D7D">
            <w:pPr>
              <w:widowControl/>
              <w:spacing w:line="300" w:lineRule="auto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875" w:type="dxa"/>
            <w:noWrap w:val="0"/>
            <w:vAlign w:val="center"/>
          </w:tcPr>
          <w:p w14:paraId="55857189">
            <w:pPr>
              <w:widowControl/>
              <w:spacing w:line="300" w:lineRule="auto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新洋葱伯克霍尔德菌</w:t>
            </w:r>
          </w:p>
        </w:tc>
        <w:tc>
          <w:tcPr>
            <w:tcW w:w="2155" w:type="dxa"/>
            <w:noWrap w:val="0"/>
            <w:vAlign w:val="center"/>
          </w:tcPr>
          <w:p w14:paraId="21081AD3">
            <w:pPr>
              <w:widowControl/>
              <w:spacing w:line="300" w:lineRule="auto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18"/>
                <w:szCs w:val="18"/>
              </w:rPr>
              <w:t>Burkholderia cenocepacia</w:t>
            </w:r>
          </w:p>
        </w:tc>
        <w:tc>
          <w:tcPr>
            <w:tcW w:w="1475" w:type="dxa"/>
            <w:noWrap w:val="0"/>
            <w:vAlign w:val="center"/>
          </w:tcPr>
          <w:p w14:paraId="4055E774">
            <w:pPr>
              <w:widowControl/>
              <w:spacing w:line="300" w:lineRule="auto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sz w:val="18"/>
                <w:szCs w:val="18"/>
              </w:rPr>
              <w:t>CMCC(B)23014</w:t>
            </w:r>
          </w:p>
        </w:tc>
        <w:tc>
          <w:tcPr>
            <w:tcW w:w="1230" w:type="dxa"/>
            <w:noWrap w:val="0"/>
            <w:vAlign w:val="center"/>
          </w:tcPr>
          <w:p w14:paraId="647F030D">
            <w:pPr>
              <w:widowControl/>
              <w:spacing w:line="300" w:lineRule="auto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sz w:val="18"/>
                <w:szCs w:val="18"/>
                <w:lang w:bidi="ar"/>
              </w:rPr>
              <w:t>CICC 25294</w:t>
            </w:r>
          </w:p>
        </w:tc>
        <w:tc>
          <w:tcPr>
            <w:tcW w:w="1471" w:type="dxa"/>
            <w:noWrap w:val="0"/>
            <w:vAlign w:val="center"/>
          </w:tcPr>
          <w:p w14:paraId="7DE9BCBC">
            <w:pPr>
              <w:widowControl/>
              <w:spacing w:line="300" w:lineRule="auto"/>
              <w:jc w:val="center"/>
              <w:rPr>
                <w:rFonts w:ascii="Times New Roman" w:hAnsi="Times New Roman" w:eastAsia="等线"/>
                <w:color w:val="00000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 w:val="18"/>
                <w:szCs w:val="18"/>
              </w:rPr>
              <w:t>GDMCC 1.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18"/>
                <w:szCs w:val="18"/>
              </w:rPr>
              <w:t>6856</w:t>
            </w:r>
          </w:p>
        </w:tc>
      </w:tr>
      <w:tr w14:paraId="511CA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05" w:type="dxa"/>
            <w:gridSpan w:val="6"/>
            <w:noWrap w:val="0"/>
            <w:vAlign w:val="center"/>
          </w:tcPr>
          <w:p w14:paraId="35728A71">
            <w:pPr>
              <w:widowControl/>
              <w:spacing w:before="156" w:beforeLines="50" w:line="300" w:lineRule="auto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  <w:t>a：同一序号菌种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18"/>
                <w:szCs w:val="18"/>
              </w:rPr>
              <w:t>的</w:t>
            </w:r>
            <w:r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  <w:t>不同编号为同一株菌在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18"/>
                <w:szCs w:val="18"/>
              </w:rPr>
              <w:t>不同</w:t>
            </w:r>
            <w:r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  <w:t>菌种保藏管理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18"/>
                <w:szCs w:val="18"/>
              </w:rPr>
              <w:t>机构</w:t>
            </w:r>
            <w:r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  <w:t>同时注册获得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18"/>
                <w:szCs w:val="18"/>
              </w:rPr>
              <w:t>；</w:t>
            </w:r>
          </w:p>
          <w:p w14:paraId="20DCEB56">
            <w:pPr>
              <w:widowControl/>
              <w:spacing w:line="300" w:lineRule="auto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  <w:t>b：CMCC代表中国医学细菌保藏管理中心；</w:t>
            </w:r>
          </w:p>
          <w:p w14:paraId="5F926673">
            <w:pPr>
              <w:widowControl/>
              <w:spacing w:line="300" w:lineRule="auto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  <w:t>c：CICC代表中国工业微生物菌种保藏管理中心；</w:t>
            </w:r>
          </w:p>
          <w:p w14:paraId="42377BB0">
            <w:pPr>
              <w:widowControl/>
              <w:spacing w:line="300" w:lineRule="auto"/>
              <w:rPr>
                <w:rFonts w:ascii="Times New Roman" w:hAnsi="Times New Roman" w:eastAsia="等线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  <w:t>d：GDMCC代表广东省微生物菌种保藏管理中心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18"/>
                <w:szCs w:val="18"/>
              </w:rPr>
              <w:t>。</w:t>
            </w:r>
          </w:p>
        </w:tc>
      </w:tr>
    </w:tbl>
    <w:p w14:paraId="6758A51E">
      <w:bookmarkStart w:id="12" w:name="_GoBack"/>
      <w:bookmarkEnd w:id="1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F42835"/>
    <w:rsid w:val="5BF4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2026-11-02T08:46:00Z</dcterms:created>
  <dc:creator>YU</dc:creator>
  <cp:lastModifiedBy>YU</cp:lastModifiedBy>
  <dcterms:modified xsi:type="dcterms:W3CDTF">2026-11-02T08:46:58Z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6D8186911707453CA3905FE05DEFBA60_11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