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F7227E">
      <w:pPr>
        <w:widowControl/>
        <w:tabs>
          <w:tab w:val="right" w:leader="dot" w:pos="8844"/>
        </w:tabs>
        <w:spacing w:after="156" w:afterLines="50"/>
        <w:ind w:firstLine="0" w:firstLineChars="0"/>
        <w:rPr>
          <w:rFonts w:ascii="黑体" w:hAnsi="黑体" w:eastAsia="黑体"/>
          <w:kern w:val="0"/>
          <w:sz w:val="32"/>
          <w:szCs w:val="32"/>
        </w:rPr>
      </w:pPr>
      <w:r>
        <w:rPr>
          <w:rFonts w:hint="eastAsia" w:ascii="黑体" w:hAnsi="黑体" w:eastAsia="黑体"/>
          <w:kern w:val="0"/>
          <w:sz w:val="32"/>
          <w:szCs w:val="32"/>
        </w:rPr>
        <w:t>附件8</w:t>
      </w:r>
    </w:p>
    <w:p w14:paraId="6BA4C073">
      <w:pPr>
        <w:widowControl/>
        <w:tabs>
          <w:tab w:val="right" w:leader="dot" w:pos="8844"/>
        </w:tabs>
        <w:spacing w:before="156" w:beforeLines="50" w:after="156" w:afterLines="50"/>
        <w:ind w:firstLine="0" w:firstLineChars="0"/>
        <w:jc w:val="center"/>
        <w:rPr>
          <w:rFonts w:eastAsia="黑体"/>
          <w:kern w:val="0"/>
          <w:sz w:val="32"/>
          <w:szCs w:val="32"/>
        </w:rPr>
      </w:pPr>
      <w:r>
        <w:rPr>
          <w:rFonts w:hint="eastAsia" w:eastAsia="黑体"/>
          <w:kern w:val="0"/>
          <w:sz w:val="32"/>
          <w:szCs w:val="32"/>
        </w:rPr>
        <w:t>胶原蛋白凝胶眼刺激性试验方法</w:t>
      </w:r>
    </w:p>
    <w:p w14:paraId="2E14EBD6">
      <w:pPr>
        <w:pStyle w:val="4"/>
        <w:tabs>
          <w:tab w:val="center" w:pos="4201"/>
          <w:tab w:val="right" w:leader="dot" w:pos="9298"/>
        </w:tabs>
        <w:spacing w:before="156" w:beforeLines="50" w:after="156" w:afterLines="50" w:line="300" w:lineRule="auto"/>
        <w:ind w:firstLine="0" w:firstLineChars="0"/>
        <w:jc w:val="center"/>
        <w:rPr>
          <w:rFonts w:ascii="Times New Roman"/>
          <w:szCs w:val="21"/>
        </w:rPr>
      </w:pPr>
      <w:r>
        <w:rPr>
          <w:rFonts w:ascii="Times New Roman"/>
          <w:szCs w:val="21"/>
        </w:rPr>
        <w:t>Vitrigel-Eye Irritancy Test Method</w:t>
      </w:r>
    </w:p>
    <w:p w14:paraId="5B323A23">
      <w:pPr>
        <w:pStyle w:val="5"/>
        <w:numPr>
          <w:ilvl w:val="0"/>
          <w:numId w:val="0"/>
        </w:numPr>
        <w:spacing w:before="156" w:beforeLines="50" w:after="156" w:afterLines="50" w:line="300" w:lineRule="auto"/>
        <w:outlineLvl w:val="0"/>
        <w:rPr>
          <w:sz w:val="21"/>
          <w:szCs w:val="21"/>
        </w:rPr>
      </w:pPr>
      <w:bookmarkStart w:id="0" w:name="_Toc503519659"/>
      <w:bookmarkStart w:id="1" w:name="_Toc63344313"/>
      <w:bookmarkStart w:id="2" w:name="_Toc501702188"/>
      <w:bookmarkStart w:id="3" w:name="_Toc503343069"/>
      <w:bookmarkStart w:id="4" w:name="_Toc503519095"/>
      <w:bookmarkStart w:id="5" w:name="_Toc62568678"/>
      <w:bookmarkStart w:id="6" w:name="_Toc503190402"/>
      <w:bookmarkStart w:id="7" w:name="_Toc21230"/>
      <w:bookmarkStart w:id="8" w:name="_Toc41467363"/>
      <w:bookmarkStart w:id="9" w:name="_Toc502936952"/>
      <w:bookmarkStart w:id="10" w:name="_Toc19497"/>
      <w:bookmarkStart w:id="11" w:name="_Toc40174254"/>
      <w:bookmarkStart w:id="12" w:name="_Toc40174294"/>
      <w:bookmarkStart w:id="13" w:name="_Toc53216265"/>
      <w:bookmarkStart w:id="14" w:name="_Toc40278335"/>
      <w:bookmarkStart w:id="15" w:name="_Toc155249904"/>
      <w:bookmarkStart w:id="16" w:name="_Toc61358997"/>
      <w:bookmarkStart w:id="17" w:name="_Toc40174365"/>
      <w:bookmarkStart w:id="18" w:name="_Toc54710253"/>
      <w:bookmarkStart w:id="19" w:name="_Toc6417"/>
      <w:bookmarkStart w:id="20" w:name="_Toc501618229"/>
      <w:bookmarkStart w:id="21" w:name="_Toc503166218"/>
      <w:bookmarkStart w:id="22" w:name="_Toc61949116"/>
      <w:bookmarkStart w:id="23" w:name="_Toc21217"/>
      <w:bookmarkStart w:id="24" w:name="_Toc61515469"/>
      <w:bookmarkStart w:id="25" w:name="_Toc61444520"/>
      <w:bookmarkStart w:id="26" w:name="_Toc61444624"/>
      <w:bookmarkStart w:id="27" w:name="_Toc40859805"/>
      <w:bookmarkStart w:id="28" w:name="_Toc501702296"/>
      <w:bookmarkStart w:id="29" w:name="_Toc502936854"/>
      <w:bookmarkStart w:id="30" w:name="_Toc53216308"/>
      <w:bookmarkStart w:id="31" w:name="_Toc61358970"/>
      <w:bookmarkStart w:id="32" w:name="_Toc61444364"/>
      <w:bookmarkStart w:id="33" w:name="_Toc48292396"/>
      <w:r>
        <w:rPr>
          <w:rFonts w:ascii="Times New Roman"/>
          <w:sz w:val="21"/>
          <w:szCs w:val="21"/>
        </w:rPr>
        <w:t>1</w:t>
      </w:r>
      <w:r>
        <w:rPr>
          <w:rFonts w:hint="eastAsia" w:ascii="Times New Roman"/>
          <w:sz w:val="21"/>
          <w:szCs w:val="21"/>
        </w:rPr>
        <w:t xml:space="preserve">  </w:t>
      </w:r>
      <w:r>
        <w:rPr>
          <w:rFonts w:hint="eastAsia"/>
          <w:sz w:val="21"/>
          <w:szCs w:val="21"/>
        </w:rPr>
        <w:t>范围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</w:p>
    <w:p w14:paraId="2F3CC391">
      <w:pPr>
        <w:pStyle w:val="4"/>
        <w:tabs>
          <w:tab w:val="center" w:pos="4201"/>
          <w:tab w:val="right" w:leader="dot" w:pos="9298"/>
        </w:tabs>
        <w:spacing w:line="300" w:lineRule="auto"/>
        <w:ind w:firstLine="420"/>
        <w:rPr>
          <w:rFonts w:ascii="Times New Roman"/>
        </w:rPr>
      </w:pPr>
      <w:r>
        <w:rPr>
          <w:rFonts w:hint="eastAsia" w:ascii="Times New Roman"/>
        </w:rPr>
        <w:t>本方法规定了胶原蛋白凝胶眼刺激性试验的基本原则</w:t>
      </w:r>
      <w:r>
        <w:rPr>
          <w:rFonts w:ascii="Times New Roman"/>
        </w:rPr>
        <w:t>、</w:t>
      </w:r>
      <w:r>
        <w:rPr>
          <w:rFonts w:hint="eastAsia" w:ascii="Times New Roman"/>
        </w:rPr>
        <w:t>要求和方法。</w:t>
      </w:r>
    </w:p>
    <w:p w14:paraId="1F16D604">
      <w:pPr>
        <w:pStyle w:val="4"/>
        <w:tabs>
          <w:tab w:val="center" w:pos="4201"/>
          <w:tab w:val="right" w:leader="dot" w:pos="9298"/>
        </w:tabs>
        <w:spacing w:line="300" w:lineRule="auto"/>
        <w:ind w:firstLine="420"/>
        <w:rPr>
          <w:rFonts w:ascii="Times New Roman"/>
        </w:rPr>
      </w:pPr>
      <w:r>
        <w:rPr>
          <w:rFonts w:hint="eastAsia" w:ascii="Times New Roman"/>
        </w:rPr>
        <w:t>本方法适用于单一成分的化妆品用化学原料眼刺激性的评价。</w:t>
      </w:r>
    </w:p>
    <w:p w14:paraId="1176299C">
      <w:pPr>
        <w:pStyle w:val="5"/>
        <w:numPr>
          <w:ilvl w:val="0"/>
          <w:numId w:val="0"/>
        </w:numPr>
        <w:spacing w:before="156" w:beforeLines="50" w:after="156" w:afterLines="50" w:line="300" w:lineRule="auto"/>
        <w:outlineLvl w:val="0"/>
        <w:rPr>
          <w:rFonts w:ascii="Times New Roman"/>
          <w:sz w:val="21"/>
          <w:szCs w:val="21"/>
        </w:rPr>
      </w:pPr>
      <w:r>
        <w:rPr>
          <w:rFonts w:ascii="Times New Roman"/>
          <w:sz w:val="21"/>
          <w:szCs w:val="21"/>
        </w:rPr>
        <w:t>2</w:t>
      </w:r>
      <w:r>
        <w:rPr>
          <w:rFonts w:hint="eastAsia" w:ascii="Times New Roman"/>
          <w:sz w:val="21"/>
          <w:szCs w:val="21"/>
        </w:rPr>
        <w:t xml:space="preserve">  试验目的</w:t>
      </w:r>
    </w:p>
    <w:p w14:paraId="661A3E06">
      <w:pPr>
        <w:pStyle w:val="4"/>
        <w:tabs>
          <w:tab w:val="center" w:pos="4201"/>
          <w:tab w:val="right" w:leader="dot" w:pos="9298"/>
        </w:tabs>
        <w:spacing w:line="300" w:lineRule="auto"/>
        <w:ind w:firstLine="420"/>
        <w:rPr>
          <w:rFonts w:ascii="Times New Roman"/>
        </w:rPr>
      </w:pPr>
      <w:r>
        <w:rPr>
          <w:rFonts w:hint="eastAsia" w:ascii="Times New Roman"/>
        </w:rPr>
        <w:t>定性预测和评价化妆品用化学原料对眼睛的刺激性。</w:t>
      </w:r>
    </w:p>
    <w:p w14:paraId="30F5875D">
      <w:pPr>
        <w:pStyle w:val="5"/>
        <w:numPr>
          <w:ilvl w:val="0"/>
          <w:numId w:val="0"/>
        </w:numPr>
        <w:spacing w:before="156" w:beforeLines="50" w:after="156" w:afterLines="50" w:line="300" w:lineRule="auto"/>
        <w:outlineLvl w:val="0"/>
        <w:rPr>
          <w:rFonts w:ascii="Times New Roman"/>
          <w:sz w:val="21"/>
          <w:szCs w:val="21"/>
        </w:rPr>
      </w:pPr>
      <w:r>
        <w:rPr>
          <w:rFonts w:hint="eastAsia" w:ascii="Times New Roman"/>
          <w:sz w:val="21"/>
          <w:szCs w:val="21"/>
        </w:rPr>
        <w:t>3  定义</w:t>
      </w:r>
    </w:p>
    <w:p w14:paraId="006B5907">
      <w:pPr>
        <w:pStyle w:val="6"/>
        <w:numPr>
          <w:ilvl w:val="1"/>
          <w:numId w:val="0"/>
        </w:numPr>
        <w:spacing w:line="300" w:lineRule="auto"/>
        <w:jc w:val="both"/>
        <w:outlineLvl w:val="1"/>
      </w:pPr>
      <w:r>
        <w:rPr>
          <w:rFonts w:hint="eastAsia" w:eastAsia="黑体"/>
        </w:rPr>
        <w:t>3</w:t>
      </w:r>
      <w:r>
        <w:rPr>
          <w:rFonts w:eastAsia="黑体"/>
        </w:rPr>
        <w:t>.1</w:t>
      </w:r>
      <w:r>
        <w:rPr>
          <w:rFonts w:hint="eastAsia" w:eastAsia="黑体"/>
        </w:rPr>
        <w:t xml:space="preserve">  </w:t>
      </w:r>
      <w:r>
        <w:rPr>
          <w:rFonts w:hint="eastAsia" w:cs="宋体"/>
        </w:rPr>
        <w:t xml:space="preserve">眼刺激性 </w:t>
      </w:r>
      <w:r>
        <w:t>eye irritation</w:t>
      </w:r>
    </w:p>
    <w:p w14:paraId="4658CEF7">
      <w:pPr>
        <w:pStyle w:val="4"/>
        <w:tabs>
          <w:tab w:val="center" w:pos="4201"/>
          <w:tab w:val="right" w:leader="dot" w:pos="9298"/>
        </w:tabs>
        <w:spacing w:line="300" w:lineRule="auto"/>
        <w:ind w:firstLine="420"/>
        <w:rPr>
          <w:rFonts w:ascii="Times New Roman"/>
        </w:rPr>
      </w:pPr>
      <w:r>
        <w:rPr>
          <w:rFonts w:hint="eastAsia" w:ascii="Times New Roman"/>
        </w:rPr>
        <w:t>眼球表面接触受试物后所产生的可逆性炎性变化。</w:t>
      </w:r>
    </w:p>
    <w:p w14:paraId="7C63C174">
      <w:pPr>
        <w:pStyle w:val="6"/>
        <w:numPr>
          <w:ilvl w:val="1"/>
          <w:numId w:val="0"/>
        </w:numPr>
        <w:spacing w:line="300" w:lineRule="auto"/>
        <w:jc w:val="both"/>
        <w:outlineLvl w:val="1"/>
      </w:pPr>
      <w:r>
        <w:rPr>
          <w:rFonts w:hint="eastAsia" w:eastAsia="黑体"/>
        </w:rPr>
        <w:t>3</w:t>
      </w:r>
      <w:r>
        <w:rPr>
          <w:rFonts w:eastAsia="黑体"/>
        </w:rPr>
        <w:t>.2</w:t>
      </w:r>
      <w:r>
        <w:rPr>
          <w:rFonts w:hint="eastAsia" w:eastAsia="黑体"/>
        </w:rPr>
        <w:t xml:space="preserve">  </w:t>
      </w:r>
      <w:r>
        <w:rPr>
          <w:rFonts w:hint="eastAsia" w:cs="宋体"/>
        </w:rPr>
        <w:t xml:space="preserve">跨膜电阻 </w:t>
      </w:r>
      <w:r>
        <w:rPr>
          <w:rFonts w:hint="eastAsia"/>
        </w:rPr>
        <w:t>transepithelial electrical resistance，TEER</w:t>
      </w:r>
    </w:p>
    <w:p w14:paraId="091C7596">
      <w:pPr>
        <w:pStyle w:val="4"/>
        <w:tabs>
          <w:tab w:val="center" w:pos="4201"/>
          <w:tab w:val="right" w:leader="dot" w:pos="9298"/>
        </w:tabs>
        <w:spacing w:line="300" w:lineRule="auto"/>
        <w:ind w:firstLine="420"/>
        <w:rPr>
          <w:rFonts w:ascii="Times New Roman"/>
        </w:rPr>
      </w:pPr>
      <w:r>
        <w:rPr>
          <w:rFonts w:hint="eastAsia" w:ascii="Times New Roman"/>
        </w:rPr>
        <w:t>跨细胞层的电阻，表征小室细胞层的完整性。</w:t>
      </w:r>
    </w:p>
    <w:p w14:paraId="6A727C21">
      <w:pPr>
        <w:pStyle w:val="5"/>
        <w:numPr>
          <w:ilvl w:val="0"/>
          <w:numId w:val="0"/>
        </w:numPr>
        <w:spacing w:before="156" w:beforeLines="50" w:after="156" w:afterLines="50" w:line="300" w:lineRule="auto"/>
        <w:outlineLvl w:val="0"/>
        <w:rPr>
          <w:sz w:val="21"/>
          <w:szCs w:val="21"/>
        </w:rPr>
      </w:pPr>
      <w:bookmarkStart w:id="34" w:name="_Toc502936955"/>
      <w:bookmarkEnd w:id="34"/>
      <w:bookmarkStart w:id="35" w:name="_Toc61358973"/>
      <w:bookmarkEnd w:id="35"/>
      <w:bookmarkStart w:id="36" w:name="_Toc503519662"/>
      <w:bookmarkEnd w:id="36"/>
      <w:bookmarkStart w:id="37" w:name="_Toc31870"/>
      <w:bookmarkEnd w:id="37"/>
      <w:bookmarkStart w:id="38" w:name="_Toc53216268"/>
      <w:bookmarkEnd w:id="38"/>
      <w:bookmarkStart w:id="39" w:name="_Toc40174257"/>
      <w:bookmarkEnd w:id="39"/>
      <w:bookmarkStart w:id="40" w:name="_Toc501702299"/>
      <w:bookmarkEnd w:id="40"/>
      <w:bookmarkStart w:id="41" w:name="_Toc48292399"/>
      <w:bookmarkEnd w:id="41"/>
      <w:bookmarkStart w:id="42" w:name="_Toc503166221"/>
      <w:bookmarkEnd w:id="42"/>
      <w:bookmarkStart w:id="43" w:name="_Toc502936857"/>
      <w:bookmarkEnd w:id="43"/>
      <w:bookmarkStart w:id="44" w:name="_Toc24561"/>
      <w:bookmarkEnd w:id="44"/>
      <w:bookmarkStart w:id="45" w:name="_Toc503190405"/>
      <w:bookmarkEnd w:id="45"/>
      <w:bookmarkStart w:id="46" w:name="_Toc503343072"/>
      <w:bookmarkEnd w:id="46"/>
      <w:bookmarkStart w:id="47" w:name="_Toc53216311"/>
      <w:bookmarkEnd w:id="47"/>
      <w:bookmarkStart w:id="48" w:name="_Toc396"/>
      <w:bookmarkEnd w:id="48"/>
      <w:bookmarkStart w:id="49" w:name="_Toc155249907"/>
      <w:bookmarkEnd w:id="49"/>
      <w:bookmarkStart w:id="50" w:name="_Toc501702191"/>
      <w:bookmarkEnd w:id="50"/>
      <w:bookmarkStart w:id="51" w:name="_Toc503519098"/>
      <w:bookmarkEnd w:id="51"/>
      <w:bookmarkStart w:id="52" w:name="_Toc16737"/>
      <w:bookmarkStart w:id="53" w:name="_Toc155249917"/>
      <w:bookmarkStart w:id="54" w:name="_Toc40278339"/>
      <w:bookmarkStart w:id="55" w:name="_Toc40174369"/>
      <w:bookmarkStart w:id="56" w:name="_Toc40174298"/>
      <w:bookmarkStart w:id="57" w:name="_Toc41467367"/>
      <w:bookmarkStart w:id="58" w:name="_Toc40174263"/>
      <w:bookmarkStart w:id="59" w:name="_Toc40859809"/>
      <w:bookmarkStart w:id="60" w:name="_Toc9850"/>
      <w:bookmarkStart w:id="61" w:name="_Toc4663"/>
      <w:r>
        <w:rPr>
          <w:rFonts w:hint="eastAsia" w:ascii="Times New Roman"/>
          <w:sz w:val="21"/>
          <w:szCs w:val="21"/>
        </w:rPr>
        <w:t xml:space="preserve">4  </w:t>
      </w:r>
      <w:r>
        <w:rPr>
          <w:rFonts w:hint="eastAsia"/>
          <w:sz w:val="21"/>
          <w:szCs w:val="21"/>
        </w:rPr>
        <w:t>试验</w:t>
      </w:r>
      <w:bookmarkEnd w:id="52"/>
      <w:r>
        <w:rPr>
          <w:rFonts w:hint="eastAsia"/>
          <w:sz w:val="21"/>
          <w:szCs w:val="21"/>
        </w:rPr>
        <w:t>原理</w:t>
      </w:r>
      <w:bookmarkEnd w:id="53"/>
    </w:p>
    <w:p w14:paraId="223BC4B7">
      <w:pPr>
        <w:pStyle w:val="4"/>
        <w:tabs>
          <w:tab w:val="center" w:pos="4201"/>
          <w:tab w:val="right" w:leader="dot" w:pos="9298"/>
        </w:tabs>
        <w:spacing w:line="300" w:lineRule="auto"/>
        <w:ind w:firstLine="420"/>
      </w:pPr>
      <w:bookmarkStart w:id="62" w:name="_Toc5064"/>
      <w:r>
        <w:rPr>
          <w:rFonts w:hint="eastAsia" w:ascii="Times New Roman"/>
        </w:rPr>
        <w:t xml:space="preserve">在胶原蛋白凝胶膜上培养人角膜上皮细胞（HCE-T）构建角膜上皮模型，模拟人角膜上皮组织的屏障结构，暴露于固定浓度 </w:t>
      </w:r>
      <w:r>
        <w:rPr>
          <w:rFonts w:ascii="Times New Roman"/>
        </w:rPr>
        <w:t>2.5%（w/v）</w:t>
      </w:r>
      <w:r>
        <w:rPr>
          <w:rFonts w:hint="eastAsia" w:ascii="Times New Roman"/>
        </w:rPr>
        <w:t>的受试物后，通过检测角膜上皮模型TEER随时间的变化，来判断模型的屏障破坏程度，进而定性预测和评价受试物的眼刺激性。</w:t>
      </w:r>
    </w:p>
    <w:bookmarkEnd w:id="54"/>
    <w:bookmarkEnd w:id="55"/>
    <w:bookmarkEnd w:id="56"/>
    <w:bookmarkEnd w:id="57"/>
    <w:bookmarkEnd w:id="58"/>
    <w:bookmarkEnd w:id="59"/>
    <w:bookmarkEnd w:id="62"/>
    <w:p w14:paraId="74C1B6A8">
      <w:pPr>
        <w:pStyle w:val="5"/>
        <w:numPr>
          <w:ilvl w:val="0"/>
          <w:numId w:val="0"/>
        </w:numPr>
        <w:spacing w:before="156" w:beforeLines="50" w:after="156" w:afterLines="50" w:line="300" w:lineRule="auto"/>
        <w:outlineLvl w:val="0"/>
        <w:rPr>
          <w:rFonts w:ascii="Times New Roman"/>
          <w:sz w:val="21"/>
          <w:szCs w:val="21"/>
        </w:rPr>
      </w:pPr>
      <w:bookmarkStart w:id="63" w:name="_Toc155249918"/>
      <w:bookmarkStart w:id="64" w:name="_Toc61358978"/>
      <w:r>
        <w:rPr>
          <w:rFonts w:hint="eastAsia" w:ascii="Times New Roman"/>
          <w:sz w:val="21"/>
          <w:szCs w:val="21"/>
        </w:rPr>
        <w:t>5  试验材料与试剂</w:t>
      </w:r>
      <w:bookmarkEnd w:id="63"/>
    </w:p>
    <w:p w14:paraId="66C2A9E7">
      <w:pPr>
        <w:pStyle w:val="6"/>
        <w:numPr>
          <w:ilvl w:val="1"/>
          <w:numId w:val="0"/>
        </w:numPr>
        <w:spacing w:line="300" w:lineRule="auto"/>
        <w:jc w:val="both"/>
        <w:outlineLvl w:val="1"/>
        <w:rPr>
          <w:rFonts w:cs="宋体"/>
        </w:rPr>
      </w:pPr>
      <w:bookmarkStart w:id="65" w:name="_Toc155249919"/>
      <w:r>
        <w:rPr>
          <w:rFonts w:hint="eastAsia" w:eastAsia="黑体"/>
        </w:rPr>
        <w:t>5</w:t>
      </w:r>
      <w:r>
        <w:rPr>
          <w:rFonts w:eastAsia="黑体"/>
        </w:rPr>
        <w:t>.1</w:t>
      </w:r>
      <w:r>
        <w:rPr>
          <w:rFonts w:hint="eastAsia" w:eastAsia="黑体"/>
        </w:rPr>
        <w:t xml:space="preserve">  </w:t>
      </w:r>
      <w:r>
        <w:rPr>
          <w:rFonts w:hint="eastAsia" w:cs="宋体"/>
        </w:rPr>
        <w:t>细胞株</w:t>
      </w:r>
      <w:bookmarkEnd w:id="65"/>
    </w:p>
    <w:p w14:paraId="3B2586A8">
      <w:pPr>
        <w:pStyle w:val="4"/>
        <w:tabs>
          <w:tab w:val="center" w:pos="4201"/>
          <w:tab w:val="right" w:leader="dot" w:pos="9298"/>
        </w:tabs>
        <w:spacing w:line="300" w:lineRule="auto"/>
        <w:ind w:firstLine="420"/>
        <w:rPr>
          <w:rFonts w:ascii="Times New Roman"/>
        </w:rPr>
      </w:pPr>
      <w:r>
        <w:rPr>
          <w:rFonts w:hint="eastAsia" w:ascii="Times New Roman"/>
        </w:rPr>
        <w:t>采用</w:t>
      </w:r>
      <w:r>
        <w:rPr>
          <w:rFonts w:ascii="Times New Roman"/>
        </w:rPr>
        <w:t>HCE-T</w:t>
      </w:r>
      <w:r>
        <w:rPr>
          <w:rFonts w:hint="eastAsia" w:ascii="Times New Roman"/>
        </w:rPr>
        <w:t>细胞，该细胞为贴壁生长。要求来源清晰可追溯，代数明确（＜ 25代）。</w:t>
      </w:r>
    </w:p>
    <w:p w14:paraId="04764248">
      <w:pPr>
        <w:pStyle w:val="6"/>
        <w:numPr>
          <w:ilvl w:val="1"/>
          <w:numId w:val="0"/>
        </w:numPr>
        <w:spacing w:line="300" w:lineRule="auto"/>
        <w:jc w:val="both"/>
        <w:outlineLvl w:val="1"/>
        <w:rPr>
          <w:rFonts w:cs="宋体"/>
        </w:rPr>
      </w:pPr>
      <w:r>
        <w:rPr>
          <w:rFonts w:hint="eastAsia" w:eastAsia="黑体"/>
        </w:rPr>
        <w:t>5</w:t>
      </w:r>
      <w:r>
        <w:rPr>
          <w:rFonts w:eastAsia="黑体"/>
        </w:rPr>
        <w:t>.2</w:t>
      </w:r>
      <w:r>
        <w:rPr>
          <w:rFonts w:hint="eastAsia" w:eastAsia="黑体"/>
        </w:rPr>
        <w:t xml:space="preserve">  </w:t>
      </w:r>
      <w:r>
        <w:rPr>
          <w:rFonts w:hint="eastAsia" w:cs="宋体"/>
        </w:rPr>
        <w:t>培养基</w:t>
      </w:r>
    </w:p>
    <w:p w14:paraId="2FDD3B9D">
      <w:pPr>
        <w:pStyle w:val="4"/>
        <w:tabs>
          <w:tab w:val="center" w:pos="4201"/>
          <w:tab w:val="right" w:leader="dot" w:pos="9298"/>
        </w:tabs>
        <w:spacing w:line="300" w:lineRule="auto"/>
        <w:ind w:firstLine="420"/>
        <w:rPr>
          <w:rFonts w:ascii="Times New Roman"/>
        </w:rPr>
      </w:pPr>
      <w:r>
        <w:rPr>
          <w:rFonts w:hint="eastAsia" w:ascii="Times New Roman"/>
        </w:rPr>
        <w:t>采用</w:t>
      </w:r>
      <w:r>
        <w:rPr>
          <w:rFonts w:ascii="Times New Roman"/>
        </w:rPr>
        <w:t>DMEM-F12</w:t>
      </w:r>
      <w:r>
        <w:rPr>
          <w:rFonts w:hint="eastAsia" w:ascii="Times New Roman"/>
        </w:rPr>
        <w:t>（</w:t>
      </w:r>
      <w:r>
        <w:rPr>
          <w:rFonts w:ascii="Times New Roman"/>
        </w:rPr>
        <w:t>1</w:t>
      </w:r>
      <w:r>
        <w:rPr>
          <w:rFonts w:hint="eastAsia" w:ascii="Times New Roman"/>
        </w:rPr>
        <w:t>：</w:t>
      </w:r>
      <w:r>
        <w:rPr>
          <w:rFonts w:ascii="Times New Roman"/>
        </w:rPr>
        <w:t>1</w:t>
      </w:r>
      <w:r>
        <w:rPr>
          <w:rFonts w:hint="eastAsia" w:ascii="Times New Roman"/>
        </w:rPr>
        <w:t>）混合培养基，加入</w:t>
      </w:r>
      <w:r>
        <w:rPr>
          <w:rFonts w:ascii="Times New Roman"/>
        </w:rPr>
        <w:t>5%</w:t>
      </w:r>
      <w:r>
        <w:rPr>
          <w:rFonts w:hint="eastAsia" w:ascii="Times New Roman"/>
        </w:rPr>
        <w:t>胎牛血清、</w:t>
      </w:r>
      <w:r>
        <w:rPr>
          <w:rFonts w:ascii="Times New Roman"/>
        </w:rPr>
        <w:t>5</w:t>
      </w:r>
      <w:r>
        <w:rPr>
          <w:rFonts w:hint="eastAsia" w:ascii="Times New Roman"/>
        </w:rPr>
        <w:t xml:space="preserve"> </w:t>
      </w:r>
      <w:r>
        <w:rPr>
          <w:rFonts w:ascii="Times New Roman"/>
        </w:rPr>
        <w:t>μg/mL</w:t>
      </w:r>
      <w:r>
        <w:rPr>
          <w:rFonts w:hint="eastAsia" w:ascii="Times New Roman"/>
        </w:rPr>
        <w:t>人重组胰岛素、</w:t>
      </w:r>
      <w:r>
        <w:rPr>
          <w:rFonts w:ascii="Times New Roman"/>
        </w:rPr>
        <w:t>10</w:t>
      </w:r>
      <w:r>
        <w:rPr>
          <w:rFonts w:hint="eastAsia" w:ascii="Times New Roman"/>
        </w:rPr>
        <w:t xml:space="preserve"> </w:t>
      </w:r>
      <w:r>
        <w:rPr>
          <w:rFonts w:ascii="Times New Roman"/>
        </w:rPr>
        <w:t>ng/mL</w:t>
      </w:r>
      <w:r>
        <w:rPr>
          <w:rFonts w:hint="eastAsia" w:ascii="Times New Roman"/>
        </w:rPr>
        <w:t>人重组表皮生长因子、</w:t>
      </w:r>
      <w:r>
        <w:rPr>
          <w:rFonts w:ascii="Times New Roman"/>
        </w:rPr>
        <w:t>0.5%</w:t>
      </w:r>
      <w:r>
        <w:rPr>
          <w:rFonts w:hint="eastAsia" w:ascii="Times New Roman"/>
        </w:rPr>
        <w:t>二甲基亚砜（DMSO）、</w:t>
      </w:r>
      <w:r>
        <w:rPr>
          <w:rFonts w:ascii="Times New Roman"/>
        </w:rPr>
        <w:t>100</w:t>
      </w:r>
      <w:r>
        <w:rPr>
          <w:rFonts w:hint="eastAsia" w:ascii="Times New Roman"/>
        </w:rPr>
        <w:t xml:space="preserve"> </w:t>
      </w:r>
      <w:r>
        <w:rPr>
          <w:rFonts w:ascii="Times New Roman"/>
        </w:rPr>
        <w:t>U/mL</w:t>
      </w:r>
      <w:r>
        <w:rPr>
          <w:rFonts w:hint="eastAsia" w:ascii="Times New Roman"/>
        </w:rPr>
        <w:t>青霉素和</w:t>
      </w:r>
      <w:r>
        <w:rPr>
          <w:rFonts w:ascii="Times New Roman"/>
        </w:rPr>
        <w:t>100</w:t>
      </w:r>
      <w:r>
        <w:rPr>
          <w:rFonts w:hint="eastAsia" w:ascii="Times New Roman"/>
        </w:rPr>
        <w:t xml:space="preserve"> </w:t>
      </w:r>
      <w:r>
        <w:rPr>
          <w:rFonts w:ascii="Times New Roman"/>
        </w:rPr>
        <w:t>μg/mL</w:t>
      </w:r>
      <w:r>
        <w:rPr>
          <w:rFonts w:hint="eastAsia" w:ascii="Times New Roman"/>
        </w:rPr>
        <w:t>链霉素。</w:t>
      </w:r>
    </w:p>
    <w:p w14:paraId="138D52BE">
      <w:pPr>
        <w:pStyle w:val="6"/>
        <w:numPr>
          <w:ilvl w:val="1"/>
          <w:numId w:val="0"/>
        </w:numPr>
        <w:spacing w:line="300" w:lineRule="auto"/>
        <w:jc w:val="both"/>
        <w:outlineLvl w:val="1"/>
      </w:pPr>
      <w:r>
        <w:rPr>
          <w:rFonts w:hint="eastAsia" w:eastAsia="黑体"/>
        </w:rPr>
        <w:t>5</w:t>
      </w:r>
      <w:r>
        <w:rPr>
          <w:rFonts w:eastAsia="黑体"/>
        </w:rPr>
        <w:t>.3</w:t>
      </w:r>
      <w:r>
        <w:rPr>
          <w:rFonts w:hint="eastAsia" w:eastAsia="黑体"/>
        </w:rPr>
        <w:t xml:space="preserve">  </w:t>
      </w:r>
      <w:r>
        <w:rPr>
          <w:rFonts w:hint="eastAsia" w:cs="宋体"/>
        </w:rPr>
        <w:t>胶原蛋白凝胶小室</w:t>
      </w:r>
    </w:p>
    <w:p w14:paraId="6DD23D6A">
      <w:pPr>
        <w:pStyle w:val="4"/>
        <w:tabs>
          <w:tab w:val="center" w:pos="4201"/>
          <w:tab w:val="right" w:leader="dot" w:pos="9298"/>
        </w:tabs>
        <w:ind w:firstLine="420"/>
      </w:pPr>
      <w:r>
        <w:rPr>
          <w:rFonts w:hint="eastAsia" w:cs="宋体"/>
        </w:rPr>
        <w:t>胶原凝胶脱水形成高密度胶原纤维薄膜，置于嵌入型细胞培养皿底部形成胶原蛋白凝胶小室。</w:t>
      </w:r>
    </w:p>
    <w:p w14:paraId="326E856C">
      <w:pPr>
        <w:pStyle w:val="6"/>
        <w:numPr>
          <w:ilvl w:val="1"/>
          <w:numId w:val="0"/>
        </w:numPr>
        <w:spacing w:line="300" w:lineRule="auto"/>
        <w:jc w:val="both"/>
        <w:outlineLvl w:val="1"/>
        <w:rPr>
          <w:rFonts w:cs="宋体"/>
        </w:rPr>
      </w:pPr>
      <w:r>
        <w:rPr>
          <w:rFonts w:hint="eastAsia" w:eastAsia="黑体"/>
        </w:rPr>
        <w:t>5</w:t>
      </w:r>
      <w:r>
        <w:rPr>
          <w:rFonts w:eastAsia="黑体"/>
        </w:rPr>
        <w:t>.4</w:t>
      </w:r>
      <w:r>
        <w:rPr>
          <w:rFonts w:hint="eastAsia" w:eastAsia="黑体"/>
        </w:rPr>
        <w:t xml:space="preserve">  </w:t>
      </w:r>
      <w:r>
        <w:rPr>
          <w:rFonts w:hint="eastAsia" w:cs="宋体"/>
        </w:rPr>
        <w:t>电阻仪</w:t>
      </w:r>
    </w:p>
    <w:p w14:paraId="4B8AA031">
      <w:pPr>
        <w:pStyle w:val="4"/>
        <w:tabs>
          <w:tab w:val="center" w:pos="4201"/>
          <w:tab w:val="right" w:leader="dot" w:pos="9298"/>
        </w:tabs>
        <w:spacing w:line="300" w:lineRule="auto"/>
        <w:ind w:firstLine="420"/>
        <w:rPr>
          <w:rFonts w:ascii="Times New Roman"/>
          <w:szCs w:val="21"/>
        </w:rPr>
      </w:pPr>
      <w:r>
        <w:rPr>
          <w:rFonts w:hint="eastAsia" w:ascii="Times New Roman"/>
          <w:szCs w:val="21"/>
        </w:rPr>
        <w:t xml:space="preserve">使用低压交流电电阻仪进行测量，频率为50 </w:t>
      </w:r>
      <w:r>
        <w:rPr>
          <w:rFonts w:hint="eastAsia" w:ascii="仿宋_GB2312" w:eastAsia="仿宋_GB2312"/>
          <w:szCs w:val="21"/>
        </w:rPr>
        <w:t>～</w:t>
      </w:r>
      <w:r>
        <w:rPr>
          <w:rFonts w:hint="eastAsia" w:ascii="Times New Roman"/>
          <w:szCs w:val="21"/>
        </w:rPr>
        <w:t xml:space="preserve"> 1000 Hz，测量范围为0.1 </w:t>
      </w:r>
      <w:r>
        <w:rPr>
          <w:rFonts w:hint="eastAsia" w:ascii="仿宋_GB2312" w:eastAsia="仿宋_GB2312"/>
          <w:szCs w:val="21"/>
        </w:rPr>
        <w:t>～</w:t>
      </w:r>
      <w:r>
        <w:rPr>
          <w:rFonts w:hint="eastAsia" w:ascii="Times New Roman"/>
          <w:szCs w:val="21"/>
        </w:rPr>
        <w:t xml:space="preserve"> 3 k</w:t>
      </w:r>
      <w:r>
        <w:rPr>
          <w:rFonts w:ascii="Times New Roman"/>
          <w:szCs w:val="21"/>
        </w:rPr>
        <w:t>Ω</w:t>
      </w:r>
      <w:r>
        <w:rPr>
          <w:rFonts w:hint="eastAsia" w:ascii="Times New Roman"/>
          <w:szCs w:val="21"/>
        </w:rPr>
        <w:t xml:space="preserve">。长电极和短电极之间的距离应是固定的。电阻测量过程中，电极浸入小室内外溶液的深度应是固定的。测试前应检查电阻仪的灵敏度。取两个无凝胶膜的小室分别置于12孔板中，向两个孔中分别加入3.0 mL 0.45%和0.90%氯化钠溶液（生理盐水），在25 </w:t>
      </w:r>
      <w:r>
        <w:rPr>
          <w:rFonts w:ascii="Times New Roman"/>
          <w:szCs w:val="21"/>
        </w:rPr>
        <w:t>±</w:t>
      </w:r>
      <w:r>
        <w:rPr>
          <w:rFonts w:hint="eastAsia" w:ascii="Times New Roman"/>
          <w:szCs w:val="21"/>
        </w:rPr>
        <w:t xml:space="preserve"> 5</w:t>
      </w:r>
      <w:r>
        <w:rPr>
          <w:rFonts w:ascii="Times New Roman"/>
          <w:szCs w:val="21"/>
        </w:rPr>
        <w:t>℃</w:t>
      </w:r>
      <w:r>
        <w:rPr>
          <w:rFonts w:hint="eastAsia" w:ascii="Times New Roman"/>
          <w:szCs w:val="21"/>
        </w:rPr>
        <w:t>下测量TEER，两者TEER相差应满足</w:t>
      </w:r>
      <w:r>
        <w:rPr>
          <w:rFonts w:hAnsi="宋体"/>
          <w:szCs w:val="21"/>
        </w:rPr>
        <w:t>≥</w:t>
      </w:r>
      <w:r>
        <w:rPr>
          <w:rFonts w:hint="eastAsia" w:ascii="Times New Roman"/>
          <w:szCs w:val="21"/>
        </w:rPr>
        <w:t xml:space="preserve">60 </w:t>
      </w:r>
      <w:r>
        <w:rPr>
          <w:rFonts w:ascii="Times New Roman"/>
          <w:szCs w:val="21"/>
        </w:rPr>
        <w:t>Ω·</w:t>
      </w:r>
      <w:r>
        <w:rPr>
          <w:rFonts w:hint="eastAsia" w:ascii="Times New Roman"/>
          <w:szCs w:val="21"/>
        </w:rPr>
        <w:t>cm</w:t>
      </w:r>
      <w:r>
        <w:rPr>
          <w:rFonts w:hint="eastAsia" w:ascii="Times New Roman"/>
          <w:szCs w:val="21"/>
          <w:vertAlign w:val="superscript"/>
        </w:rPr>
        <w:t>2</w:t>
      </w:r>
      <w:r>
        <w:rPr>
          <w:rFonts w:hint="eastAsia" w:ascii="Times New Roman"/>
          <w:szCs w:val="21"/>
        </w:rPr>
        <w:t>。</w:t>
      </w:r>
    </w:p>
    <w:p w14:paraId="1F933765">
      <w:pPr>
        <w:pStyle w:val="5"/>
        <w:numPr>
          <w:ilvl w:val="0"/>
          <w:numId w:val="0"/>
        </w:numPr>
        <w:spacing w:before="156" w:beforeLines="50" w:after="156" w:afterLines="50" w:line="300" w:lineRule="auto"/>
        <w:outlineLvl w:val="0"/>
        <w:rPr>
          <w:rFonts w:ascii="Times New Roman"/>
          <w:sz w:val="21"/>
          <w:szCs w:val="21"/>
        </w:rPr>
      </w:pPr>
      <w:bookmarkStart w:id="66" w:name="_Toc155249922"/>
      <w:r>
        <w:rPr>
          <w:rFonts w:hint="eastAsia" w:ascii="Times New Roman"/>
          <w:sz w:val="21"/>
          <w:szCs w:val="21"/>
        </w:rPr>
        <w:t>6  试验方法</w:t>
      </w:r>
      <w:bookmarkEnd w:id="66"/>
    </w:p>
    <w:p w14:paraId="500FC612">
      <w:pPr>
        <w:pStyle w:val="6"/>
        <w:numPr>
          <w:ilvl w:val="1"/>
          <w:numId w:val="0"/>
        </w:numPr>
        <w:spacing w:line="300" w:lineRule="auto"/>
        <w:jc w:val="both"/>
        <w:outlineLvl w:val="1"/>
        <w:rPr>
          <w:rFonts w:cs="宋体"/>
        </w:rPr>
      </w:pPr>
      <w:r>
        <w:rPr>
          <w:rFonts w:hint="eastAsia" w:eastAsia="黑体"/>
        </w:rPr>
        <w:t>6</w:t>
      </w:r>
      <w:r>
        <w:rPr>
          <w:rFonts w:eastAsia="黑体"/>
        </w:rPr>
        <w:t>.1</w:t>
      </w:r>
      <w:r>
        <w:rPr>
          <w:rFonts w:hint="eastAsia" w:eastAsia="黑体"/>
        </w:rPr>
        <w:t xml:space="preserve">  </w:t>
      </w:r>
      <w:r>
        <w:rPr>
          <w:rFonts w:hint="eastAsia" w:cs="宋体"/>
        </w:rPr>
        <w:t>受试物的配制</w:t>
      </w:r>
    </w:p>
    <w:p w14:paraId="77D131E0">
      <w:pPr>
        <w:pStyle w:val="4"/>
        <w:tabs>
          <w:tab w:val="center" w:pos="4201"/>
          <w:tab w:val="right" w:leader="dot" w:pos="9298"/>
        </w:tabs>
        <w:spacing w:line="300" w:lineRule="auto"/>
        <w:ind w:firstLine="420"/>
        <w:rPr>
          <w:rFonts w:ascii="Times New Roman"/>
        </w:rPr>
      </w:pPr>
      <w:r>
        <w:rPr>
          <w:rFonts w:hint="eastAsia" w:ascii="Times New Roman"/>
        </w:rPr>
        <w:t>受试物溶液或悬浮液由培养基配制，浓度为</w:t>
      </w:r>
      <w:r>
        <w:rPr>
          <w:rFonts w:ascii="Times New Roman"/>
        </w:rPr>
        <w:t>2.5%</w:t>
      </w:r>
      <w:r>
        <w:rPr>
          <w:rFonts w:hint="eastAsia" w:ascii="Times New Roman"/>
        </w:rPr>
        <w:t>（</w:t>
      </w:r>
      <w:r>
        <w:rPr>
          <w:rFonts w:ascii="Times New Roman"/>
        </w:rPr>
        <w:t>w/v</w:t>
      </w:r>
      <w:r>
        <w:rPr>
          <w:rFonts w:hint="eastAsia" w:ascii="Times New Roman"/>
        </w:rPr>
        <w:t>）。受试物应能在培养基中溶解或均匀分散至少3 min。优先选择手动混匀。若受试物不能溶解，则依次选择下述方法促进溶解：</w:t>
      </w:r>
    </w:p>
    <w:p w14:paraId="1FA27419">
      <w:pPr>
        <w:pStyle w:val="4"/>
        <w:tabs>
          <w:tab w:val="center" w:pos="4201"/>
          <w:tab w:val="right" w:leader="dot" w:pos="9298"/>
        </w:tabs>
        <w:spacing w:line="300" w:lineRule="auto"/>
        <w:ind w:firstLine="420"/>
        <w:rPr>
          <w:rFonts w:ascii="Times New Roman"/>
        </w:rPr>
      </w:pPr>
      <w:r>
        <w:rPr>
          <w:rFonts w:ascii="Times New Roman"/>
        </w:rPr>
        <w:t>a. 涡旋，时间不超过1</w:t>
      </w:r>
      <w:r>
        <w:rPr>
          <w:rFonts w:hint="eastAsia" w:ascii="Times New Roman"/>
        </w:rPr>
        <w:t xml:space="preserve"> </w:t>
      </w:r>
      <w:r>
        <w:rPr>
          <w:rFonts w:ascii="Times New Roman"/>
        </w:rPr>
        <w:t>min；</w:t>
      </w:r>
    </w:p>
    <w:p w14:paraId="64637544">
      <w:pPr>
        <w:pStyle w:val="4"/>
        <w:tabs>
          <w:tab w:val="center" w:pos="4201"/>
          <w:tab w:val="right" w:leader="dot" w:pos="9298"/>
        </w:tabs>
        <w:spacing w:line="300" w:lineRule="auto"/>
        <w:ind w:firstLine="420"/>
        <w:rPr>
          <w:rFonts w:ascii="Times New Roman"/>
        </w:rPr>
      </w:pPr>
      <w:r>
        <w:rPr>
          <w:rFonts w:ascii="Times New Roman"/>
        </w:rPr>
        <w:t>b. 超声，时间不超过2</w:t>
      </w:r>
      <w:r>
        <w:rPr>
          <w:rFonts w:hint="eastAsia" w:ascii="Times New Roman"/>
        </w:rPr>
        <w:t xml:space="preserve">0 </w:t>
      </w:r>
      <w:r>
        <w:rPr>
          <w:rFonts w:ascii="Times New Roman"/>
        </w:rPr>
        <w:t>min；</w:t>
      </w:r>
    </w:p>
    <w:p w14:paraId="100A216C">
      <w:pPr>
        <w:pStyle w:val="4"/>
        <w:tabs>
          <w:tab w:val="center" w:pos="4201"/>
          <w:tab w:val="right" w:leader="dot" w:pos="9298"/>
        </w:tabs>
        <w:spacing w:line="300" w:lineRule="auto"/>
        <w:ind w:firstLine="420"/>
        <w:rPr>
          <w:rFonts w:ascii="Times New Roman"/>
        </w:rPr>
      </w:pPr>
      <w:r>
        <w:rPr>
          <w:rFonts w:ascii="Times New Roman"/>
        </w:rPr>
        <w:t>c. 加热，最高温度不超过70</w:t>
      </w:r>
      <w:r>
        <w:rPr>
          <w:rFonts w:hint="eastAsia" w:ascii="Times New Roman"/>
        </w:rPr>
        <w:t xml:space="preserve"> </w:t>
      </w:r>
      <w:r>
        <w:rPr>
          <w:rFonts w:ascii="Times New Roman"/>
        </w:rPr>
        <w:t>℃。</w:t>
      </w:r>
    </w:p>
    <w:p w14:paraId="0240DC31">
      <w:pPr>
        <w:pStyle w:val="4"/>
        <w:tabs>
          <w:tab w:val="center" w:pos="4201"/>
          <w:tab w:val="right" w:leader="dot" w:pos="9298"/>
        </w:tabs>
        <w:spacing w:line="300" w:lineRule="auto"/>
        <w:ind w:firstLine="420"/>
        <w:rPr>
          <w:rFonts w:ascii="Times New Roman"/>
        </w:rPr>
      </w:pPr>
      <w:r>
        <w:rPr>
          <w:rFonts w:hint="eastAsia" w:ascii="Times New Roman"/>
        </w:rPr>
        <w:t>受试物应在使用前新鲜配制，否则必须证实储存不影响其稳定性。本方法不适用于pH≤5的受试物溶液或悬浮液。</w:t>
      </w:r>
    </w:p>
    <w:p w14:paraId="23300453">
      <w:pPr>
        <w:pStyle w:val="6"/>
        <w:numPr>
          <w:ilvl w:val="1"/>
          <w:numId w:val="0"/>
        </w:numPr>
        <w:spacing w:line="300" w:lineRule="auto"/>
        <w:jc w:val="both"/>
        <w:outlineLvl w:val="1"/>
        <w:rPr>
          <w:rFonts w:cs="宋体"/>
        </w:rPr>
      </w:pPr>
      <w:r>
        <w:rPr>
          <w:rFonts w:hint="eastAsia" w:eastAsia="黑体"/>
        </w:rPr>
        <w:t>6</w:t>
      </w:r>
      <w:r>
        <w:rPr>
          <w:rFonts w:eastAsia="黑体"/>
        </w:rPr>
        <w:t>.2</w:t>
      </w:r>
      <w:r>
        <w:rPr>
          <w:rFonts w:hint="eastAsia" w:eastAsia="黑体"/>
        </w:rPr>
        <w:t xml:space="preserve">  </w:t>
      </w:r>
      <w:r>
        <w:rPr>
          <w:rFonts w:hint="eastAsia" w:cs="宋体"/>
        </w:rPr>
        <w:t>对照溶液的配制</w:t>
      </w:r>
    </w:p>
    <w:p w14:paraId="79E9DDD6">
      <w:pPr>
        <w:pStyle w:val="4"/>
        <w:tabs>
          <w:tab w:val="center" w:pos="4201"/>
          <w:tab w:val="right" w:leader="dot" w:pos="9298"/>
        </w:tabs>
        <w:spacing w:line="300" w:lineRule="auto"/>
        <w:ind w:firstLine="420"/>
        <w:rPr>
          <w:rFonts w:ascii="Times New Roman"/>
        </w:rPr>
      </w:pPr>
      <w:r>
        <w:rPr>
          <w:rFonts w:ascii="Times New Roman"/>
        </w:rPr>
        <w:t>阳性对照</w:t>
      </w:r>
      <w:r>
        <w:rPr>
          <w:rFonts w:hint="eastAsia" w:ascii="Times New Roman"/>
        </w:rPr>
        <w:t>溶液</w:t>
      </w:r>
      <w:r>
        <w:rPr>
          <w:rFonts w:ascii="Times New Roman"/>
        </w:rPr>
        <w:t>：称取250</w:t>
      </w:r>
      <w:r>
        <w:rPr>
          <w:rFonts w:hint="eastAsia" w:ascii="Times New Roman"/>
        </w:rPr>
        <w:t xml:space="preserve"> </w:t>
      </w:r>
      <w:r>
        <w:rPr>
          <w:rFonts w:ascii="Times New Roman"/>
        </w:rPr>
        <w:t>mg</w:t>
      </w:r>
      <w:r>
        <w:rPr>
          <w:rFonts w:hint="eastAsia" w:ascii="Times New Roman"/>
        </w:rPr>
        <w:t>苯扎氯铵，溶解于10 mL培养基中，配制成</w:t>
      </w:r>
      <w:r>
        <w:rPr>
          <w:rFonts w:ascii="Times New Roman"/>
        </w:rPr>
        <w:t>2.5%（w/v）</w:t>
      </w:r>
      <w:r>
        <w:rPr>
          <w:rFonts w:hint="eastAsia" w:ascii="Times New Roman"/>
        </w:rPr>
        <w:t>的溶液，可超声加速溶解，现用现配。</w:t>
      </w:r>
    </w:p>
    <w:p w14:paraId="35B0E8E1">
      <w:pPr>
        <w:pStyle w:val="4"/>
        <w:tabs>
          <w:tab w:val="center" w:pos="4201"/>
          <w:tab w:val="right" w:leader="dot" w:pos="9298"/>
        </w:tabs>
        <w:spacing w:line="300" w:lineRule="auto"/>
        <w:ind w:firstLine="420"/>
        <w:rPr>
          <w:rFonts w:ascii="Times New Roman"/>
        </w:rPr>
      </w:pPr>
      <w:r>
        <w:rPr>
          <w:rFonts w:ascii="Times New Roman"/>
        </w:rPr>
        <w:t>参考品对照</w:t>
      </w:r>
      <w:r>
        <w:rPr>
          <w:rFonts w:hint="eastAsia" w:ascii="Times New Roman"/>
        </w:rPr>
        <w:t>溶液：</w:t>
      </w:r>
      <w:r>
        <w:rPr>
          <w:rFonts w:ascii="Times New Roman"/>
        </w:rPr>
        <w:t>称取250</w:t>
      </w:r>
      <w:r>
        <w:rPr>
          <w:rFonts w:hint="eastAsia" w:ascii="Times New Roman"/>
        </w:rPr>
        <w:t xml:space="preserve"> </w:t>
      </w:r>
      <w:r>
        <w:rPr>
          <w:rFonts w:ascii="Times New Roman"/>
        </w:rPr>
        <w:t>mg</w:t>
      </w:r>
      <w:r>
        <w:rPr>
          <w:rFonts w:hint="eastAsia" w:ascii="Times New Roman"/>
        </w:rPr>
        <w:t xml:space="preserve">（约318 </w:t>
      </w:r>
      <w:r>
        <w:rPr>
          <w:rFonts w:ascii="Times New Roman"/>
        </w:rPr>
        <w:t>μ</w:t>
      </w:r>
      <w:r>
        <w:rPr>
          <w:rFonts w:hint="eastAsia" w:ascii="Times New Roman"/>
        </w:rPr>
        <w:t>L）无水乙醇，溶解于10 mL培养基中，配制成</w:t>
      </w:r>
      <w:r>
        <w:rPr>
          <w:rFonts w:ascii="Times New Roman"/>
        </w:rPr>
        <w:t>2.5%（w/v）</w:t>
      </w:r>
      <w:r>
        <w:rPr>
          <w:rFonts w:hint="eastAsia" w:ascii="Times New Roman"/>
        </w:rPr>
        <w:t>的溶液，现用现配。</w:t>
      </w:r>
    </w:p>
    <w:p w14:paraId="607D7504">
      <w:pPr>
        <w:pStyle w:val="4"/>
        <w:tabs>
          <w:tab w:val="center" w:pos="4201"/>
          <w:tab w:val="right" w:leader="dot" w:pos="9298"/>
        </w:tabs>
        <w:spacing w:line="300" w:lineRule="auto"/>
        <w:ind w:firstLine="420"/>
      </w:pPr>
      <w:r>
        <w:rPr>
          <w:rFonts w:hint="eastAsia" w:ascii="Times New Roman"/>
        </w:rPr>
        <w:t>阴性对照溶液：</w:t>
      </w:r>
      <w:r>
        <w:rPr>
          <w:rFonts w:ascii="Times New Roman"/>
        </w:rPr>
        <w:t>称取250</w:t>
      </w:r>
      <w:r>
        <w:rPr>
          <w:rFonts w:hint="eastAsia" w:ascii="Times New Roman"/>
        </w:rPr>
        <w:t xml:space="preserve"> </w:t>
      </w:r>
      <w:r>
        <w:rPr>
          <w:rFonts w:ascii="Times New Roman"/>
        </w:rPr>
        <w:t>mg</w:t>
      </w:r>
      <w:r>
        <w:rPr>
          <w:rFonts w:hint="eastAsia" w:ascii="Times New Roman"/>
        </w:rPr>
        <w:t xml:space="preserve">（约249 </w:t>
      </w:r>
      <w:r>
        <w:rPr>
          <w:rFonts w:ascii="Times New Roman"/>
        </w:rPr>
        <w:t>μ</w:t>
      </w:r>
      <w:r>
        <w:rPr>
          <w:rFonts w:hint="eastAsia" w:ascii="Times New Roman"/>
        </w:rPr>
        <w:t>L）生理盐水（0.9%氯化钠溶液），溶解于10 mL培养基中，配制成</w:t>
      </w:r>
      <w:r>
        <w:rPr>
          <w:rFonts w:ascii="Times New Roman"/>
        </w:rPr>
        <w:t>2.5%（w/v）</w:t>
      </w:r>
      <w:r>
        <w:rPr>
          <w:rFonts w:hint="eastAsia" w:ascii="Times New Roman"/>
        </w:rPr>
        <w:t>的溶液，现用现配。</w:t>
      </w:r>
    </w:p>
    <w:p w14:paraId="0F17257A">
      <w:pPr>
        <w:pStyle w:val="6"/>
        <w:numPr>
          <w:ilvl w:val="1"/>
          <w:numId w:val="0"/>
        </w:numPr>
        <w:spacing w:line="300" w:lineRule="auto"/>
        <w:jc w:val="both"/>
        <w:outlineLvl w:val="1"/>
        <w:rPr>
          <w:rFonts w:cs="宋体"/>
        </w:rPr>
      </w:pPr>
      <w:bookmarkStart w:id="67" w:name="_Toc155249923"/>
      <w:r>
        <w:rPr>
          <w:rFonts w:hint="eastAsia" w:eastAsia="黑体"/>
        </w:rPr>
        <w:t>6</w:t>
      </w:r>
      <w:r>
        <w:rPr>
          <w:rFonts w:eastAsia="黑体"/>
        </w:rPr>
        <w:t>.3</w:t>
      </w:r>
      <w:r>
        <w:rPr>
          <w:rFonts w:hint="eastAsia" w:eastAsia="黑体"/>
        </w:rPr>
        <w:t xml:space="preserve">  </w:t>
      </w:r>
      <w:r>
        <w:rPr>
          <w:rFonts w:hint="eastAsia" w:cs="宋体"/>
        </w:rPr>
        <w:t>角膜上皮模型的</w:t>
      </w:r>
      <w:bookmarkEnd w:id="67"/>
      <w:r>
        <w:rPr>
          <w:rFonts w:hint="eastAsia" w:cs="宋体"/>
        </w:rPr>
        <w:t>制备</w:t>
      </w:r>
    </w:p>
    <w:p w14:paraId="43ABC10E">
      <w:pPr>
        <w:pStyle w:val="7"/>
        <w:numPr>
          <w:ilvl w:val="0"/>
          <w:numId w:val="0"/>
        </w:numPr>
      </w:pPr>
      <w:r>
        <w:rPr>
          <w:rFonts w:hint="eastAsia"/>
        </w:rPr>
        <w:t>6.3.1 胶原蛋白凝胶小室的准备</w:t>
      </w:r>
    </w:p>
    <w:p w14:paraId="38617A7B">
      <w:pPr>
        <w:pStyle w:val="7"/>
        <w:numPr>
          <w:ilvl w:val="2"/>
          <w:numId w:val="0"/>
        </w:numPr>
        <w:ind w:firstLine="420" w:firstLineChars="200"/>
      </w:pPr>
      <w:r>
        <w:rPr>
          <w:rFonts w:hint="eastAsia"/>
        </w:rPr>
        <w:t>从</w:t>
      </w:r>
      <w:r>
        <w:t>4</w:t>
      </w:r>
      <w:r>
        <w:rPr>
          <w:rFonts w:hint="eastAsia"/>
        </w:rPr>
        <w:t xml:space="preserve"> </w:t>
      </w:r>
      <w:r>
        <w:t>℃</w:t>
      </w:r>
      <w:r>
        <w:rPr>
          <w:rFonts w:hint="eastAsia"/>
        </w:rPr>
        <w:t>冰箱取出含有胶原蛋白干凝胶的小室，放入</w:t>
      </w:r>
      <w:r>
        <w:t>12</w:t>
      </w:r>
      <w:r>
        <w:rPr>
          <w:rFonts w:hint="eastAsia"/>
        </w:rPr>
        <w:t>孔板中，恢复至室温，向小室外侧（下室）和内侧（上室）分别加入</w:t>
      </w:r>
      <w:r>
        <w:t>1.5</w:t>
      </w:r>
      <w:r>
        <w:rPr>
          <w:rFonts w:hint="eastAsia"/>
        </w:rPr>
        <w:t xml:space="preserve"> </w:t>
      </w:r>
      <w:r>
        <w:t>mL</w:t>
      </w:r>
      <w:r>
        <w:rPr>
          <w:rFonts w:hint="eastAsia"/>
        </w:rPr>
        <w:t>和</w:t>
      </w:r>
      <w:r>
        <w:t>0.5</w:t>
      </w:r>
      <w:r>
        <w:rPr>
          <w:rFonts w:hint="eastAsia"/>
        </w:rPr>
        <w:t xml:space="preserve"> </w:t>
      </w:r>
      <w:r>
        <w:t>mL</w:t>
      </w:r>
      <w:r>
        <w:rPr>
          <w:rFonts w:hint="eastAsia"/>
        </w:rPr>
        <w:t>培养基，平衡</w:t>
      </w:r>
      <w:r>
        <w:t>10</w:t>
      </w:r>
      <w:r>
        <w:rPr>
          <w:rFonts w:hint="eastAsia"/>
        </w:rPr>
        <w:t xml:space="preserve"> min。</w:t>
      </w:r>
    </w:p>
    <w:p w14:paraId="65319AC9">
      <w:pPr>
        <w:pStyle w:val="7"/>
        <w:numPr>
          <w:ilvl w:val="0"/>
          <w:numId w:val="0"/>
        </w:numPr>
      </w:pPr>
      <w:r>
        <w:rPr>
          <w:rFonts w:hint="eastAsia"/>
        </w:rPr>
        <w:t>6.3.2 角膜上皮模型的构建</w:t>
      </w:r>
    </w:p>
    <w:p w14:paraId="1A2C58FB">
      <w:pPr>
        <w:pStyle w:val="7"/>
        <w:numPr>
          <w:ilvl w:val="2"/>
          <w:numId w:val="0"/>
        </w:numPr>
        <w:ind w:firstLine="420" w:firstLineChars="200"/>
      </w:pPr>
      <w:r>
        <w:rPr>
          <w:rFonts w:hint="eastAsia"/>
        </w:rPr>
        <w:t>将小室外侧的培养基更换为1.5 mL新鲜培养基，吸走小室内侧的培养基，向小室内侧加入0.5 mL密度为</w:t>
      </w:r>
      <w:r>
        <w:t>1.2×10</w:t>
      </w:r>
      <w:r>
        <w:rPr>
          <w:vertAlign w:val="superscript"/>
        </w:rPr>
        <w:t>5</w:t>
      </w:r>
      <w:r>
        <w:rPr>
          <w:rFonts w:hint="eastAsia"/>
        </w:rPr>
        <w:t>个细胞</w:t>
      </w:r>
      <w:r>
        <w:t>/mL</w:t>
      </w:r>
      <w:r>
        <w:rPr>
          <w:rFonts w:hint="eastAsia"/>
        </w:rPr>
        <w:t>的细胞悬液（即</w:t>
      </w:r>
      <w:r>
        <w:t>6×10</w:t>
      </w:r>
      <w:r>
        <w:rPr>
          <w:vertAlign w:val="superscript"/>
        </w:rPr>
        <w:t>4</w:t>
      </w:r>
      <w:r>
        <w:rPr>
          <w:rFonts w:hint="eastAsia"/>
        </w:rPr>
        <w:t xml:space="preserve">个细胞/小室，由完全培养基配制），于37 </w:t>
      </w:r>
      <w:r>
        <w:t>℃</w:t>
      </w:r>
      <w:r>
        <w:rPr>
          <w:rFonts w:hint="eastAsia"/>
        </w:rPr>
        <w:t>、5%CO</w:t>
      </w:r>
      <w:r>
        <w:rPr>
          <w:rFonts w:hint="eastAsia"/>
          <w:vertAlign w:val="subscript"/>
        </w:rPr>
        <w:t>2</w:t>
      </w:r>
      <w:r>
        <w:rPr>
          <w:rFonts w:hint="eastAsia"/>
        </w:rPr>
        <w:t>培养箱中培养2 d后，更换小室外侧的培养基，吸走小室内侧的培养基，气-液界面培养4 d，隔天更换小室外侧培养基。</w:t>
      </w:r>
    </w:p>
    <w:p w14:paraId="5367E67B">
      <w:pPr>
        <w:pStyle w:val="7"/>
        <w:numPr>
          <w:ilvl w:val="0"/>
          <w:numId w:val="0"/>
        </w:numPr>
      </w:pPr>
      <w:r>
        <w:rPr>
          <w:rFonts w:hint="eastAsia"/>
        </w:rPr>
        <w:t>6.3.3 TEER的测定</w:t>
      </w:r>
    </w:p>
    <w:p w14:paraId="23393663">
      <w:pPr>
        <w:pStyle w:val="7"/>
        <w:numPr>
          <w:ilvl w:val="2"/>
          <w:numId w:val="0"/>
        </w:numPr>
        <w:ind w:firstLine="420" w:firstLineChars="200"/>
      </w:pPr>
      <w:r>
        <w:rPr>
          <w:rFonts w:hint="eastAsia"/>
        </w:rPr>
        <w:t>气-液界面培养4 d后，测定</w:t>
      </w:r>
      <w:r>
        <w:t>TEER</w:t>
      </w:r>
      <w:r>
        <w:rPr>
          <w:rFonts w:hint="eastAsia"/>
        </w:rPr>
        <w:t>。更换小室外侧的培养基为</w:t>
      </w:r>
      <w:r>
        <w:t>1.5</w:t>
      </w:r>
      <w:r>
        <w:rPr>
          <w:rFonts w:hint="eastAsia"/>
        </w:rPr>
        <w:t xml:space="preserve"> </w:t>
      </w:r>
      <w:r>
        <w:t>mL</w:t>
      </w:r>
      <w:r>
        <w:rPr>
          <w:rFonts w:hint="eastAsia"/>
        </w:rPr>
        <w:t>新鲜培养基，向小室内侧加入</w:t>
      </w:r>
      <w:r>
        <w:t>0.5</w:t>
      </w:r>
      <w:r>
        <w:rPr>
          <w:rFonts w:hint="eastAsia"/>
        </w:rPr>
        <w:t xml:space="preserve"> </w:t>
      </w:r>
      <w:r>
        <w:t>mL</w:t>
      </w:r>
      <w:r>
        <w:rPr>
          <w:rFonts w:hint="eastAsia"/>
        </w:rPr>
        <w:t>新鲜培养基，保持培养基的温度为</w:t>
      </w:r>
      <w:r>
        <w:t>2</w:t>
      </w:r>
      <w:r>
        <w:rPr>
          <w:rFonts w:hint="eastAsia"/>
        </w:rPr>
        <w:t xml:space="preserve">8 </w:t>
      </w:r>
      <w:r>
        <w:t>±</w:t>
      </w:r>
      <w:r>
        <w:rPr>
          <w:rFonts w:hint="eastAsia"/>
        </w:rPr>
        <w:t xml:space="preserve"> 2 </w:t>
      </w:r>
      <w:r>
        <w:t>℃</w:t>
      </w:r>
      <w:r>
        <w:rPr>
          <w:rFonts w:hint="eastAsia"/>
        </w:rPr>
        <w:t>，将电阻计的长电极和短电极分别插入小室的外侧和内侧，测定模型总</w:t>
      </w:r>
      <w:r>
        <w:t>TEER</w:t>
      </w:r>
      <w:r>
        <w:rPr>
          <w:rFonts w:hint="eastAsia"/>
        </w:rPr>
        <w:t>，当模型总</w:t>
      </w:r>
      <w:r>
        <w:t>TEER</w:t>
      </w:r>
      <w:r>
        <w:rPr>
          <w:rFonts w:hint="eastAsia"/>
        </w:rPr>
        <w:t>介于</w:t>
      </w:r>
      <w:r>
        <w:t>140</w:t>
      </w:r>
      <w:r>
        <w:rPr>
          <w:rFonts w:hint="eastAsia"/>
        </w:rPr>
        <w:t xml:space="preserve"> </w:t>
      </w:r>
      <w:r>
        <w:rPr>
          <w:rFonts w:hint="eastAsia" w:ascii="仿宋_GB2312" w:eastAsia="仿宋_GB2312"/>
        </w:rPr>
        <w:t>～</w:t>
      </w:r>
      <w:r>
        <w:rPr>
          <w:rFonts w:hint="eastAsia"/>
        </w:rPr>
        <w:t xml:space="preserve"> </w:t>
      </w:r>
      <w:r>
        <w:t>220</w:t>
      </w:r>
      <w:r>
        <w:rPr>
          <w:rFonts w:hint="eastAsia"/>
        </w:rPr>
        <w:t xml:space="preserve"> </w:t>
      </w:r>
      <w:r>
        <w:t>Ω·cm</w:t>
      </w:r>
      <w:r>
        <w:rPr>
          <w:vertAlign w:val="superscript"/>
        </w:rPr>
        <w:t>2</w:t>
      </w:r>
      <w:r>
        <w:rPr>
          <w:rFonts w:hint="eastAsia"/>
        </w:rPr>
        <w:t>之间时方可用于样品测定。</w:t>
      </w:r>
    </w:p>
    <w:p w14:paraId="5CABEAEB">
      <w:pPr>
        <w:pStyle w:val="6"/>
        <w:numPr>
          <w:ilvl w:val="1"/>
          <w:numId w:val="0"/>
        </w:numPr>
        <w:spacing w:line="300" w:lineRule="auto"/>
        <w:jc w:val="both"/>
        <w:outlineLvl w:val="1"/>
        <w:rPr>
          <w:rFonts w:cs="宋体"/>
        </w:rPr>
      </w:pPr>
      <w:bookmarkStart w:id="68" w:name="_Toc155249924"/>
      <w:r>
        <w:rPr>
          <w:rFonts w:hint="eastAsia" w:eastAsia="黑体"/>
        </w:rPr>
        <w:t>6</w:t>
      </w:r>
      <w:r>
        <w:rPr>
          <w:rFonts w:eastAsia="黑体"/>
        </w:rPr>
        <w:t>.4</w:t>
      </w:r>
      <w:r>
        <w:rPr>
          <w:rFonts w:hint="eastAsia" w:eastAsia="黑体"/>
        </w:rPr>
        <w:t xml:space="preserve">  </w:t>
      </w:r>
      <w:r>
        <w:rPr>
          <w:rFonts w:hint="eastAsia" w:cs="宋体"/>
        </w:rPr>
        <w:t>样品测定</w:t>
      </w:r>
      <w:bookmarkEnd w:id="68"/>
    </w:p>
    <w:p w14:paraId="7CA554FE">
      <w:pPr>
        <w:pStyle w:val="7"/>
        <w:numPr>
          <w:ilvl w:val="2"/>
          <w:numId w:val="0"/>
        </w:numPr>
      </w:pPr>
      <w:r>
        <w:rPr>
          <w:rFonts w:hint="eastAsia" w:eastAsia="黑体"/>
        </w:rPr>
        <w:t>6</w:t>
      </w:r>
      <w:r>
        <w:rPr>
          <w:rFonts w:eastAsia="黑体"/>
        </w:rPr>
        <w:t>.4.1</w:t>
      </w:r>
      <w:r>
        <w:rPr>
          <w:rFonts w:hint="eastAsia" w:eastAsia="黑体"/>
        </w:rPr>
        <w:t xml:space="preserve"> </w:t>
      </w:r>
      <w:r>
        <w:rPr>
          <w:rFonts w:hint="eastAsia"/>
        </w:rPr>
        <w:t>分组</w:t>
      </w:r>
    </w:p>
    <w:p w14:paraId="1977F252">
      <w:pPr>
        <w:pStyle w:val="7"/>
        <w:numPr>
          <w:ilvl w:val="2"/>
          <w:numId w:val="0"/>
        </w:numPr>
        <w:ind w:firstLine="420" w:firstLineChars="200"/>
      </w:pPr>
      <w:r>
        <w:t>2.5%</w:t>
      </w:r>
      <w:r>
        <w:rPr>
          <w:rFonts w:hint="eastAsia"/>
        </w:rPr>
        <w:t>（</w:t>
      </w:r>
      <w:r>
        <w:t>w/v</w:t>
      </w:r>
      <w:r>
        <w:rPr>
          <w:rFonts w:hint="eastAsia"/>
        </w:rPr>
        <w:t>）的受试物用于试验。应设定空白对照、阴性对照、参考品对照和阳性对照。未接种细胞的胶原蛋白凝胶为空白对照。生理盐水、乙醇和苯扎氯铵分别为阴性、参考品和阳性对照。每组设置</w:t>
      </w:r>
      <w:r>
        <w:t>3</w:t>
      </w:r>
      <w:r>
        <w:rPr>
          <w:rFonts w:hint="eastAsia"/>
        </w:rPr>
        <w:t>个重复试验。</w:t>
      </w:r>
    </w:p>
    <w:p w14:paraId="0327EDEE">
      <w:pPr>
        <w:pStyle w:val="7"/>
        <w:numPr>
          <w:ilvl w:val="2"/>
          <w:numId w:val="0"/>
        </w:numPr>
      </w:pPr>
      <w:r>
        <w:rPr>
          <w:rFonts w:hint="eastAsia" w:eastAsia="黑体"/>
        </w:rPr>
        <w:t>6</w:t>
      </w:r>
      <w:r>
        <w:rPr>
          <w:rFonts w:eastAsia="黑体"/>
        </w:rPr>
        <w:t>.4.2</w:t>
      </w:r>
      <w:r>
        <w:rPr>
          <w:rFonts w:hint="eastAsia" w:eastAsia="黑体"/>
        </w:rPr>
        <w:t xml:space="preserve"> </w:t>
      </w:r>
      <w:r>
        <w:rPr>
          <w:rFonts w:hint="eastAsia"/>
        </w:rPr>
        <w:t>受试物的暴露和TEER测定</w:t>
      </w:r>
    </w:p>
    <w:p w14:paraId="6BC28A67">
      <w:pPr>
        <w:pStyle w:val="7"/>
        <w:numPr>
          <w:ilvl w:val="2"/>
          <w:numId w:val="0"/>
        </w:numPr>
        <w:ind w:firstLine="420" w:firstLineChars="200"/>
      </w:pPr>
      <w:r>
        <w:rPr>
          <w:rFonts w:hint="eastAsia"/>
        </w:rPr>
        <w:t>更换小室外侧培养基为</w:t>
      </w:r>
      <w:r>
        <w:t>1.5</w:t>
      </w:r>
      <w:r>
        <w:rPr>
          <w:rFonts w:hint="eastAsia"/>
        </w:rPr>
        <w:t xml:space="preserve"> </w:t>
      </w:r>
      <w:r>
        <w:t>mL</w:t>
      </w:r>
      <w:r>
        <w:rPr>
          <w:rFonts w:hint="eastAsia"/>
        </w:rPr>
        <w:t>新鲜培养基，向小室内侧加入</w:t>
      </w:r>
      <w:r>
        <w:t>0.5</w:t>
      </w:r>
      <w:r>
        <w:rPr>
          <w:rFonts w:hint="eastAsia"/>
        </w:rPr>
        <w:t xml:space="preserve"> </w:t>
      </w:r>
      <w:r>
        <w:t>mL</w:t>
      </w:r>
      <w:r>
        <w:rPr>
          <w:rFonts w:hint="eastAsia"/>
        </w:rPr>
        <w:t>待测液，记录</w:t>
      </w:r>
      <w:r>
        <w:t>3</w:t>
      </w:r>
      <w:r>
        <w:rPr>
          <w:rFonts w:hint="eastAsia"/>
        </w:rPr>
        <w:t xml:space="preserve"> min内模型TEER值的变化，每</w:t>
      </w:r>
      <w:r>
        <w:t>10</w:t>
      </w:r>
      <w:r>
        <w:rPr>
          <w:rFonts w:hint="eastAsia"/>
        </w:rPr>
        <w:t xml:space="preserve"> s记录一次，试验温度为</w:t>
      </w:r>
      <w:r>
        <w:t>2</w:t>
      </w:r>
      <w:r>
        <w:rPr>
          <w:rFonts w:hint="eastAsia"/>
        </w:rPr>
        <w:t xml:space="preserve">8 </w:t>
      </w:r>
      <w:r>
        <w:t>±</w:t>
      </w:r>
      <w:r>
        <w:rPr>
          <w:rFonts w:hint="eastAsia"/>
        </w:rPr>
        <w:t xml:space="preserve"> 2 </w:t>
      </w:r>
      <w:r>
        <w:t>℃</w:t>
      </w:r>
      <w:r>
        <w:rPr>
          <w:rFonts w:hint="eastAsia"/>
        </w:rPr>
        <w:t>。角膜上皮模型应在从CO</w:t>
      </w:r>
      <w:r>
        <w:rPr>
          <w:rFonts w:hint="eastAsia"/>
          <w:vertAlign w:val="subscript"/>
        </w:rPr>
        <w:t>2</w:t>
      </w:r>
      <w:r>
        <w:rPr>
          <w:rFonts w:hint="eastAsia"/>
        </w:rPr>
        <w:t>培养箱中取出后2 h内进行实验。</w:t>
      </w:r>
    </w:p>
    <w:p w14:paraId="2EE0EFE5">
      <w:pPr>
        <w:pStyle w:val="6"/>
        <w:numPr>
          <w:ilvl w:val="1"/>
          <w:numId w:val="0"/>
        </w:numPr>
        <w:spacing w:line="300" w:lineRule="auto"/>
        <w:jc w:val="both"/>
        <w:outlineLvl w:val="1"/>
        <w:rPr>
          <w:rFonts w:cs="宋体"/>
        </w:rPr>
      </w:pPr>
      <w:bookmarkStart w:id="69" w:name="_Toc155249926"/>
      <w:r>
        <w:rPr>
          <w:rFonts w:hint="eastAsia" w:eastAsia="黑体"/>
        </w:rPr>
        <w:t>6</w:t>
      </w:r>
      <w:r>
        <w:rPr>
          <w:rFonts w:eastAsia="黑体"/>
        </w:rPr>
        <w:t>.5</w:t>
      </w:r>
      <w:r>
        <w:rPr>
          <w:rFonts w:hint="eastAsia" w:eastAsia="黑体"/>
        </w:rPr>
        <w:t xml:space="preserve">  </w:t>
      </w:r>
      <w:r>
        <w:rPr>
          <w:rFonts w:hint="eastAsia" w:cs="宋体"/>
        </w:rPr>
        <w:t>计算</w:t>
      </w:r>
      <w:bookmarkEnd w:id="69"/>
    </w:p>
    <w:p w14:paraId="2E8F623F">
      <w:pPr>
        <w:ind w:firstLine="420"/>
      </w:pPr>
      <w:bookmarkStart w:id="70" w:name="_Hlk155250410"/>
      <w:r>
        <w:rPr>
          <w:rFonts w:hint="eastAsia"/>
        </w:rPr>
        <w:t>以暴露时间（s）为横坐标，以</w:t>
      </w:r>
      <w:r>
        <w:fldChar w:fldCharType="begin"/>
      </w:r>
      <w:r>
        <w:instrText xml:space="preserve"> QUOTE </w:instrText>
      </w:r>
      <w:r>
        <w:rPr>
          <w:rFonts w:hint="eastAsia"/>
          <w:position w:val="-27"/>
        </w:rPr>
        <w:drawing>
          <wp:inline distT="0" distB="0" distL="114300" distR="114300">
            <wp:extent cx="533400" cy="400050"/>
            <wp:effectExtent l="0" t="0" r="0" b="0"/>
            <wp:docPr id="5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1"/>
                    <pic:cNvPicPr>
                      <a:picLocks noChangeAspect="1"/>
                    </pic:cNvPicPr>
                  </pic:nvPicPr>
                  <pic:blipFill>
                    <a:blip r:embed="rId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instrText xml:space="preserve"> </w:instrText>
      </w:r>
      <w:r>
        <w:fldChar w:fldCharType="separate"/>
      </w:r>
      <w:r>
        <w:rPr>
          <w:rFonts w:hint="eastAsia"/>
          <w:position w:val="-27"/>
        </w:rPr>
        <w:drawing>
          <wp:inline distT="0" distB="0" distL="114300" distR="114300">
            <wp:extent cx="533400" cy="400050"/>
            <wp:effectExtent l="0" t="0" r="0" b="0"/>
            <wp:docPr id="5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2"/>
                    <pic:cNvPicPr>
                      <a:picLocks noChangeAspect="1"/>
                    </pic:cNvPicPr>
                  </pic:nvPicPr>
                  <pic:blipFill>
                    <a:blip r:embed="rId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>
        <w:rPr>
          <w:rFonts w:hint="eastAsia"/>
        </w:rPr>
        <w:t>在初始值中百分比（</w:t>
      </w:r>
      <w:r>
        <w:t>%</w:t>
      </w:r>
      <w:r>
        <w:rPr>
          <w:rFonts w:hint="eastAsia"/>
        </w:rPr>
        <w:t>）为纵坐标作图（图</w:t>
      </w:r>
      <w:r>
        <w:t>1</w:t>
      </w:r>
      <w:r>
        <w:rPr>
          <w:rFonts w:hint="eastAsia"/>
        </w:rPr>
        <w:t>）。</w:t>
      </w:r>
      <w:r>
        <w:fldChar w:fldCharType="begin"/>
      </w:r>
      <w:r>
        <w:instrText xml:space="preserve"> QUOTE </w:instrText>
      </w:r>
      <w:r>
        <w:rPr>
          <w:rFonts w:hint="eastAsia"/>
          <w:position w:val="-27"/>
        </w:rPr>
        <w:drawing>
          <wp:inline distT="0" distB="0" distL="114300" distR="114300">
            <wp:extent cx="533400" cy="400050"/>
            <wp:effectExtent l="0" t="0" r="0" b="0"/>
            <wp:docPr id="1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3"/>
                    <pic:cNvPicPr>
                      <a:picLocks noChangeAspect="1"/>
                    </pic:cNvPicPr>
                  </pic:nvPicPr>
                  <pic:blipFill>
                    <a:blip r:embed="rId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instrText xml:space="preserve"> </w:instrText>
      </w:r>
      <w:r>
        <w:fldChar w:fldCharType="separate"/>
      </w:r>
      <w:r>
        <w:rPr>
          <w:rFonts w:hint="eastAsia"/>
          <w:position w:val="-27"/>
        </w:rPr>
        <w:drawing>
          <wp:inline distT="0" distB="0" distL="114300" distR="114300">
            <wp:extent cx="533400" cy="400050"/>
            <wp:effectExtent l="0" t="0" r="0" b="0"/>
            <wp:docPr id="1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4"/>
                    <pic:cNvPicPr>
                      <a:picLocks noChangeAspect="1"/>
                    </pic:cNvPicPr>
                  </pic:nvPicPr>
                  <pic:blipFill>
                    <a:blip r:embed="rId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>
        <w:rPr>
          <w:rFonts w:hint="eastAsia"/>
        </w:rPr>
        <w:t>计算见公式1。根据图</w:t>
      </w:r>
      <w:r>
        <w:t>1</w:t>
      </w:r>
      <w:r>
        <w:rPr>
          <w:rFonts w:hint="eastAsia"/>
        </w:rPr>
        <w:t>计算延迟时间（s）、强度（</w:t>
      </w:r>
      <w:r>
        <w:t>%/</w:t>
      </w:r>
      <w:r>
        <w:rPr>
          <w:rFonts w:hint="eastAsia"/>
        </w:rPr>
        <w:t>s）和坪值</w:t>
      </w:r>
      <w:r>
        <w:t>（%）</w:t>
      </w:r>
      <w:r>
        <w:rPr>
          <w:rFonts w:hint="eastAsia"/>
        </w:rPr>
        <w:t>，计算公式见公式</w:t>
      </w:r>
      <w:r>
        <w:t>2</w:t>
      </w:r>
      <w:r>
        <w:rPr>
          <w:rFonts w:hint="eastAsia"/>
        </w:rPr>
        <w:t xml:space="preserve"> </w:t>
      </w:r>
      <w:r>
        <w:rPr>
          <w:rFonts w:hint="eastAsia" w:ascii="仿宋_GB2312" w:eastAsia="仿宋_GB2312"/>
          <w:szCs w:val="21"/>
        </w:rPr>
        <w:t>～</w:t>
      </w:r>
      <w:r>
        <w:rPr>
          <w:rFonts w:hint="eastAsia"/>
        </w:rPr>
        <w:t xml:space="preserve"> 公式</w:t>
      </w:r>
      <w:r>
        <w:t>4</w:t>
      </w:r>
      <w:r>
        <w:rPr>
          <w:rFonts w:hint="eastAsia"/>
        </w:rPr>
        <w:t>。</w:t>
      </w:r>
    </w:p>
    <w:p w14:paraId="0EB228AF">
      <w:pPr>
        <w:pStyle w:val="4"/>
        <w:tabs>
          <w:tab w:val="center" w:pos="4201"/>
          <w:tab w:val="right" w:leader="dot" w:pos="9298"/>
        </w:tabs>
        <w:spacing w:line="300" w:lineRule="auto"/>
        <w:ind w:firstLine="0" w:firstLineChars="0"/>
        <w:jc w:val="center"/>
      </w:pPr>
      <w:r>
        <w:drawing>
          <wp:inline distT="0" distB="0" distL="114300" distR="114300">
            <wp:extent cx="3175000" cy="2232660"/>
            <wp:effectExtent l="0" t="0" r="0" b="15240"/>
            <wp:docPr id="1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5"/>
                    <pic:cNvPicPr>
                      <a:picLocks noChangeAspect="1"/>
                    </pic:cNvPicPr>
                  </pic:nvPicPr>
                  <pic:blipFill>
                    <a:blip r:embed="rId5"/>
                    <a:srcRect b="10332"/>
                    <a:stretch>
                      <a:fillRect/>
                    </a:stretch>
                  </pic:blipFill>
                  <pic:spPr>
                    <a:xfrm>
                      <a:off x="0" y="0"/>
                      <a:ext cx="3175000" cy="2232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5A238E">
      <w:pPr>
        <w:pStyle w:val="4"/>
        <w:tabs>
          <w:tab w:val="center" w:pos="4201"/>
          <w:tab w:val="right" w:leader="dot" w:pos="9298"/>
        </w:tabs>
        <w:spacing w:before="156" w:beforeLines="50" w:after="156" w:afterLines="50" w:line="300" w:lineRule="auto"/>
        <w:ind w:firstLine="0" w:firstLineChars="0"/>
        <w:jc w:val="center"/>
        <w:rPr>
          <w:rFonts w:ascii="黑体" w:hAnsi="黑体" w:eastAsia="黑体" w:cs="黑体"/>
        </w:rPr>
      </w:pPr>
      <w:r>
        <w:rPr>
          <w:rFonts w:hint="eastAsia" w:ascii="黑体" w:hAnsi="黑体" w:eastAsia="黑体" w:cs="黑体"/>
        </w:rPr>
        <w:t>图</w:t>
      </w:r>
      <w:r>
        <w:rPr>
          <w:rFonts w:ascii="Times New Roman" w:eastAsia="黑体"/>
        </w:rPr>
        <w:t>1</w:t>
      </w:r>
      <w:r>
        <w:rPr>
          <w:rFonts w:hint="eastAsia" w:ascii="黑体" w:hAnsi="黑体" w:eastAsia="黑体" w:cs="黑体"/>
        </w:rPr>
        <w:t xml:space="preserve"> 受试物暴露角膜上皮模型后TEER值变化示意图</w:t>
      </w:r>
      <w:bookmarkEnd w:id="70"/>
    </w:p>
    <w:p w14:paraId="7AEEC38D">
      <w:pPr>
        <w:tabs>
          <w:tab w:val="center" w:pos="4000"/>
          <w:tab w:val="right" w:leader="middleDot" w:pos="8190"/>
        </w:tabs>
        <w:snapToGrid w:val="0"/>
        <w:ind w:firstLine="0" w:firstLineChars="0"/>
      </w:pPr>
      <w:r>
        <w:rPr>
          <w:rFonts w:hint="eastAsia"/>
        </w:rPr>
        <w:tab/>
      </w:r>
      <w:r>
        <w:fldChar w:fldCharType="begin"/>
      </w:r>
      <w:r>
        <w:instrText xml:space="preserve"> QUOTE </w:instrText>
      </w:r>
      <w:r>
        <w:rPr>
          <w:rFonts w:hint="eastAsia"/>
          <w:position w:val="-24"/>
        </w:rPr>
        <w:drawing>
          <wp:inline distT="0" distB="0" distL="114300" distR="114300">
            <wp:extent cx="3790315" cy="400050"/>
            <wp:effectExtent l="0" t="0" r="635" b="0"/>
            <wp:docPr id="1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6"/>
                    <pic:cNvPicPr>
                      <a:picLocks noChangeAspect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031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instrText xml:space="preserve"> </w:instrText>
      </w:r>
      <w:r>
        <w:fldChar w:fldCharType="separate"/>
      </w:r>
      <w:r>
        <w:rPr>
          <w:rFonts w:hint="eastAsia"/>
          <w:position w:val="-24"/>
        </w:rPr>
        <w:drawing>
          <wp:inline distT="0" distB="0" distL="114300" distR="114300">
            <wp:extent cx="3790315" cy="400050"/>
            <wp:effectExtent l="0" t="0" r="635" b="0"/>
            <wp:docPr id="1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7"/>
                    <pic:cNvPicPr>
                      <a:picLocks noChangeAspect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031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>
        <w:tab/>
      </w:r>
      <w:r>
        <w:t>公式1</w:t>
      </w:r>
    </w:p>
    <w:p w14:paraId="51C02CD4">
      <w:pPr>
        <w:tabs>
          <w:tab w:val="center" w:pos="4410"/>
          <w:tab w:val="right" w:leader="middleDot" w:pos="8190"/>
        </w:tabs>
        <w:ind w:firstLine="0" w:firstLineChars="0"/>
        <w:jc w:val="left"/>
      </w:pPr>
      <w:r>
        <w:tab/>
      </w:r>
      <w:r>
        <w:fldChar w:fldCharType="begin"/>
      </w:r>
      <w:r>
        <w:instrText xml:space="preserve"> QUOTE </w:instrText>
      </w:r>
      <w:r>
        <w:rPr>
          <w:position w:val="-11"/>
        </w:rPr>
        <w:drawing>
          <wp:inline distT="0" distB="0" distL="114300" distR="114300">
            <wp:extent cx="1047750" cy="247650"/>
            <wp:effectExtent l="0" t="0" r="0" b="0"/>
            <wp:docPr id="27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8"/>
                    <pic:cNvPicPr>
                      <a:picLocks noChangeAspect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instrText xml:space="preserve"> </w:instrText>
      </w:r>
      <w:r>
        <w:fldChar w:fldCharType="separate"/>
      </w:r>
      <w:r>
        <w:rPr>
          <w:position w:val="-11"/>
        </w:rPr>
        <w:drawing>
          <wp:inline distT="0" distB="0" distL="114300" distR="114300">
            <wp:extent cx="1047750" cy="247650"/>
            <wp:effectExtent l="0" t="0" r="0" b="0"/>
            <wp:docPr id="1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9"/>
                    <pic:cNvPicPr>
                      <a:picLocks noChangeAspect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>
        <w:tab/>
      </w:r>
      <w:r>
        <w:t>公式2</w:t>
      </w:r>
    </w:p>
    <w:p w14:paraId="213BF0C5">
      <w:pPr>
        <w:tabs>
          <w:tab w:val="center" w:pos="4620"/>
          <w:tab w:val="right" w:leader="middleDot" w:pos="8200"/>
        </w:tabs>
        <w:ind w:firstLine="0" w:firstLineChars="0"/>
        <w:jc w:val="left"/>
        <w:rPr>
          <w:szCs w:val="21"/>
        </w:rPr>
      </w:pPr>
      <w:r>
        <w:rPr>
          <w:szCs w:val="21"/>
        </w:rPr>
        <w:tab/>
      </w:r>
      <w:r>
        <w:rPr>
          <w:szCs w:val="21"/>
        </w:rPr>
        <w:fldChar w:fldCharType="begin"/>
      </w:r>
      <w:r>
        <w:rPr>
          <w:szCs w:val="21"/>
        </w:rPr>
        <w:instrText xml:space="preserve"> QUOTE </w:instrText>
      </w:r>
      <w:r>
        <w:rPr>
          <w:position w:val="-11"/>
        </w:rPr>
        <w:drawing>
          <wp:inline distT="0" distB="0" distL="114300" distR="114300">
            <wp:extent cx="1952625" cy="247650"/>
            <wp:effectExtent l="0" t="0" r="0" b="0"/>
            <wp:docPr id="2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0"/>
                    <pic:cNvPicPr>
                      <a:picLocks noChangeAspect="1"/>
                    </pic:cNvPicPr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Cs w:val="21"/>
        </w:rPr>
        <w:instrText xml:space="preserve"> </w:instrText>
      </w:r>
      <w:r>
        <w:rPr>
          <w:szCs w:val="21"/>
        </w:rPr>
        <w:fldChar w:fldCharType="separate"/>
      </w:r>
      <w:r>
        <w:rPr>
          <w:position w:val="-11"/>
        </w:rPr>
        <w:drawing>
          <wp:inline distT="0" distB="0" distL="114300" distR="114300">
            <wp:extent cx="1952625" cy="247650"/>
            <wp:effectExtent l="0" t="0" r="0" b="0"/>
            <wp:docPr id="22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1"/>
                    <pic:cNvPicPr>
                      <a:picLocks noChangeAspect="1"/>
                    </pic:cNvPicPr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Cs w:val="21"/>
        </w:rPr>
        <w:fldChar w:fldCharType="end"/>
      </w:r>
      <w:r>
        <w:rPr>
          <w:szCs w:val="21"/>
        </w:rPr>
        <w:tab/>
      </w:r>
      <w:r>
        <w:rPr>
          <w:szCs w:val="21"/>
        </w:rPr>
        <w:t>公式3</w:t>
      </w:r>
    </w:p>
    <w:p w14:paraId="0210D0B2">
      <w:pPr>
        <w:tabs>
          <w:tab w:val="center" w:pos="4410"/>
          <w:tab w:val="right" w:leader="middleDot" w:pos="8200"/>
        </w:tabs>
        <w:spacing w:after="93" w:afterLines="30"/>
        <w:ind w:firstLine="0" w:firstLineChars="0"/>
        <w:jc w:val="left"/>
        <w:rPr>
          <w:szCs w:val="21"/>
        </w:rPr>
      </w:pPr>
      <w:r>
        <w:rPr>
          <w:szCs w:val="21"/>
        </w:rPr>
        <w:tab/>
      </w:r>
      <w:r>
        <w:rPr>
          <w:szCs w:val="21"/>
        </w:rPr>
        <w:fldChar w:fldCharType="begin"/>
      </w:r>
      <w:r>
        <w:rPr>
          <w:szCs w:val="21"/>
        </w:rPr>
        <w:instrText xml:space="preserve"> QUOTE </w:instrText>
      </w:r>
      <w:r>
        <w:rPr>
          <w:position w:val="-11"/>
        </w:rPr>
        <w:drawing>
          <wp:inline distT="0" distB="0" distL="114300" distR="114300">
            <wp:extent cx="1123950" cy="247650"/>
            <wp:effectExtent l="0" t="0" r="0" b="0"/>
            <wp:docPr id="23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2"/>
                    <pic:cNvPicPr>
                      <a:picLocks noChangeAspect="1"/>
                    </pic:cNvPicPr>
                  </pic:nvPicPr>
                  <pic:blipFill>
                    <a:blip r:embed="rId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Cs w:val="21"/>
        </w:rPr>
        <w:instrText xml:space="preserve"> </w:instrText>
      </w:r>
      <w:r>
        <w:rPr>
          <w:szCs w:val="21"/>
        </w:rPr>
        <w:fldChar w:fldCharType="separate"/>
      </w:r>
      <w:r>
        <w:rPr>
          <w:position w:val="-11"/>
        </w:rPr>
        <w:drawing>
          <wp:inline distT="0" distB="0" distL="114300" distR="114300">
            <wp:extent cx="1123950" cy="247650"/>
            <wp:effectExtent l="0" t="0" r="0" b="0"/>
            <wp:docPr id="21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3"/>
                    <pic:cNvPicPr>
                      <a:picLocks noChangeAspect="1"/>
                    </pic:cNvPicPr>
                  </pic:nvPicPr>
                  <pic:blipFill>
                    <a:blip r:embed="rId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Cs w:val="21"/>
        </w:rPr>
        <w:fldChar w:fldCharType="end"/>
      </w:r>
      <w:r>
        <w:rPr>
          <w:szCs w:val="21"/>
        </w:rPr>
        <w:tab/>
      </w:r>
      <w:r>
        <w:rPr>
          <w:szCs w:val="21"/>
        </w:rPr>
        <w:t>公式4</w:t>
      </w:r>
    </w:p>
    <w:p w14:paraId="076509E9">
      <w:pPr>
        <w:spacing w:before="156" w:beforeLines="50"/>
        <w:ind w:firstLine="420"/>
      </w:pPr>
      <w:r>
        <w:t>其中，</w:t>
      </w:r>
      <w:r>
        <w:fldChar w:fldCharType="begin"/>
      </w:r>
      <w:r>
        <w:instrText xml:space="preserve"> QUOTE </w:instrText>
      </w:r>
      <w:r>
        <w:rPr>
          <w:position w:val="-27"/>
        </w:rPr>
        <w:drawing>
          <wp:inline distT="0" distB="0" distL="114300" distR="114300">
            <wp:extent cx="190500" cy="400050"/>
            <wp:effectExtent l="0" t="0" r="0" b="0"/>
            <wp:docPr id="2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4"/>
                    <pic:cNvPicPr>
                      <a:picLocks noChangeAspect="1"/>
                    </pic:cNvPicPr>
                  </pic:nvPicPr>
                  <pic:blipFill>
                    <a:blip r:embed="rId1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instrText xml:space="preserve"> </w:instrText>
      </w:r>
      <w:r>
        <w:fldChar w:fldCharType="separate"/>
      </w:r>
      <w:r>
        <w:rPr>
          <w:position w:val="-27"/>
        </w:rPr>
        <w:drawing>
          <wp:inline distT="0" distB="0" distL="114300" distR="114300">
            <wp:extent cx="190500" cy="400050"/>
            <wp:effectExtent l="0" t="0" r="0" b="0"/>
            <wp:docPr id="2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5"/>
                    <pic:cNvPicPr>
                      <a:picLocks noChangeAspect="1"/>
                    </pic:cNvPicPr>
                  </pic:nvPicPr>
                  <pic:blipFill>
                    <a:blip r:embed="rId1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>
        <w:rPr>
          <w:rFonts w:hint="eastAsia"/>
        </w:rPr>
        <w:t>为模型总电阻值；</w:t>
      </w:r>
      <w:r>
        <w:fldChar w:fldCharType="begin"/>
      </w:r>
      <w:r>
        <w:instrText xml:space="preserve"> QUOTE </w:instrText>
      </w:r>
      <w:r>
        <w:rPr>
          <w:rFonts w:hint="eastAsia"/>
          <w:position w:val="-27"/>
        </w:rPr>
        <w:drawing>
          <wp:inline distT="0" distB="0" distL="114300" distR="114300">
            <wp:extent cx="285750" cy="400050"/>
            <wp:effectExtent l="0" t="0" r="0" b="0"/>
            <wp:docPr id="2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6"/>
                    <pic:cNvPicPr>
                      <a:picLocks noChangeAspect="1"/>
                    </pic:cNvPicPr>
                  </pic:nvPicPr>
                  <pic:blipFill>
                    <a:blip r:embed="rId1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instrText xml:space="preserve"> </w:instrText>
      </w:r>
      <w:r>
        <w:fldChar w:fldCharType="separate"/>
      </w:r>
      <w:r>
        <w:rPr>
          <w:rFonts w:hint="eastAsia"/>
          <w:position w:val="-27"/>
        </w:rPr>
        <w:drawing>
          <wp:inline distT="0" distB="0" distL="114300" distR="114300">
            <wp:extent cx="285750" cy="400050"/>
            <wp:effectExtent l="0" t="0" r="0" b="0"/>
            <wp:docPr id="28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17"/>
                    <pic:cNvPicPr>
                      <a:picLocks noChangeAspect="1"/>
                    </pic:cNvPicPr>
                  </pic:nvPicPr>
                  <pic:blipFill>
                    <a:blip r:embed="rId1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>
        <w:rPr>
          <w:rFonts w:hint="eastAsia"/>
        </w:rPr>
        <w:t>为空白模型电阻值；有效面积为角膜上皮模型的面积；</w:t>
      </w:r>
      <w:r>
        <w:fldChar w:fldCharType="begin"/>
      </w:r>
      <w:r>
        <w:instrText xml:space="preserve"> QUOTE </w:instrText>
      </w:r>
      <w:r>
        <w:rPr>
          <w:rFonts w:hint="eastAsia"/>
          <w:position w:val="-11"/>
        </w:rPr>
        <w:drawing>
          <wp:inline distT="0" distB="0" distL="114300" distR="114300">
            <wp:extent cx="85725" cy="247650"/>
            <wp:effectExtent l="0" t="0" r="9525" b="0"/>
            <wp:docPr id="35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18"/>
                    <pic:cNvPicPr>
                      <a:picLocks noChangeAspect="1"/>
                    </pic:cNvPicPr>
                  </pic:nvPicPr>
                  <pic:blipFill>
                    <a:blip r:embed="rId1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instrText xml:space="preserve"> </w:instrText>
      </w:r>
      <w:r>
        <w:fldChar w:fldCharType="separate"/>
      </w:r>
      <w:r>
        <w:rPr>
          <w:rFonts w:hint="eastAsia"/>
          <w:position w:val="-11"/>
        </w:rPr>
        <w:drawing>
          <wp:inline distT="0" distB="0" distL="114300" distR="114300">
            <wp:extent cx="85725" cy="247650"/>
            <wp:effectExtent l="0" t="0" r="9525" b="0"/>
            <wp:docPr id="2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19"/>
                    <pic:cNvPicPr>
                      <a:picLocks noChangeAspect="1"/>
                    </pic:cNvPicPr>
                  </pic:nvPicPr>
                  <pic:blipFill>
                    <a:blip r:embed="rId1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>
        <w:rPr>
          <w:rFonts w:hint="eastAsia"/>
        </w:rPr>
        <w:t>为与初始值相比TEER降低</w:t>
      </w:r>
      <w:r>
        <w:fldChar w:fldCharType="begin"/>
      </w:r>
      <w:r>
        <w:instrText xml:space="preserve"> QUOTE </w:instrText>
      </w:r>
      <w:r>
        <w:rPr>
          <w:rFonts w:hint="eastAsia"/>
          <w:position w:val="-11"/>
        </w:rPr>
        <w:drawing>
          <wp:inline distT="0" distB="0" distL="114300" distR="114300">
            <wp:extent cx="95250" cy="247650"/>
            <wp:effectExtent l="0" t="0" r="0" b="0"/>
            <wp:docPr id="32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20"/>
                    <pic:cNvPicPr>
                      <a:picLocks noChangeAspect="1"/>
                    </pic:cNvPicPr>
                  </pic:nvPicPr>
                  <pic:blipFill>
                    <a:blip r:embed="rId13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instrText xml:space="preserve"> </w:instrText>
      </w:r>
      <w:r>
        <w:fldChar w:fldCharType="separate"/>
      </w:r>
      <w:r>
        <w:rPr>
          <w:rFonts w:hint="eastAsia"/>
          <w:position w:val="-11"/>
        </w:rPr>
        <w:drawing>
          <wp:inline distT="0" distB="0" distL="114300" distR="114300">
            <wp:extent cx="95250" cy="247650"/>
            <wp:effectExtent l="0" t="0" r="0" b="0"/>
            <wp:docPr id="30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21"/>
                    <pic:cNvPicPr>
                      <a:picLocks noChangeAspect="1"/>
                    </pic:cNvPicPr>
                  </pic:nvPicPr>
                  <pic:blipFill>
                    <a:blip r:embed="rId13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>
        <w:rPr>
          <w:rFonts w:hint="eastAsia"/>
        </w:rPr>
        <w:t>3%时的第一个时间点</w:t>
      </w:r>
      <w:r>
        <w:t>；</w:t>
      </w:r>
      <w:r>
        <w:fldChar w:fldCharType="begin"/>
      </w:r>
      <w:r>
        <w:instrText xml:space="preserve"> QUOTE </w:instrText>
      </w:r>
      <w:r>
        <w:rPr>
          <w:position w:val="-11"/>
        </w:rPr>
        <w:drawing>
          <wp:inline distT="0" distB="0" distL="114300" distR="114300">
            <wp:extent cx="95250" cy="247650"/>
            <wp:effectExtent l="0" t="0" r="0" b="0"/>
            <wp:docPr id="31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22"/>
                    <pic:cNvPicPr>
                      <a:picLocks noChangeAspect="1"/>
                    </pic:cNvPicPr>
                  </pic:nvPicPr>
                  <pic:blipFill>
                    <a:blip r:embed="rId1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instrText xml:space="preserve"> </w:instrText>
      </w:r>
      <w:r>
        <w:fldChar w:fldCharType="separate"/>
      </w:r>
      <w:r>
        <w:rPr>
          <w:position w:val="-11"/>
        </w:rPr>
        <w:drawing>
          <wp:inline distT="0" distB="0" distL="114300" distR="114300">
            <wp:extent cx="95250" cy="247650"/>
            <wp:effectExtent l="0" t="0" r="0" b="0"/>
            <wp:docPr id="3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23"/>
                    <pic:cNvPicPr>
                      <a:picLocks noChangeAspect="1"/>
                    </pic:cNvPicPr>
                  </pic:nvPicPr>
                  <pic:blipFill>
                    <a:blip r:embed="rId1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>
        <w:rPr>
          <w:rFonts w:hint="eastAsia"/>
        </w:rPr>
        <w:t>为</w:t>
      </w:r>
      <w:r>
        <w:rPr>
          <w:rFonts w:hAnsi="Cambria Math"/>
          <w:iCs/>
        </w:rPr>
        <w:fldChar w:fldCharType="begin"/>
      </w:r>
      <w:r>
        <w:rPr>
          <w:rFonts w:hAnsi="Cambria Math"/>
          <w:iCs/>
        </w:rPr>
        <w:instrText xml:space="preserve"> QUOTE </w:instrText>
      </w:r>
      <w:r>
        <w:rPr>
          <w:rFonts w:hint="eastAsia"/>
          <w:position w:val="-11"/>
        </w:rPr>
        <w:drawing>
          <wp:inline distT="0" distB="0" distL="114300" distR="114300">
            <wp:extent cx="85725" cy="247650"/>
            <wp:effectExtent l="0" t="0" r="9525" b="0"/>
            <wp:docPr id="3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24"/>
                    <pic:cNvPicPr>
                      <a:picLocks noChangeAspect="1"/>
                    </pic:cNvPicPr>
                  </pic:nvPicPr>
                  <pic:blipFill>
                    <a:blip r:embed="rId1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Ansi="Cambria Math"/>
          <w:iCs/>
        </w:rPr>
        <w:instrText xml:space="preserve"> </w:instrText>
      </w:r>
      <w:r>
        <w:rPr>
          <w:rFonts w:hAnsi="Cambria Math"/>
          <w:iCs/>
        </w:rPr>
        <w:fldChar w:fldCharType="separate"/>
      </w:r>
      <w:r>
        <w:rPr>
          <w:rFonts w:hint="eastAsia"/>
          <w:position w:val="-11"/>
        </w:rPr>
        <w:drawing>
          <wp:inline distT="0" distB="0" distL="114300" distR="114300">
            <wp:extent cx="85725" cy="247650"/>
            <wp:effectExtent l="0" t="0" r="9525" b="0"/>
            <wp:docPr id="57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25"/>
                    <pic:cNvPicPr>
                      <a:picLocks noChangeAspect="1"/>
                    </pic:cNvPicPr>
                  </pic:nvPicPr>
                  <pic:blipFill>
                    <a:blip r:embed="rId1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Ansi="Cambria Math"/>
          <w:iCs/>
        </w:rPr>
        <w:fldChar w:fldCharType="end"/>
      </w:r>
      <w:r>
        <w:rPr>
          <w:rFonts w:hint="eastAsia" w:hAnsi="Cambria Math"/>
          <w:iCs/>
        </w:rPr>
        <w:t>后，满足</w:t>
      </w:r>
      <w:r>
        <w:rPr>
          <w:rFonts w:hAnsi="Cambria Math"/>
          <w:iCs/>
        </w:rPr>
        <w:fldChar w:fldCharType="begin"/>
      </w:r>
      <w:r>
        <w:rPr>
          <w:rFonts w:hAnsi="Cambria Math"/>
          <w:iCs/>
        </w:rPr>
        <w:instrText xml:space="preserve"> QUOTE </w:instrText>
      </w:r>
      <w:r>
        <w:rPr>
          <w:rFonts w:hint="eastAsia"/>
          <w:position w:val="-11"/>
        </w:rPr>
        <w:drawing>
          <wp:inline distT="0" distB="0" distL="114300" distR="114300">
            <wp:extent cx="619125" cy="247650"/>
            <wp:effectExtent l="0" t="0" r="9525" b="0"/>
            <wp:docPr id="44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26"/>
                    <pic:cNvPicPr>
                      <a:picLocks noChangeAspect="1"/>
                    </pic:cNvPicPr>
                  </pic:nvPicPr>
                  <pic:blipFill>
                    <a:blip r:embed="rId1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Ansi="Cambria Math"/>
          <w:iCs/>
        </w:rPr>
        <w:instrText xml:space="preserve"> </w:instrText>
      </w:r>
      <w:r>
        <w:rPr>
          <w:rFonts w:hAnsi="Cambria Math"/>
          <w:iCs/>
        </w:rPr>
        <w:fldChar w:fldCharType="separate"/>
      </w:r>
      <w:r>
        <w:rPr>
          <w:rFonts w:hint="eastAsia"/>
          <w:position w:val="-11"/>
        </w:rPr>
        <w:drawing>
          <wp:inline distT="0" distB="0" distL="114300" distR="114300">
            <wp:extent cx="619125" cy="247650"/>
            <wp:effectExtent l="0" t="0" r="9525" b="0"/>
            <wp:docPr id="42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27"/>
                    <pic:cNvPicPr>
                      <a:picLocks noChangeAspect="1"/>
                    </pic:cNvPicPr>
                  </pic:nvPicPr>
                  <pic:blipFill>
                    <a:blip r:embed="rId1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Ansi="Cambria Math"/>
          <w:iCs/>
        </w:rPr>
        <w:fldChar w:fldCharType="end"/>
      </w:r>
      <w:r>
        <w:rPr>
          <w:rFonts w:hint="eastAsia" w:hAnsi="Cambria Math"/>
          <w:iCs/>
        </w:rPr>
        <w:t>的起始时间点；</w:t>
      </w:r>
      <w:r>
        <w:fldChar w:fldCharType="begin"/>
      </w:r>
      <w:r>
        <w:instrText xml:space="preserve"> QUOTE </w:instrText>
      </w:r>
      <w:r>
        <w:rPr>
          <w:rFonts w:hint="eastAsia"/>
          <w:position w:val="-11"/>
        </w:rPr>
        <w:drawing>
          <wp:inline distT="0" distB="0" distL="114300" distR="114300">
            <wp:extent cx="85725" cy="247650"/>
            <wp:effectExtent l="0" t="0" r="9525" b="0"/>
            <wp:docPr id="43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28"/>
                    <pic:cNvPicPr>
                      <a:picLocks noChangeAspect="1"/>
                    </pic:cNvPicPr>
                  </pic:nvPicPr>
                  <pic:blipFill>
                    <a:blip r:embed="rId1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instrText xml:space="preserve"> </w:instrText>
      </w:r>
      <w:r>
        <w:fldChar w:fldCharType="separate"/>
      </w:r>
      <w:r>
        <w:rPr>
          <w:rFonts w:hint="eastAsia"/>
          <w:position w:val="-11"/>
        </w:rPr>
        <w:drawing>
          <wp:inline distT="0" distB="0" distL="114300" distR="114300">
            <wp:extent cx="85725" cy="247650"/>
            <wp:effectExtent l="0" t="0" r="9525" b="0"/>
            <wp:docPr id="36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29"/>
                    <pic:cNvPicPr>
                      <a:picLocks noChangeAspect="1"/>
                    </pic:cNvPicPr>
                  </pic:nvPicPr>
                  <pic:blipFill>
                    <a:blip r:embed="rId1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>
        <w:rPr>
          <w:rFonts w:hint="eastAsia"/>
        </w:rPr>
        <w:t>为</w:t>
      </w:r>
      <w:r>
        <w:fldChar w:fldCharType="begin"/>
      </w:r>
      <w:r>
        <w:instrText xml:space="preserve"> QUOTE </w:instrText>
      </w:r>
      <w:r>
        <w:rPr>
          <w:rFonts w:hint="eastAsia"/>
          <w:position w:val="-11"/>
        </w:rPr>
        <w:drawing>
          <wp:inline distT="0" distB="0" distL="114300" distR="114300">
            <wp:extent cx="381000" cy="247650"/>
            <wp:effectExtent l="0" t="0" r="0" b="0"/>
            <wp:docPr id="48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30"/>
                    <pic:cNvPicPr>
                      <a:picLocks noChangeAspect="1"/>
                    </pic:cNvPicPr>
                  </pic:nvPicPr>
                  <pic:blipFill>
                    <a:blip r:embed="rId1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instrText xml:space="preserve"> </w:instrText>
      </w:r>
      <w:r>
        <w:fldChar w:fldCharType="separate"/>
      </w:r>
      <w:r>
        <w:rPr>
          <w:rFonts w:hint="eastAsia"/>
          <w:position w:val="-11"/>
        </w:rPr>
        <w:drawing>
          <wp:inline distT="0" distB="0" distL="114300" distR="114300">
            <wp:extent cx="381000" cy="247650"/>
            <wp:effectExtent l="0" t="0" r="0" b="0"/>
            <wp:docPr id="52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31"/>
                    <pic:cNvPicPr>
                      <a:picLocks noChangeAspect="1"/>
                    </pic:cNvPicPr>
                  </pic:nvPicPr>
                  <pic:blipFill>
                    <a:blip r:embed="rId1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>
        <w:t>；</w:t>
      </w:r>
      <w:r>
        <w:rPr>
          <w:iCs/>
        </w:rPr>
        <w:fldChar w:fldCharType="begin"/>
      </w:r>
      <w:r>
        <w:rPr>
          <w:iCs/>
        </w:rPr>
        <w:instrText xml:space="preserve"> QUOTE </w:instrText>
      </w:r>
      <w:r>
        <w:rPr>
          <w:position w:val="-11"/>
        </w:rPr>
        <w:drawing>
          <wp:inline distT="0" distB="0" distL="114300" distR="114300">
            <wp:extent cx="123825" cy="247650"/>
            <wp:effectExtent l="0" t="0" r="9525" b="0"/>
            <wp:docPr id="37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2"/>
                    <pic:cNvPicPr>
                      <a:picLocks noChangeAspect="1"/>
                    </pic:cNvPicPr>
                  </pic:nvPicPr>
                  <pic:blipFill>
                    <a:blip r:embed="rId1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Cs/>
        </w:rPr>
        <w:instrText xml:space="preserve"> </w:instrText>
      </w:r>
      <w:r>
        <w:rPr>
          <w:iCs/>
        </w:rPr>
        <w:fldChar w:fldCharType="separate"/>
      </w:r>
      <w:r>
        <w:rPr>
          <w:position w:val="-11"/>
        </w:rPr>
        <w:drawing>
          <wp:inline distT="0" distB="0" distL="114300" distR="114300">
            <wp:extent cx="123825" cy="247650"/>
            <wp:effectExtent l="0" t="0" r="9525" b="0"/>
            <wp:docPr id="39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3"/>
                    <pic:cNvPicPr>
                      <a:picLocks noChangeAspect="1"/>
                    </pic:cNvPicPr>
                  </pic:nvPicPr>
                  <pic:blipFill>
                    <a:blip r:embed="rId1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Cs/>
        </w:rPr>
        <w:fldChar w:fldCharType="end"/>
      </w:r>
      <w:r>
        <w:rPr>
          <w:rFonts w:hint="eastAsia"/>
          <w:iCs/>
        </w:rPr>
        <w:t>、</w:t>
      </w:r>
      <w:r>
        <w:rPr>
          <w:rFonts w:hAnsi="Cambria Math"/>
          <w:iCs/>
        </w:rPr>
        <w:fldChar w:fldCharType="begin"/>
      </w:r>
      <w:r>
        <w:rPr>
          <w:rFonts w:hAnsi="Cambria Math"/>
          <w:iCs/>
        </w:rPr>
        <w:instrText xml:space="preserve"> QUOTE </w:instrText>
      </w:r>
      <w:r>
        <w:rPr>
          <w:rFonts w:hint="eastAsia"/>
          <w:position w:val="-11"/>
        </w:rPr>
        <w:drawing>
          <wp:inline distT="0" distB="0" distL="114300" distR="114300">
            <wp:extent cx="123825" cy="247650"/>
            <wp:effectExtent l="0" t="0" r="9525" b="0"/>
            <wp:docPr id="38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4"/>
                    <pic:cNvPicPr>
                      <a:picLocks noChangeAspect="1"/>
                    </pic:cNvPicPr>
                  </pic:nvPicPr>
                  <pic:blipFill>
                    <a:blip r:embed="rId1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Ansi="Cambria Math"/>
          <w:iCs/>
        </w:rPr>
        <w:instrText xml:space="preserve"> </w:instrText>
      </w:r>
      <w:r>
        <w:rPr>
          <w:rFonts w:hAnsi="Cambria Math"/>
          <w:iCs/>
        </w:rPr>
        <w:fldChar w:fldCharType="separate"/>
      </w:r>
      <w:r>
        <w:rPr>
          <w:rFonts w:hint="eastAsia"/>
          <w:position w:val="-11"/>
        </w:rPr>
        <w:drawing>
          <wp:inline distT="0" distB="0" distL="114300" distR="114300">
            <wp:extent cx="123825" cy="247650"/>
            <wp:effectExtent l="0" t="0" r="9525" b="0"/>
            <wp:docPr id="51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35"/>
                    <pic:cNvPicPr>
                      <a:picLocks noChangeAspect="1"/>
                    </pic:cNvPicPr>
                  </pic:nvPicPr>
                  <pic:blipFill>
                    <a:blip r:embed="rId1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Ansi="Cambria Math"/>
          <w:iCs/>
        </w:rPr>
        <w:fldChar w:fldCharType="end"/>
      </w:r>
      <w:r>
        <w:rPr>
          <w:rFonts w:hint="eastAsia" w:hAnsi="Cambria Math"/>
          <w:iCs/>
        </w:rPr>
        <w:t>和</w:t>
      </w:r>
      <w:r>
        <w:fldChar w:fldCharType="begin"/>
      </w:r>
      <w:r>
        <w:instrText xml:space="preserve"> QUOTE </w:instrText>
      </w:r>
      <w:r>
        <w:rPr>
          <w:rFonts w:hint="eastAsia"/>
          <w:position w:val="-11"/>
        </w:rPr>
        <w:drawing>
          <wp:inline distT="0" distB="0" distL="114300" distR="114300">
            <wp:extent cx="123825" cy="247650"/>
            <wp:effectExtent l="0" t="0" r="9525" b="0"/>
            <wp:docPr id="49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36"/>
                    <pic:cNvPicPr>
                      <a:picLocks noChangeAspect="1"/>
                    </pic:cNvPicPr>
                  </pic:nvPicPr>
                  <pic:blipFill>
                    <a:blip r:embed="rId2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instrText xml:space="preserve"> </w:instrText>
      </w:r>
      <w:r>
        <w:fldChar w:fldCharType="separate"/>
      </w:r>
      <w:r>
        <w:rPr>
          <w:rFonts w:hint="eastAsia"/>
          <w:position w:val="-11"/>
        </w:rPr>
        <w:drawing>
          <wp:inline distT="0" distB="0" distL="114300" distR="114300">
            <wp:extent cx="123825" cy="247650"/>
            <wp:effectExtent l="0" t="0" r="9525" b="0"/>
            <wp:docPr id="50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37"/>
                    <pic:cNvPicPr>
                      <a:picLocks noChangeAspect="1"/>
                    </pic:cNvPicPr>
                  </pic:nvPicPr>
                  <pic:blipFill>
                    <a:blip r:embed="rId2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>
        <w:t>分别</w:t>
      </w:r>
      <w:r>
        <w:rPr>
          <w:rFonts w:hint="eastAsia"/>
        </w:rPr>
        <w:t>为</w:t>
      </w:r>
      <w:r>
        <w:fldChar w:fldCharType="begin"/>
      </w:r>
      <w:r>
        <w:instrText xml:space="preserve"> QUOTE </w:instrText>
      </w:r>
      <w:r>
        <w:rPr>
          <w:rFonts w:hint="eastAsia"/>
          <w:position w:val="-11"/>
        </w:rPr>
        <w:drawing>
          <wp:inline distT="0" distB="0" distL="114300" distR="114300">
            <wp:extent cx="85725" cy="247650"/>
            <wp:effectExtent l="0" t="0" r="9525" b="0"/>
            <wp:docPr id="53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38"/>
                    <pic:cNvPicPr>
                      <a:picLocks noChangeAspect="1"/>
                    </pic:cNvPicPr>
                  </pic:nvPicPr>
                  <pic:blipFill>
                    <a:blip r:embed="rId1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instrText xml:space="preserve"> </w:instrText>
      </w:r>
      <w:r>
        <w:fldChar w:fldCharType="separate"/>
      </w:r>
      <w:r>
        <w:rPr>
          <w:rFonts w:hint="eastAsia"/>
          <w:position w:val="-11"/>
        </w:rPr>
        <w:drawing>
          <wp:inline distT="0" distB="0" distL="114300" distR="114300">
            <wp:extent cx="85725" cy="247650"/>
            <wp:effectExtent l="0" t="0" r="9525" b="0"/>
            <wp:docPr id="45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39"/>
                    <pic:cNvPicPr>
                      <a:picLocks noChangeAspect="1"/>
                    </pic:cNvPicPr>
                  </pic:nvPicPr>
                  <pic:blipFill>
                    <a:blip r:embed="rId1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>
        <w:rPr>
          <w:rFonts w:hint="eastAsia"/>
        </w:rPr>
        <w:t>、</w:t>
      </w:r>
      <w:r>
        <w:fldChar w:fldCharType="begin"/>
      </w:r>
      <w:r>
        <w:instrText xml:space="preserve"> QUOTE </w:instrText>
      </w:r>
      <w:r>
        <w:rPr>
          <w:rFonts w:hint="eastAsia"/>
          <w:position w:val="-11"/>
        </w:rPr>
        <w:drawing>
          <wp:inline distT="0" distB="0" distL="114300" distR="114300">
            <wp:extent cx="85725" cy="247650"/>
            <wp:effectExtent l="0" t="0" r="9525" b="0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/>
                    <pic:cNvPicPr>
                      <a:picLocks noChangeAspect="1"/>
                    </pic:cNvPicPr>
                  </pic:nvPicPr>
                  <pic:blipFill>
                    <a:blip r:embed="rId2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instrText xml:space="preserve"> </w:instrText>
      </w:r>
      <w:r>
        <w:fldChar w:fldCharType="separate"/>
      </w:r>
      <w:r>
        <w:rPr>
          <w:rFonts w:hint="eastAsia"/>
          <w:position w:val="-11"/>
        </w:rPr>
        <w:drawing>
          <wp:inline distT="0" distB="0" distL="114300" distR="114300">
            <wp:extent cx="85725" cy="247650"/>
            <wp:effectExtent l="0" t="0" r="9525" b="0"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/>
                    <pic:cNvPicPr>
                      <a:picLocks noChangeAspect="1"/>
                    </pic:cNvPicPr>
                  </pic:nvPicPr>
                  <pic:blipFill>
                    <a:blip r:embed="rId2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>
        <w:rPr>
          <w:rFonts w:hint="eastAsia"/>
        </w:rPr>
        <w:t>和</w:t>
      </w:r>
      <w:r>
        <w:rPr>
          <w:rFonts w:hAnsi="Cambria Math"/>
          <w:iCs/>
        </w:rPr>
        <w:fldChar w:fldCharType="begin"/>
      </w:r>
      <w:r>
        <w:rPr>
          <w:rFonts w:hAnsi="Cambria Math"/>
          <w:iCs/>
        </w:rPr>
        <w:instrText xml:space="preserve"> QUOTE </w:instrText>
      </w:r>
      <w:r>
        <w:rPr>
          <w:rFonts w:hint="eastAsia"/>
          <w:position w:val="-11"/>
        </w:rPr>
        <w:drawing>
          <wp:inline distT="0" distB="0" distL="114300" distR="114300">
            <wp:extent cx="85725" cy="247650"/>
            <wp:effectExtent l="0" t="0" r="9525" b="0"/>
            <wp:docPr id="56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42"/>
                    <pic:cNvPicPr>
                      <a:picLocks noChangeAspect="1"/>
                    </pic:cNvPicPr>
                  </pic:nvPicPr>
                  <pic:blipFill>
                    <a:blip r:embed="rId1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Ansi="Cambria Math"/>
          <w:iCs/>
        </w:rPr>
        <w:instrText xml:space="preserve"> </w:instrText>
      </w:r>
      <w:r>
        <w:rPr>
          <w:rFonts w:hAnsi="Cambria Math"/>
          <w:iCs/>
        </w:rPr>
        <w:fldChar w:fldCharType="separate"/>
      </w:r>
      <w:r>
        <w:rPr>
          <w:rFonts w:hint="eastAsia"/>
          <w:position w:val="-11"/>
        </w:rPr>
        <w:drawing>
          <wp:inline distT="0" distB="0" distL="114300" distR="114300">
            <wp:extent cx="85725" cy="247650"/>
            <wp:effectExtent l="0" t="0" r="9525" b="0"/>
            <wp:docPr id="46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3"/>
                    <pic:cNvPicPr>
                      <a:picLocks noChangeAspect="1"/>
                    </pic:cNvPicPr>
                  </pic:nvPicPr>
                  <pic:blipFill>
                    <a:blip r:embed="rId1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Ansi="Cambria Math"/>
          <w:iCs/>
        </w:rPr>
        <w:fldChar w:fldCharType="end"/>
      </w:r>
      <w:r>
        <w:rPr>
          <w:rFonts w:hint="eastAsia" w:hAnsi="Cambria Math"/>
          <w:iCs/>
        </w:rPr>
        <w:t>时</w:t>
      </w:r>
      <w:r>
        <w:t>对应的</w:t>
      </w:r>
      <w:r>
        <w:fldChar w:fldCharType="begin"/>
      </w:r>
      <w:r>
        <w:instrText xml:space="preserve"> QUOTE </w:instrText>
      </w:r>
      <w:r>
        <w:rPr>
          <w:position w:val="-27"/>
        </w:rPr>
        <w:drawing>
          <wp:inline distT="0" distB="0" distL="114300" distR="114300">
            <wp:extent cx="533400" cy="400050"/>
            <wp:effectExtent l="0" t="0" r="0" b="0"/>
            <wp:docPr id="47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4"/>
                    <pic:cNvPicPr>
                      <a:picLocks noChangeAspect="1"/>
                    </pic:cNvPicPr>
                  </pic:nvPicPr>
                  <pic:blipFill>
                    <a:blip r:embed="rId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instrText xml:space="preserve"> </w:instrText>
      </w:r>
      <w:r>
        <w:fldChar w:fldCharType="separate"/>
      </w:r>
      <w:r>
        <w:rPr>
          <w:position w:val="-27"/>
        </w:rPr>
        <w:drawing>
          <wp:inline distT="0" distB="0" distL="114300" distR="114300">
            <wp:extent cx="533400" cy="400050"/>
            <wp:effectExtent l="0" t="0" r="0" b="0"/>
            <wp:docPr id="54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45"/>
                    <pic:cNvPicPr>
                      <a:picLocks noChangeAspect="1"/>
                    </pic:cNvPicPr>
                  </pic:nvPicPr>
                  <pic:blipFill>
                    <a:blip r:embed="rId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>
        <w:t>。</w:t>
      </w:r>
      <w:r>
        <w:rPr>
          <w:rFonts w:hint="eastAsia"/>
        </w:rPr>
        <w:t>如果在180 s内无法获取</w:t>
      </w:r>
      <w:r>
        <w:fldChar w:fldCharType="begin"/>
      </w:r>
      <w:r>
        <w:instrText xml:space="preserve"> QUOTE </w:instrText>
      </w:r>
      <w:r>
        <w:rPr>
          <w:rFonts w:hint="eastAsia"/>
          <w:position w:val="-11"/>
        </w:rPr>
        <w:drawing>
          <wp:inline distT="0" distB="0" distL="114300" distR="114300">
            <wp:extent cx="85725" cy="247650"/>
            <wp:effectExtent l="0" t="0" r="9525" b="0"/>
            <wp:docPr id="55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46"/>
                    <pic:cNvPicPr>
                      <a:picLocks noChangeAspect="1"/>
                    </pic:cNvPicPr>
                  </pic:nvPicPr>
                  <pic:blipFill>
                    <a:blip r:embed="rId1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instrText xml:space="preserve"> </w:instrText>
      </w:r>
      <w:r>
        <w:fldChar w:fldCharType="separate"/>
      </w:r>
      <w:r>
        <w:rPr>
          <w:rFonts w:hint="eastAsia"/>
          <w:position w:val="-11"/>
        </w:rPr>
        <w:drawing>
          <wp:inline distT="0" distB="0" distL="114300" distR="114300">
            <wp:extent cx="85725" cy="247650"/>
            <wp:effectExtent l="0" t="0" r="9525" b="0"/>
            <wp:docPr id="13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47"/>
                    <pic:cNvPicPr>
                      <a:picLocks noChangeAspect="1"/>
                    </pic:cNvPicPr>
                  </pic:nvPicPr>
                  <pic:blipFill>
                    <a:blip r:embed="rId1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>
        <w:rPr>
          <w:rFonts w:hint="eastAsia"/>
        </w:rPr>
        <w:t>，则可将延迟时间记为“</w:t>
      </w:r>
      <w:r>
        <w:rPr>
          <w:rFonts w:hint="eastAsia"/>
          <w:szCs w:val="21"/>
        </w:rPr>
        <w:t>＞</w:t>
      </w:r>
      <w:r>
        <w:rPr>
          <w:szCs w:val="21"/>
        </w:rPr>
        <w:t>180</w:t>
      </w:r>
      <w:r>
        <w:rPr>
          <w:rFonts w:hint="eastAsia"/>
          <w:szCs w:val="21"/>
        </w:rPr>
        <w:t xml:space="preserve"> s</w:t>
      </w:r>
      <w:r>
        <w:rPr>
          <w:rFonts w:hint="eastAsia"/>
        </w:rPr>
        <w:t>”。如果</w:t>
      </w:r>
      <w:r>
        <w:fldChar w:fldCharType="begin"/>
      </w:r>
      <w:r>
        <w:instrText xml:space="preserve"> QUOTE </w:instrText>
      </w:r>
      <w:r>
        <w:rPr>
          <w:rFonts w:hint="eastAsia"/>
          <w:position w:val="-11"/>
        </w:rPr>
        <w:drawing>
          <wp:inline distT="0" distB="0" distL="114300" distR="114300">
            <wp:extent cx="85725" cy="247650"/>
            <wp:effectExtent l="0" t="0" r="9525" b="0"/>
            <wp:docPr id="12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48"/>
                    <pic:cNvPicPr>
                      <a:picLocks noChangeAspect="1"/>
                    </pic:cNvPicPr>
                  </pic:nvPicPr>
                  <pic:blipFill>
                    <a:blip r:embed="rId1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instrText xml:space="preserve"> </w:instrText>
      </w:r>
      <w:r>
        <w:fldChar w:fldCharType="separate"/>
      </w:r>
      <w:r>
        <w:rPr>
          <w:rFonts w:hint="eastAsia"/>
          <w:position w:val="-11"/>
        </w:rPr>
        <w:drawing>
          <wp:inline distT="0" distB="0" distL="114300" distR="114300">
            <wp:extent cx="85725" cy="247650"/>
            <wp:effectExtent l="0" t="0" r="9525" b="0"/>
            <wp:docPr id="6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9"/>
                    <pic:cNvPicPr>
                      <a:picLocks noChangeAspect="1"/>
                    </pic:cNvPicPr>
                  </pic:nvPicPr>
                  <pic:blipFill>
                    <a:blip r:embed="rId1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>
        <w:rPr>
          <w:rFonts w:hint="eastAsia"/>
        </w:rPr>
        <w:t>和</w:t>
      </w:r>
      <w:r>
        <w:rPr>
          <w:rFonts w:hAnsi="Cambria Math"/>
          <w:iCs/>
        </w:rPr>
        <w:fldChar w:fldCharType="begin"/>
      </w:r>
      <w:r>
        <w:rPr>
          <w:rFonts w:hAnsi="Cambria Math"/>
          <w:iCs/>
        </w:rPr>
        <w:instrText xml:space="preserve"> QUOTE </w:instrText>
      </w:r>
      <w:r>
        <w:rPr>
          <w:rFonts w:hint="eastAsia"/>
          <w:position w:val="-11"/>
        </w:rPr>
        <w:drawing>
          <wp:inline distT="0" distB="0" distL="114300" distR="114300">
            <wp:extent cx="85725" cy="247650"/>
            <wp:effectExtent l="0" t="0" r="9525" b="0"/>
            <wp:docPr id="7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50"/>
                    <pic:cNvPicPr>
                      <a:picLocks noChangeAspect="1"/>
                    </pic:cNvPicPr>
                  </pic:nvPicPr>
                  <pic:blipFill>
                    <a:blip r:embed="rId2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Ansi="Cambria Math"/>
          <w:iCs/>
        </w:rPr>
        <w:instrText xml:space="preserve"> </w:instrText>
      </w:r>
      <w:r>
        <w:rPr>
          <w:rFonts w:hAnsi="Cambria Math"/>
          <w:iCs/>
        </w:rPr>
        <w:fldChar w:fldCharType="separate"/>
      </w:r>
      <w:r>
        <w:rPr>
          <w:rFonts w:hint="eastAsia"/>
          <w:position w:val="-11"/>
        </w:rPr>
        <w:drawing>
          <wp:inline distT="0" distB="0" distL="114300" distR="114300">
            <wp:extent cx="85725" cy="247650"/>
            <wp:effectExtent l="0" t="0" r="9525" b="0"/>
            <wp:docPr id="10" name="图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51"/>
                    <pic:cNvPicPr>
                      <a:picLocks noChangeAspect="1"/>
                    </pic:cNvPicPr>
                  </pic:nvPicPr>
                  <pic:blipFill>
                    <a:blip r:embed="rId2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Ansi="Cambria Math"/>
          <w:iCs/>
        </w:rPr>
        <w:fldChar w:fldCharType="end"/>
      </w:r>
      <w:r>
        <w:rPr>
          <w:rFonts w:hint="eastAsia" w:hAnsi="Cambria Math"/>
          <w:iCs/>
        </w:rPr>
        <w:t>或仅</w:t>
      </w:r>
      <w:r>
        <w:rPr>
          <w:rFonts w:hAnsi="Cambria Math"/>
          <w:iCs/>
        </w:rPr>
        <w:fldChar w:fldCharType="begin"/>
      </w:r>
      <w:r>
        <w:rPr>
          <w:rFonts w:hAnsi="Cambria Math"/>
          <w:iCs/>
        </w:rPr>
        <w:instrText xml:space="preserve"> QUOTE </w:instrText>
      </w:r>
      <w:r>
        <w:rPr>
          <w:rFonts w:hint="eastAsia"/>
          <w:position w:val="-11"/>
        </w:rPr>
        <w:drawing>
          <wp:inline distT="0" distB="0" distL="114300" distR="114300">
            <wp:extent cx="85725" cy="247650"/>
            <wp:effectExtent l="0" t="0" r="9525" b="0"/>
            <wp:docPr id="4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52"/>
                    <pic:cNvPicPr>
                      <a:picLocks noChangeAspect="1"/>
                    </pic:cNvPicPr>
                  </pic:nvPicPr>
                  <pic:blipFill>
                    <a:blip r:embed="rId2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Ansi="Cambria Math"/>
          <w:iCs/>
        </w:rPr>
        <w:instrText xml:space="preserve"> </w:instrText>
      </w:r>
      <w:r>
        <w:rPr>
          <w:rFonts w:hAnsi="Cambria Math"/>
          <w:iCs/>
        </w:rPr>
        <w:fldChar w:fldCharType="separate"/>
      </w:r>
      <w:r>
        <w:rPr>
          <w:rFonts w:hint="eastAsia"/>
          <w:position w:val="-11"/>
        </w:rPr>
        <w:drawing>
          <wp:inline distT="0" distB="0" distL="114300" distR="114300">
            <wp:extent cx="85725" cy="247650"/>
            <wp:effectExtent l="0" t="0" r="9525" b="0"/>
            <wp:docPr id="8" name="图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53"/>
                    <pic:cNvPicPr>
                      <a:picLocks noChangeAspect="1"/>
                    </pic:cNvPicPr>
                  </pic:nvPicPr>
                  <pic:blipFill>
                    <a:blip r:embed="rId2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Ansi="Cambria Math"/>
          <w:iCs/>
        </w:rPr>
        <w:fldChar w:fldCharType="end"/>
      </w:r>
      <w:r>
        <w:rPr>
          <w:rFonts w:hint="eastAsia" w:hAnsi="Cambria Math"/>
          <w:iCs/>
        </w:rPr>
        <w:t>无法获取时，可分别设定</w:t>
      </w:r>
      <w:r>
        <w:rPr>
          <w:rFonts w:hAnsi="Cambria Math"/>
          <w:iCs/>
        </w:rPr>
        <w:fldChar w:fldCharType="begin"/>
      </w:r>
      <w:r>
        <w:rPr>
          <w:rFonts w:hAnsi="Cambria Math"/>
          <w:iCs/>
        </w:rPr>
        <w:instrText xml:space="preserve"> QUOTE </w:instrText>
      </w:r>
      <w:r>
        <w:rPr>
          <w:rFonts w:hint="eastAsia"/>
          <w:position w:val="-11"/>
        </w:rPr>
        <w:drawing>
          <wp:inline distT="0" distB="0" distL="114300" distR="114300">
            <wp:extent cx="228600" cy="247650"/>
            <wp:effectExtent l="0" t="0" r="0" b="0"/>
            <wp:docPr id="5" name="图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4"/>
                    <pic:cNvPicPr>
                      <a:picLocks noChangeAspect="1"/>
                    </pic:cNvPicPr>
                  </pic:nvPicPr>
                  <pic:blipFill>
                    <a:blip r:embed="rId2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Ansi="Cambria Math"/>
          <w:iCs/>
        </w:rPr>
        <w:instrText xml:space="preserve"> </w:instrText>
      </w:r>
      <w:r>
        <w:rPr>
          <w:rFonts w:hAnsi="Cambria Math"/>
          <w:iCs/>
        </w:rPr>
        <w:fldChar w:fldCharType="separate"/>
      </w:r>
      <w:r>
        <w:rPr>
          <w:rFonts w:hint="eastAsia"/>
          <w:position w:val="-11"/>
        </w:rPr>
        <w:drawing>
          <wp:inline distT="0" distB="0" distL="114300" distR="114300">
            <wp:extent cx="228600" cy="247650"/>
            <wp:effectExtent l="0" t="0" r="0" b="0"/>
            <wp:docPr id="2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55"/>
                    <pic:cNvPicPr>
                      <a:picLocks noChangeAspect="1"/>
                    </pic:cNvPicPr>
                  </pic:nvPicPr>
                  <pic:blipFill>
                    <a:blip r:embed="rId2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Ansi="Cambria Math"/>
          <w:iCs/>
        </w:rPr>
        <w:fldChar w:fldCharType="end"/>
      </w:r>
      <w:r>
        <w:rPr>
          <w:rFonts w:hint="eastAsia" w:hAnsi="Cambria Math"/>
          <w:iCs/>
        </w:rPr>
        <w:t>和</w:t>
      </w:r>
      <w:r>
        <w:rPr>
          <w:rFonts w:hAnsi="Cambria Math"/>
          <w:iCs/>
        </w:rPr>
        <w:fldChar w:fldCharType="begin"/>
      </w:r>
      <w:r>
        <w:rPr>
          <w:rFonts w:hAnsi="Cambria Math"/>
          <w:iCs/>
        </w:rPr>
        <w:instrText xml:space="preserve"> QUOTE </w:instrText>
      </w:r>
      <w:r>
        <w:rPr>
          <w:rFonts w:hint="eastAsia"/>
          <w:position w:val="-11"/>
        </w:rPr>
        <w:drawing>
          <wp:inline distT="0" distB="0" distL="114300" distR="114300">
            <wp:extent cx="361950" cy="247650"/>
            <wp:effectExtent l="0" t="0" r="0" b="0"/>
            <wp:docPr id="9" name="图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56"/>
                    <pic:cNvPicPr>
                      <a:picLocks noChangeAspect="1"/>
                    </pic:cNvPicPr>
                  </pic:nvPicPr>
                  <pic:blipFill>
                    <a:blip r:embed="rId23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Ansi="Cambria Math"/>
          <w:iCs/>
        </w:rPr>
        <w:instrText xml:space="preserve"> </w:instrText>
      </w:r>
      <w:r>
        <w:rPr>
          <w:rFonts w:hAnsi="Cambria Math"/>
          <w:iCs/>
        </w:rPr>
        <w:fldChar w:fldCharType="separate"/>
      </w:r>
      <w:r>
        <w:rPr>
          <w:rFonts w:hint="eastAsia"/>
          <w:position w:val="-11"/>
        </w:rPr>
        <w:drawing>
          <wp:inline distT="0" distB="0" distL="114300" distR="114300">
            <wp:extent cx="361950" cy="247650"/>
            <wp:effectExtent l="0" t="0" r="0" b="0"/>
            <wp:docPr id="1" name="图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57"/>
                    <pic:cNvPicPr>
                      <a:picLocks noChangeAspect="1"/>
                    </pic:cNvPicPr>
                  </pic:nvPicPr>
                  <pic:blipFill>
                    <a:blip r:embed="rId23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Ansi="Cambria Math"/>
          <w:iCs/>
        </w:rPr>
        <w:fldChar w:fldCharType="end"/>
      </w:r>
      <w:r>
        <w:rPr>
          <w:rFonts w:hint="eastAsia" w:hAnsi="Cambria Math"/>
          <w:iCs/>
        </w:rPr>
        <w:t>或</w:t>
      </w:r>
      <w:r>
        <w:fldChar w:fldCharType="begin"/>
      </w:r>
      <w:r>
        <w:instrText xml:space="preserve"> QUOTE </w:instrText>
      </w:r>
      <w:r>
        <w:rPr>
          <w:rFonts w:hint="eastAsia"/>
          <w:position w:val="-11"/>
        </w:rPr>
        <w:drawing>
          <wp:inline distT="0" distB="0" distL="114300" distR="114300">
            <wp:extent cx="361950" cy="247650"/>
            <wp:effectExtent l="0" t="0" r="0" b="0"/>
            <wp:docPr id="3" name="图片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58"/>
                    <pic:cNvPicPr>
                      <a:picLocks noChangeAspect="1"/>
                    </pic:cNvPicPr>
                  </pic:nvPicPr>
                  <pic:blipFill>
                    <a:blip r:embed="rId23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instrText xml:space="preserve"> </w:instrText>
      </w:r>
      <w:r>
        <w:fldChar w:fldCharType="separate"/>
      </w:r>
      <w:r>
        <w:rPr>
          <w:rFonts w:hint="eastAsia"/>
          <w:position w:val="-11"/>
        </w:rPr>
        <w:drawing>
          <wp:inline distT="0" distB="0" distL="114300" distR="114300">
            <wp:extent cx="361950" cy="247650"/>
            <wp:effectExtent l="0" t="0" r="0" b="0"/>
            <wp:docPr id="11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59"/>
                    <pic:cNvPicPr>
                      <a:picLocks noChangeAspect="1"/>
                    </pic:cNvPicPr>
                  </pic:nvPicPr>
                  <pic:blipFill>
                    <a:blip r:embed="rId23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>
        <w:rPr>
          <w:rFonts w:hint="eastAsia"/>
        </w:rPr>
        <w:t>以计算强度和坪值。</w:t>
      </w:r>
    </w:p>
    <w:p w14:paraId="6F4D6D05">
      <w:pPr>
        <w:pStyle w:val="6"/>
        <w:numPr>
          <w:ilvl w:val="1"/>
          <w:numId w:val="0"/>
        </w:numPr>
        <w:spacing w:line="300" w:lineRule="auto"/>
        <w:jc w:val="both"/>
        <w:outlineLvl w:val="1"/>
        <w:rPr>
          <w:rFonts w:cs="宋体"/>
        </w:rPr>
      </w:pPr>
      <w:bookmarkStart w:id="71" w:name="_Toc155249927"/>
      <w:r>
        <w:rPr>
          <w:rFonts w:hint="eastAsia" w:eastAsia="黑体"/>
        </w:rPr>
        <w:t>6</w:t>
      </w:r>
      <w:r>
        <w:rPr>
          <w:rFonts w:eastAsia="黑体"/>
        </w:rPr>
        <w:t>.6</w:t>
      </w:r>
      <w:r>
        <w:rPr>
          <w:rFonts w:hint="eastAsia" w:eastAsia="黑体"/>
        </w:rPr>
        <w:t xml:space="preserve">  </w:t>
      </w:r>
      <w:r>
        <w:rPr>
          <w:rFonts w:hint="eastAsia" w:cs="宋体"/>
        </w:rPr>
        <w:t>结果</w:t>
      </w:r>
      <w:bookmarkEnd w:id="71"/>
      <w:r>
        <w:rPr>
          <w:rFonts w:hint="eastAsia" w:cs="宋体"/>
        </w:rPr>
        <w:t>评价</w:t>
      </w:r>
    </w:p>
    <w:p w14:paraId="43B64D93">
      <w:pPr>
        <w:pStyle w:val="4"/>
        <w:tabs>
          <w:tab w:val="center" w:pos="4201"/>
          <w:tab w:val="right" w:leader="dot" w:pos="9298"/>
        </w:tabs>
        <w:spacing w:line="300" w:lineRule="auto"/>
        <w:ind w:firstLine="420"/>
        <w:rPr>
          <w:rFonts w:ascii="黑体" w:hAnsi="黑体" w:eastAsia="黑体" w:cs="黑体"/>
        </w:rPr>
      </w:pPr>
      <w:r>
        <w:rPr>
          <w:rFonts w:hint="eastAsia" w:ascii="Times New Roman"/>
          <w:szCs w:val="21"/>
        </w:rPr>
        <w:t>根据表1结果判断进行刺激性判定。</w:t>
      </w:r>
    </w:p>
    <w:p w14:paraId="3EE1B15D">
      <w:pPr>
        <w:pStyle w:val="4"/>
        <w:tabs>
          <w:tab w:val="center" w:pos="4201"/>
          <w:tab w:val="right" w:leader="dot" w:pos="9298"/>
        </w:tabs>
        <w:spacing w:before="156" w:beforeLines="50" w:after="156" w:afterLines="50" w:line="300" w:lineRule="auto"/>
        <w:ind w:firstLine="0" w:firstLineChars="0"/>
        <w:jc w:val="center"/>
        <w:rPr>
          <w:rFonts w:ascii="Times New Roman" w:eastAsia="黑体" w:cs="黑体"/>
        </w:rPr>
      </w:pPr>
      <w:r>
        <w:rPr>
          <w:rFonts w:hint="eastAsia" w:ascii="Times New Roman" w:eastAsia="黑体" w:cs="黑体"/>
        </w:rPr>
        <w:t>表</w:t>
      </w:r>
      <w:r>
        <w:rPr>
          <w:rFonts w:ascii="Times New Roman" w:eastAsia="黑体"/>
        </w:rPr>
        <w:t>1</w:t>
      </w:r>
      <w:r>
        <w:rPr>
          <w:rFonts w:hint="eastAsia" w:ascii="Times New Roman" w:eastAsia="黑体" w:cs="黑体"/>
        </w:rPr>
        <w:t xml:space="preserve"> 结果判断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04"/>
        <w:gridCol w:w="1792"/>
      </w:tblGrid>
      <w:tr w14:paraId="4E4904B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8" w:hRule="atLeast"/>
          <w:jc w:val="center"/>
        </w:trPr>
        <w:tc>
          <w:tcPr>
            <w:tcW w:w="5204" w:type="dxa"/>
            <w:tcBorders>
              <w:bottom w:val="single" w:color="auto" w:sz="4" w:space="0"/>
            </w:tcBorders>
            <w:noWrap w:val="0"/>
            <w:vAlign w:val="center"/>
          </w:tcPr>
          <w:p w14:paraId="61C754EA">
            <w:pPr>
              <w:pStyle w:val="4"/>
              <w:tabs>
                <w:tab w:val="center" w:pos="4201"/>
                <w:tab w:val="right" w:leader="dot" w:pos="9298"/>
              </w:tabs>
              <w:adjustRightInd w:val="0"/>
              <w:snapToGrid w:val="0"/>
              <w:spacing w:line="300" w:lineRule="auto"/>
              <w:ind w:firstLine="0" w:firstLineChars="0"/>
              <w:jc w:val="center"/>
              <w:rPr>
                <w:rFonts w:ascii="Times New Roman"/>
                <w:szCs w:val="21"/>
              </w:rPr>
            </w:pPr>
            <w:r>
              <w:rPr>
                <w:rFonts w:hint="eastAsia" w:ascii="Times New Roman"/>
                <w:szCs w:val="21"/>
              </w:rPr>
              <w:t>条件</w:t>
            </w:r>
          </w:p>
        </w:tc>
        <w:tc>
          <w:tcPr>
            <w:tcW w:w="1792" w:type="dxa"/>
            <w:tcBorders>
              <w:bottom w:val="single" w:color="auto" w:sz="4" w:space="0"/>
            </w:tcBorders>
            <w:noWrap w:val="0"/>
            <w:vAlign w:val="center"/>
          </w:tcPr>
          <w:p w14:paraId="1CB1AAE8">
            <w:pPr>
              <w:pStyle w:val="4"/>
              <w:tabs>
                <w:tab w:val="center" w:pos="4201"/>
                <w:tab w:val="right" w:leader="dot" w:pos="9298"/>
              </w:tabs>
              <w:adjustRightInd w:val="0"/>
              <w:snapToGrid w:val="0"/>
              <w:spacing w:line="300" w:lineRule="auto"/>
              <w:ind w:firstLine="0" w:firstLineChars="0"/>
              <w:jc w:val="center"/>
              <w:rPr>
                <w:rFonts w:ascii="Times New Roman"/>
                <w:szCs w:val="21"/>
              </w:rPr>
            </w:pPr>
            <w:r>
              <w:rPr>
                <w:rFonts w:hint="eastAsia" w:ascii="Times New Roman"/>
                <w:szCs w:val="21"/>
              </w:rPr>
              <w:t>结果</w:t>
            </w:r>
          </w:p>
        </w:tc>
      </w:tr>
      <w:tr w14:paraId="022D0EF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5204" w:type="dxa"/>
            <w:tcBorders>
              <w:bottom w:val="nil"/>
            </w:tcBorders>
            <w:noWrap w:val="0"/>
            <w:vAlign w:val="center"/>
          </w:tcPr>
          <w:p w14:paraId="52BDA259">
            <w:pPr>
              <w:pStyle w:val="4"/>
              <w:tabs>
                <w:tab w:val="center" w:pos="4201"/>
                <w:tab w:val="right" w:leader="dot" w:pos="9298"/>
              </w:tabs>
              <w:adjustRightInd w:val="0"/>
              <w:snapToGrid w:val="0"/>
              <w:spacing w:line="300" w:lineRule="auto"/>
              <w:ind w:firstLine="0" w:firstLineChars="0"/>
              <w:jc w:val="center"/>
              <w:rPr>
                <w:rFonts w:ascii="Times New Roman"/>
                <w:szCs w:val="21"/>
              </w:rPr>
            </w:pPr>
            <w:bookmarkStart w:id="72" w:name="_Hlk161307994"/>
            <w:r>
              <w:rPr>
                <w:rFonts w:hint="eastAsia" w:ascii="Times New Roman"/>
                <w:szCs w:val="21"/>
              </w:rPr>
              <w:t>延迟时间</w:t>
            </w:r>
            <w:r>
              <w:rPr>
                <w:rFonts w:hint="eastAsia" w:hAnsi="宋体" w:cs="宋体"/>
                <w:szCs w:val="21"/>
              </w:rPr>
              <w:t>≤</w:t>
            </w:r>
            <w:r>
              <w:rPr>
                <w:rFonts w:ascii="Times New Roman"/>
                <w:szCs w:val="21"/>
              </w:rPr>
              <w:t>180</w:t>
            </w:r>
            <w:r>
              <w:rPr>
                <w:rFonts w:hint="eastAsia" w:ascii="Times New Roman"/>
                <w:szCs w:val="21"/>
              </w:rPr>
              <w:t xml:space="preserve"> s，或强度</w:t>
            </w:r>
            <w:r>
              <w:rPr>
                <w:rFonts w:hint="eastAsia" w:hAnsi="宋体" w:cs="宋体"/>
                <w:szCs w:val="21"/>
              </w:rPr>
              <w:t>≥</w:t>
            </w:r>
            <w:r>
              <w:rPr>
                <w:rFonts w:ascii="Times New Roman"/>
                <w:szCs w:val="21"/>
              </w:rPr>
              <w:t>0.05%</w:t>
            </w:r>
            <w:bookmarkStart w:id="73" w:name="OLE_LINK14"/>
            <w:r>
              <w:rPr>
                <w:rFonts w:ascii="Times New Roman"/>
                <w:szCs w:val="21"/>
              </w:rPr>
              <w:t>/</w:t>
            </w:r>
            <w:bookmarkEnd w:id="73"/>
            <w:r>
              <w:rPr>
                <w:rFonts w:hint="eastAsia" w:ascii="Times New Roman"/>
                <w:szCs w:val="21"/>
              </w:rPr>
              <w:t>s，</w:t>
            </w:r>
            <w:bookmarkStart w:id="74" w:name="OLE_LINK13"/>
            <w:r>
              <w:rPr>
                <w:rFonts w:hint="eastAsia" w:ascii="Times New Roman"/>
                <w:szCs w:val="21"/>
              </w:rPr>
              <w:t>或坪值</w:t>
            </w:r>
            <w:bookmarkEnd w:id="74"/>
            <w:r>
              <w:rPr>
                <w:rFonts w:hint="eastAsia" w:ascii="Times New Roman"/>
                <w:szCs w:val="21"/>
              </w:rPr>
              <w:t>＞</w:t>
            </w:r>
            <w:r>
              <w:rPr>
                <w:rFonts w:ascii="Times New Roman"/>
                <w:szCs w:val="21"/>
              </w:rPr>
              <w:t>5.0%</w:t>
            </w:r>
            <w:bookmarkEnd w:id="72"/>
          </w:p>
        </w:tc>
        <w:tc>
          <w:tcPr>
            <w:tcW w:w="1792" w:type="dxa"/>
            <w:tcBorders>
              <w:bottom w:val="nil"/>
            </w:tcBorders>
            <w:noWrap w:val="0"/>
            <w:vAlign w:val="center"/>
          </w:tcPr>
          <w:p w14:paraId="4B5F6098">
            <w:pPr>
              <w:pStyle w:val="4"/>
              <w:tabs>
                <w:tab w:val="center" w:pos="4201"/>
                <w:tab w:val="right" w:leader="dot" w:pos="9298"/>
              </w:tabs>
              <w:adjustRightInd w:val="0"/>
              <w:snapToGrid w:val="0"/>
              <w:spacing w:line="300" w:lineRule="auto"/>
              <w:ind w:firstLine="0" w:firstLineChars="0"/>
              <w:jc w:val="center"/>
              <w:rPr>
                <w:rFonts w:ascii="Times New Roman"/>
                <w:szCs w:val="21"/>
              </w:rPr>
            </w:pPr>
            <w:r>
              <w:rPr>
                <w:rFonts w:hint="eastAsia" w:ascii="Times New Roman"/>
                <w:szCs w:val="21"/>
              </w:rPr>
              <w:t>无法判定</w:t>
            </w:r>
          </w:p>
        </w:tc>
      </w:tr>
      <w:tr w14:paraId="3BAB7D2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7" w:hRule="atLeast"/>
          <w:jc w:val="center"/>
        </w:trPr>
        <w:tc>
          <w:tcPr>
            <w:tcW w:w="5204" w:type="dxa"/>
            <w:tcBorders>
              <w:top w:val="nil"/>
            </w:tcBorders>
            <w:noWrap w:val="0"/>
            <w:vAlign w:val="center"/>
          </w:tcPr>
          <w:p w14:paraId="60A0CE88">
            <w:pPr>
              <w:pStyle w:val="4"/>
              <w:tabs>
                <w:tab w:val="center" w:pos="4201"/>
                <w:tab w:val="right" w:leader="dot" w:pos="9298"/>
              </w:tabs>
              <w:adjustRightInd w:val="0"/>
              <w:snapToGrid w:val="0"/>
              <w:spacing w:line="300" w:lineRule="auto"/>
              <w:ind w:firstLine="0" w:firstLineChars="0"/>
              <w:jc w:val="center"/>
              <w:rPr>
                <w:rFonts w:ascii="Times New Roman"/>
                <w:szCs w:val="21"/>
              </w:rPr>
            </w:pPr>
            <w:r>
              <w:rPr>
                <w:rFonts w:hint="eastAsia" w:ascii="Times New Roman"/>
                <w:szCs w:val="21"/>
              </w:rPr>
              <w:t>延迟时间</w:t>
            </w:r>
            <w:bookmarkStart w:id="75" w:name="_Hlk161307922"/>
            <w:r>
              <w:rPr>
                <w:rFonts w:hint="eastAsia" w:ascii="Times New Roman"/>
                <w:szCs w:val="21"/>
              </w:rPr>
              <w:t>＞</w:t>
            </w:r>
            <w:r>
              <w:rPr>
                <w:rFonts w:ascii="Times New Roman"/>
                <w:szCs w:val="21"/>
              </w:rPr>
              <w:t>180</w:t>
            </w:r>
            <w:r>
              <w:rPr>
                <w:rFonts w:hint="eastAsia" w:ascii="Times New Roman"/>
                <w:szCs w:val="21"/>
              </w:rPr>
              <w:t xml:space="preserve"> s，且强度＜</w:t>
            </w:r>
            <w:r>
              <w:rPr>
                <w:rFonts w:ascii="Times New Roman"/>
                <w:szCs w:val="21"/>
              </w:rPr>
              <w:t>0.05%</w:t>
            </w:r>
            <w:r>
              <w:rPr>
                <w:rFonts w:hint="eastAsia" w:ascii="Times New Roman"/>
                <w:szCs w:val="21"/>
              </w:rPr>
              <w:t>/s，且坪值</w:t>
            </w:r>
            <w:r>
              <w:rPr>
                <w:rFonts w:hint="eastAsia" w:hAnsi="宋体" w:cs="宋体"/>
                <w:szCs w:val="21"/>
              </w:rPr>
              <w:t>≤</w:t>
            </w:r>
            <w:r>
              <w:rPr>
                <w:rFonts w:ascii="Times New Roman"/>
                <w:szCs w:val="21"/>
              </w:rPr>
              <w:t>5.0%</w:t>
            </w:r>
            <w:bookmarkEnd w:id="75"/>
          </w:p>
        </w:tc>
        <w:tc>
          <w:tcPr>
            <w:tcW w:w="1792" w:type="dxa"/>
            <w:tcBorders>
              <w:top w:val="nil"/>
            </w:tcBorders>
            <w:noWrap w:val="0"/>
            <w:vAlign w:val="center"/>
          </w:tcPr>
          <w:p w14:paraId="6739C56D">
            <w:pPr>
              <w:pStyle w:val="4"/>
              <w:tabs>
                <w:tab w:val="center" w:pos="4201"/>
                <w:tab w:val="right" w:leader="dot" w:pos="9298"/>
              </w:tabs>
              <w:adjustRightInd w:val="0"/>
              <w:snapToGrid w:val="0"/>
              <w:spacing w:line="300" w:lineRule="auto"/>
              <w:ind w:firstLine="0" w:firstLineChars="0"/>
              <w:jc w:val="center"/>
              <w:rPr>
                <w:rFonts w:ascii="Times New Roman"/>
                <w:szCs w:val="21"/>
              </w:rPr>
            </w:pPr>
            <w:r>
              <w:rPr>
                <w:rFonts w:hint="eastAsia" w:ascii="Times New Roman"/>
                <w:szCs w:val="21"/>
              </w:rPr>
              <w:t>无刺激性</w:t>
            </w:r>
          </w:p>
        </w:tc>
      </w:tr>
    </w:tbl>
    <w:p w14:paraId="62F95B2A">
      <w:pPr>
        <w:pStyle w:val="6"/>
        <w:numPr>
          <w:ilvl w:val="1"/>
          <w:numId w:val="0"/>
        </w:numPr>
        <w:spacing w:line="300" w:lineRule="auto"/>
        <w:jc w:val="both"/>
        <w:outlineLvl w:val="1"/>
        <w:rPr>
          <w:rFonts w:cs="宋体"/>
        </w:rPr>
      </w:pPr>
      <w:bookmarkStart w:id="76" w:name="_Toc155249928"/>
      <w:r>
        <w:rPr>
          <w:rFonts w:hint="eastAsia" w:eastAsia="黑体"/>
        </w:rPr>
        <w:t>6</w:t>
      </w:r>
      <w:r>
        <w:rPr>
          <w:rFonts w:eastAsia="黑体"/>
        </w:rPr>
        <w:t>.7</w:t>
      </w:r>
      <w:r>
        <w:rPr>
          <w:rFonts w:hint="eastAsia" w:eastAsia="黑体"/>
        </w:rPr>
        <w:t xml:space="preserve">  </w:t>
      </w:r>
      <w:r>
        <w:rPr>
          <w:rFonts w:hint="eastAsia" w:cs="宋体"/>
        </w:rPr>
        <w:t>系统成立的条件</w:t>
      </w:r>
      <w:bookmarkEnd w:id="76"/>
    </w:p>
    <w:p w14:paraId="429D9461">
      <w:pPr>
        <w:pStyle w:val="4"/>
        <w:tabs>
          <w:tab w:val="center" w:pos="4201"/>
          <w:tab w:val="right" w:leader="dot" w:pos="9298"/>
        </w:tabs>
        <w:spacing w:line="300" w:lineRule="auto"/>
        <w:ind w:firstLine="420"/>
        <w:rPr>
          <w:rFonts w:ascii="Times New Roman"/>
          <w:szCs w:val="21"/>
        </w:rPr>
      </w:pPr>
      <w:bookmarkStart w:id="77" w:name="_Toc155249929"/>
      <w:r>
        <w:rPr>
          <w:rFonts w:hint="eastAsia" w:ascii="Times New Roman"/>
          <w:szCs w:val="21"/>
        </w:rPr>
        <w:t>需同时满足以下</w:t>
      </w:r>
      <w:r>
        <w:rPr>
          <w:rFonts w:ascii="Times New Roman"/>
          <w:szCs w:val="21"/>
        </w:rPr>
        <w:t>4</w:t>
      </w:r>
      <w:r>
        <w:rPr>
          <w:rFonts w:hint="eastAsia" w:ascii="Times New Roman"/>
          <w:szCs w:val="21"/>
        </w:rPr>
        <w:t>个条件，试验方能成立：</w:t>
      </w:r>
      <w:bookmarkEnd w:id="77"/>
      <w:r>
        <w:rPr>
          <w:rFonts w:hint="eastAsia" w:ascii="Times New Roman"/>
          <w:szCs w:val="21"/>
        </w:rPr>
        <w:t xml:space="preserve"> </w:t>
      </w:r>
    </w:p>
    <w:p w14:paraId="134D14F1">
      <w:pPr>
        <w:pStyle w:val="4"/>
        <w:tabs>
          <w:tab w:val="center" w:pos="4201"/>
          <w:tab w:val="right" w:leader="dot" w:pos="9298"/>
        </w:tabs>
        <w:spacing w:line="300" w:lineRule="auto"/>
        <w:ind w:firstLine="420"/>
        <w:rPr>
          <w:rFonts w:ascii="Times New Roman"/>
          <w:szCs w:val="21"/>
        </w:rPr>
      </w:pPr>
      <w:r>
        <w:rPr>
          <w:rFonts w:hint="eastAsia" w:ascii="Times New Roman"/>
          <w:szCs w:val="21"/>
        </w:rPr>
        <w:t>（1）阴性对照坪值</w:t>
      </w:r>
      <w:r>
        <w:rPr>
          <w:rFonts w:hint="eastAsia" w:hAnsi="宋体" w:cs="宋体"/>
          <w:szCs w:val="21"/>
        </w:rPr>
        <w:t>≤</w:t>
      </w:r>
      <w:r>
        <w:rPr>
          <w:rFonts w:ascii="Times New Roman"/>
          <w:szCs w:val="21"/>
        </w:rPr>
        <w:t>5%</w:t>
      </w:r>
      <w:r>
        <w:rPr>
          <w:rFonts w:hint="eastAsia" w:ascii="Times New Roman"/>
          <w:szCs w:val="21"/>
        </w:rPr>
        <w:t>；</w:t>
      </w:r>
    </w:p>
    <w:p w14:paraId="570BDEFE">
      <w:pPr>
        <w:pStyle w:val="4"/>
        <w:tabs>
          <w:tab w:val="center" w:pos="4201"/>
          <w:tab w:val="right" w:leader="dot" w:pos="9298"/>
        </w:tabs>
        <w:spacing w:line="300" w:lineRule="auto"/>
        <w:ind w:firstLine="420"/>
        <w:rPr>
          <w:rFonts w:ascii="Times New Roman"/>
          <w:szCs w:val="21"/>
        </w:rPr>
      </w:pPr>
      <w:r>
        <w:rPr>
          <w:rFonts w:hint="eastAsia" w:ascii="Times New Roman"/>
          <w:szCs w:val="21"/>
        </w:rPr>
        <w:t>（2）阳性对照坪值</w:t>
      </w:r>
      <w:r>
        <w:rPr>
          <w:rFonts w:hint="eastAsia" w:hAnsi="宋体" w:cs="宋体"/>
          <w:szCs w:val="21"/>
        </w:rPr>
        <w:t>≥</w:t>
      </w:r>
      <w:bookmarkStart w:id="78" w:name="OLE_LINK5"/>
      <w:r>
        <w:rPr>
          <w:rFonts w:ascii="Times New Roman"/>
          <w:szCs w:val="21"/>
        </w:rPr>
        <w:t>40%</w:t>
      </w:r>
      <w:bookmarkEnd w:id="78"/>
      <w:r>
        <w:rPr>
          <w:rFonts w:hint="eastAsia" w:ascii="Times New Roman"/>
          <w:szCs w:val="21"/>
        </w:rPr>
        <w:t>；</w:t>
      </w:r>
    </w:p>
    <w:p w14:paraId="6E465EC2">
      <w:pPr>
        <w:pStyle w:val="4"/>
        <w:tabs>
          <w:tab w:val="center" w:pos="4201"/>
          <w:tab w:val="right" w:leader="dot" w:pos="9298"/>
        </w:tabs>
        <w:spacing w:line="300" w:lineRule="auto"/>
        <w:ind w:firstLine="420"/>
        <w:rPr>
          <w:rFonts w:ascii="Times New Roman"/>
          <w:szCs w:val="21"/>
        </w:rPr>
      </w:pPr>
      <w:r>
        <w:rPr>
          <w:rFonts w:hint="eastAsia" w:ascii="Times New Roman"/>
          <w:szCs w:val="21"/>
        </w:rPr>
        <w:t>（3）参考品对照坪值</w:t>
      </w:r>
      <w:r>
        <w:rPr>
          <w:rFonts w:hint="eastAsia" w:hAnsi="宋体" w:cs="宋体"/>
          <w:szCs w:val="21"/>
        </w:rPr>
        <w:t>≥</w:t>
      </w:r>
      <w:r>
        <w:rPr>
          <w:rFonts w:ascii="Times New Roman"/>
          <w:szCs w:val="21"/>
        </w:rPr>
        <w:t>10%</w:t>
      </w:r>
      <w:r>
        <w:rPr>
          <w:rFonts w:hint="eastAsia" w:ascii="Times New Roman"/>
          <w:szCs w:val="21"/>
        </w:rPr>
        <w:t>；</w:t>
      </w:r>
    </w:p>
    <w:p w14:paraId="7C458781">
      <w:pPr>
        <w:pStyle w:val="4"/>
        <w:tabs>
          <w:tab w:val="center" w:pos="4201"/>
          <w:tab w:val="right" w:leader="dot" w:pos="9298"/>
        </w:tabs>
        <w:spacing w:line="300" w:lineRule="auto"/>
        <w:ind w:firstLine="420"/>
        <w:rPr>
          <w:rFonts w:ascii="Times New Roman"/>
          <w:szCs w:val="21"/>
        </w:rPr>
      </w:pPr>
      <w:r>
        <w:rPr>
          <w:rFonts w:hint="eastAsia" w:ascii="Times New Roman"/>
          <w:szCs w:val="21"/>
        </w:rPr>
        <w:t>（4）每个样品三次重复测定的电阻值的标准偏差应</w:t>
      </w:r>
      <w:r>
        <w:rPr>
          <w:rFonts w:hint="eastAsia" w:hAnsi="宋体" w:cs="宋体"/>
          <w:szCs w:val="21"/>
        </w:rPr>
        <w:t>≤</w:t>
      </w:r>
      <w:r>
        <w:rPr>
          <w:rFonts w:ascii="Times New Roman"/>
          <w:szCs w:val="21"/>
        </w:rPr>
        <w:t>15%</w:t>
      </w:r>
      <w:bookmarkEnd w:id="60"/>
      <w:bookmarkEnd w:id="61"/>
      <w:bookmarkEnd w:id="64"/>
      <w:r>
        <w:rPr>
          <w:rFonts w:hint="eastAsia" w:ascii="Times New Roman"/>
          <w:szCs w:val="21"/>
        </w:rPr>
        <w:t>。</w:t>
      </w:r>
    </w:p>
    <w:p w14:paraId="45B01F6D">
      <w:pPr>
        <w:pStyle w:val="5"/>
        <w:numPr>
          <w:ilvl w:val="0"/>
          <w:numId w:val="0"/>
        </w:numPr>
        <w:spacing w:before="156" w:beforeLines="50" w:after="156" w:afterLines="50" w:line="300" w:lineRule="auto"/>
        <w:rPr>
          <w:rFonts w:ascii="Times New Roman"/>
          <w:sz w:val="21"/>
          <w:szCs w:val="21"/>
        </w:rPr>
      </w:pPr>
      <w:r>
        <w:rPr>
          <w:rFonts w:hint="eastAsia" w:ascii="Times New Roman"/>
          <w:sz w:val="21"/>
          <w:szCs w:val="21"/>
        </w:rPr>
        <w:t>7  结果解释</w:t>
      </w:r>
    </w:p>
    <w:p w14:paraId="3117580D">
      <w:pPr>
        <w:pStyle w:val="4"/>
        <w:tabs>
          <w:tab w:val="center" w:pos="4201"/>
          <w:tab w:val="right" w:leader="dot" w:pos="9298"/>
        </w:tabs>
        <w:spacing w:line="300" w:lineRule="auto"/>
        <w:ind w:firstLine="420"/>
        <w:rPr>
          <w:rFonts w:ascii="Times New Roman"/>
          <w:szCs w:val="21"/>
        </w:rPr>
      </w:pPr>
      <w:r>
        <w:rPr>
          <w:rFonts w:ascii="Times New Roman"/>
          <w:szCs w:val="21"/>
        </w:rPr>
        <w:t>当无法判断受试物是否具有眼刺激性</w:t>
      </w:r>
      <w:r>
        <w:rPr>
          <w:rFonts w:hint="eastAsia" w:ascii="Times New Roman"/>
          <w:szCs w:val="21"/>
        </w:rPr>
        <w:t>时</w:t>
      </w:r>
      <w:r>
        <w:rPr>
          <w:rFonts w:ascii="Times New Roman"/>
          <w:szCs w:val="21"/>
        </w:rPr>
        <w:t>，需要</w:t>
      </w:r>
      <w:r>
        <w:rPr>
          <w:rFonts w:hint="eastAsia" w:ascii="Times New Roman"/>
          <w:szCs w:val="21"/>
        </w:rPr>
        <w:t>采用其他</w:t>
      </w:r>
      <w:r>
        <w:rPr>
          <w:rFonts w:ascii="Times New Roman"/>
          <w:szCs w:val="21"/>
        </w:rPr>
        <w:t>试验</w:t>
      </w:r>
      <w:r>
        <w:rPr>
          <w:rFonts w:hint="eastAsia" w:ascii="Times New Roman"/>
          <w:szCs w:val="21"/>
        </w:rPr>
        <w:t>进一步研究确证</w:t>
      </w:r>
      <w:r>
        <w:rPr>
          <w:rFonts w:ascii="Times New Roman"/>
          <w:szCs w:val="21"/>
        </w:rPr>
        <w:t>。</w:t>
      </w:r>
    </w:p>
    <w:p w14:paraId="01E0426A">
      <w:bookmarkStart w:id="79" w:name="_GoBack"/>
      <w:bookmarkEnd w:id="79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FC91163"/>
    <w:multiLevelType w:val="multilevel"/>
    <w:tmpl w:val="1FC91163"/>
    <w:lvl w:ilvl="0" w:tentative="0">
      <w:start w:val="1"/>
      <w:numFmt w:val="decimal"/>
      <w:pStyle w:val="5"/>
      <w:suff w:val="nothing"/>
      <w:lvlText w:val="%1　"/>
      <w:lvlJc w:val="left"/>
      <w:pPr>
        <w:ind w:left="0" w:firstLine="0"/>
      </w:pPr>
      <w:rPr>
        <w:rFonts w:hint="default" w:ascii="Times New Roman" w:hAnsi="Times New Roman" w:eastAsia="黑体" w:cs="Times New Roman"/>
        <w:b w:val="0"/>
        <w:i w:val="0"/>
        <w:sz w:val="21"/>
        <w:szCs w:val="21"/>
      </w:rPr>
    </w:lvl>
    <w:lvl w:ilvl="1" w:tentative="0">
      <w:start w:val="1"/>
      <w:numFmt w:val="decimal"/>
      <w:pStyle w:val="6"/>
      <w:suff w:val="nothing"/>
      <w:lvlText w:val="%1.%2　"/>
      <w:lvlJc w:val="left"/>
      <w:pPr>
        <w:ind w:left="709" w:firstLine="0"/>
      </w:pPr>
      <w:rPr>
        <w:rFonts w:hint="default" w:ascii="Times New Roman" w:hAnsi="Times New Roman" w:eastAsia="黑体" w:cs="Times New Roman"/>
        <w:b w:val="0"/>
        <w:bCs w:val="0"/>
        <w:i w:val="0"/>
        <w:iCs w:val="0"/>
        <w:caps w:val="0"/>
        <w:strike w:val="0"/>
        <w:dstrike w:val="0"/>
        <w:vanish w:val="0"/>
        <w:spacing w:val="0"/>
        <w:kern w:val="0"/>
        <w:position w:val="0"/>
        <w:sz w:val="21"/>
        <w:szCs w:val="21"/>
        <w:u w:val="none"/>
        <w:vertAlign w:val="baseline"/>
      </w:rPr>
    </w:lvl>
    <w:lvl w:ilvl="2" w:tentative="0">
      <w:start w:val="1"/>
      <w:numFmt w:val="decimal"/>
      <w:pStyle w:val="7"/>
      <w:suff w:val="nothing"/>
      <w:lvlText w:val="%1.%2.%3　"/>
      <w:lvlJc w:val="left"/>
      <w:pPr>
        <w:ind w:left="426" w:firstLine="0"/>
      </w:pPr>
      <w:rPr>
        <w:rFonts w:hint="default" w:ascii="Times New Roman" w:hAnsi="Times New Roman" w:eastAsia="黑体" w:cs="Times New Roman"/>
        <w:b w:val="0"/>
        <w:i w:val="0"/>
        <w:sz w:val="21"/>
      </w:rPr>
    </w:lvl>
    <w:lvl w:ilvl="3" w:tentative="0">
      <w:start w:val="1"/>
      <w:numFmt w:val="decimal"/>
      <w:suff w:val="nothing"/>
      <w:lvlText w:val="%1.%2.%3.%4　"/>
      <w:lvlJc w:val="left"/>
      <w:pPr>
        <w:ind w:left="1135" w:firstLine="0"/>
      </w:pPr>
      <w:rPr>
        <w:rFonts w:hint="eastAsia" w:ascii="黑体" w:hAnsi="Times New Roman" w:eastAsia="黑体"/>
        <w:b w:val="0"/>
        <w:i w:val="0"/>
        <w:sz w:val="21"/>
      </w:rPr>
    </w:lvl>
    <w:lvl w:ilvl="4" w:tentative="0">
      <w:start w:val="1"/>
      <w:numFmt w:val="decimal"/>
      <w:suff w:val="nothing"/>
      <w:lvlText w:val="%1.%2.%3.%4.%5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5" w:tentative="0">
      <w:start w:val="1"/>
      <w:numFmt w:val="decimal"/>
      <w:suff w:val="nothing"/>
      <w:lvlText w:val="%1.%2.%3.%4.%5.%6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6" w:tentative="0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27620D"/>
    <w:rsid w:val="67276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5">
    <w:name w:val="章标题"/>
    <w:next w:val="4"/>
    <w:qFormat/>
    <w:uiPriority w:val="0"/>
    <w:pPr>
      <w:numPr>
        <w:ilvl w:val="0"/>
        <w:numId w:val="1"/>
      </w:numPr>
      <w:spacing w:before="312" w:beforeLines="100" w:after="312" w:afterLines="100"/>
      <w:jc w:val="both"/>
      <w:outlineLvl w:val="1"/>
    </w:pPr>
    <w:rPr>
      <w:rFonts w:ascii="黑体" w:hAnsi="Times New Roman" w:eastAsia="黑体" w:cs="Times New Roman"/>
      <w:sz w:val="24"/>
      <w:lang w:val="en-US" w:eastAsia="zh-CN" w:bidi="ar-SA"/>
    </w:rPr>
  </w:style>
  <w:style w:type="paragraph" w:customStyle="1" w:styleId="6">
    <w:name w:val="一级条标题"/>
    <w:next w:val="4"/>
    <w:qFormat/>
    <w:uiPriority w:val="0"/>
    <w:pPr>
      <w:numPr>
        <w:ilvl w:val="1"/>
        <w:numId w:val="1"/>
      </w:numPr>
      <w:spacing w:before="156" w:beforeLines="50" w:after="156" w:afterLines="50"/>
      <w:outlineLvl w:val="2"/>
    </w:pPr>
    <w:rPr>
      <w:rFonts w:ascii="Times New Roman" w:hAnsi="Times New Roman" w:eastAsia="宋体" w:cs="Times New Roman"/>
      <w:sz w:val="21"/>
      <w:szCs w:val="21"/>
      <w:lang w:val="en-US" w:eastAsia="zh-CN" w:bidi="ar-SA"/>
    </w:rPr>
  </w:style>
  <w:style w:type="paragraph" w:customStyle="1" w:styleId="7">
    <w:name w:val="二级条标题"/>
    <w:basedOn w:val="6"/>
    <w:next w:val="4"/>
    <w:qFormat/>
    <w:uiPriority w:val="0"/>
    <w:pPr>
      <w:numPr>
        <w:ilvl w:val="2"/>
      </w:numPr>
      <w:spacing w:before="0" w:beforeLines="0" w:after="0" w:afterLines="0" w:line="300" w:lineRule="auto"/>
      <w:ind w:left="0"/>
      <w:jc w:val="both"/>
      <w:outlineLvl w:val="3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5" Type="http://schemas.openxmlformats.org/officeDocument/2006/relationships/fontTable" Target="fontTable.xml"/><Relationship Id="rId24" Type="http://schemas.openxmlformats.org/officeDocument/2006/relationships/numbering" Target="numbering.xml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2026-11-02T08:47:00Z</dcterms:created>
  <dc:creator>YU</dc:creator>
  <cp:lastModifiedBy>YU</cp:lastModifiedBy>
  <dcterms:modified xsi:type="dcterms:W3CDTF">2026-11-02T08:47:34Z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D1AF4F12C8A342C8B0874CCCA65985D0_11</vt:lpwstr>
  </property>
  <property fmtid="{D5CDD505-2E9C-101B-9397-08002B2CF9AE}" pid="4" name="KSOTemplateDocerSaveRecord">
    <vt:lpwstr>eyJoZGlkIjoiNzUzMjcxYjI3MDRjMDIwZmVmYTgzNGM3MjE3OGJkMDMiLCJ1c2VySWQiOiIyNzgyMDExNzcifQ==</vt:lpwstr>
  </property>
</Properties>
</file>